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FF" w:rsidRDefault="00E91362" w:rsidP="00E30632">
      <w:pPr>
        <w:pStyle w:val="Title"/>
        <w:spacing w:after="0" w:line="360" w:lineRule="auto"/>
        <w:jc w:val="center"/>
        <w:rPr>
          <w:bCs/>
        </w:rPr>
      </w:pPr>
      <w:r>
        <w:rPr>
          <w:bCs/>
        </w:rPr>
        <w:t xml:space="preserve">Delegate of the </w:t>
      </w:r>
      <w:r w:rsidR="00DD72D2">
        <w:rPr>
          <w:bCs/>
        </w:rPr>
        <w:t>Director-General of Licensing</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rsidR="00442846" w:rsidRDefault="00442846" w:rsidP="00442846">
      <w:pPr>
        <w:pStyle w:val="Tabformatting"/>
        <w:spacing w:after="0"/>
        <w:jc w:val="both"/>
        <w:rPr>
          <w:rFonts w:ascii="Lato" w:hAnsi="Lato"/>
          <w:b/>
          <w:sz w:val="22"/>
          <w:szCs w:val="22"/>
        </w:rPr>
      </w:pPr>
    </w:p>
    <w:p w:rsidR="00442846" w:rsidRPr="00BE34D0" w:rsidRDefault="00442846" w:rsidP="00442846">
      <w:pPr>
        <w:pStyle w:val="Tabformatting"/>
        <w:spacing w:after="0"/>
        <w:jc w:val="both"/>
        <w:rPr>
          <w:rFonts w:ascii="Lato" w:hAnsi="Lato"/>
          <w:b/>
          <w:sz w:val="22"/>
          <w:szCs w:val="22"/>
        </w:rPr>
      </w:pPr>
      <w:r w:rsidRPr="00BE34D0">
        <w:rPr>
          <w:rFonts w:ascii="Lato" w:hAnsi="Lato"/>
          <w:b/>
          <w:sz w:val="22"/>
          <w:szCs w:val="22"/>
        </w:rPr>
        <w:t>Matter:</w:t>
      </w:r>
      <w:r w:rsidRPr="00BE34D0">
        <w:rPr>
          <w:rFonts w:ascii="Lato" w:hAnsi="Lato"/>
          <w:b/>
          <w:sz w:val="22"/>
          <w:szCs w:val="22"/>
        </w:rPr>
        <w:tab/>
        <w:t xml:space="preserve">Application for the </w:t>
      </w:r>
      <w:r w:rsidR="0084408C">
        <w:rPr>
          <w:rFonts w:ascii="Lato" w:hAnsi="Lato"/>
          <w:b/>
          <w:sz w:val="22"/>
          <w:szCs w:val="22"/>
        </w:rPr>
        <w:t xml:space="preserve">transfer of </w:t>
      </w:r>
      <w:r w:rsidRPr="00BE34D0">
        <w:rPr>
          <w:rFonts w:ascii="Lato" w:hAnsi="Lato"/>
          <w:b/>
          <w:sz w:val="22"/>
          <w:szCs w:val="22"/>
        </w:rPr>
        <w:t>a liquor licence</w:t>
      </w:r>
    </w:p>
    <w:p w:rsidR="00442846" w:rsidRPr="00BE34D0" w:rsidRDefault="00442846" w:rsidP="00442846">
      <w:pPr>
        <w:pStyle w:val="Tabformatting"/>
        <w:spacing w:after="0"/>
        <w:jc w:val="both"/>
        <w:rPr>
          <w:rFonts w:ascii="Lato" w:hAnsi="Lato"/>
          <w:b/>
          <w:sz w:val="22"/>
          <w:szCs w:val="22"/>
        </w:rPr>
      </w:pPr>
    </w:p>
    <w:p w:rsidR="00442846" w:rsidRPr="00BE34D0" w:rsidRDefault="00442846" w:rsidP="00442846">
      <w:pPr>
        <w:pStyle w:val="Tabformatting"/>
        <w:spacing w:after="0"/>
        <w:jc w:val="both"/>
        <w:rPr>
          <w:rFonts w:ascii="Lato" w:hAnsi="Lato" w:cs="Arial"/>
          <w:b/>
          <w:bCs/>
          <w:sz w:val="22"/>
          <w:szCs w:val="22"/>
        </w:rPr>
      </w:pPr>
      <w:r w:rsidRPr="00BE34D0">
        <w:rPr>
          <w:rFonts w:ascii="Lato" w:hAnsi="Lato"/>
          <w:b/>
          <w:sz w:val="22"/>
          <w:szCs w:val="22"/>
        </w:rPr>
        <w:t>Premises</w:t>
      </w:r>
      <w:r w:rsidR="0084408C">
        <w:rPr>
          <w:rFonts w:ascii="Lato" w:hAnsi="Lato"/>
          <w:sz w:val="22"/>
          <w:szCs w:val="22"/>
        </w:rPr>
        <w:t>:</w:t>
      </w:r>
      <w:r w:rsidR="0084408C">
        <w:rPr>
          <w:rFonts w:ascii="Lato" w:hAnsi="Lato"/>
          <w:sz w:val="22"/>
          <w:szCs w:val="22"/>
        </w:rPr>
        <w:tab/>
        <w:t>The Bark Hut Inn</w:t>
      </w:r>
    </w:p>
    <w:p w:rsidR="00442846" w:rsidRPr="00BE34D0" w:rsidRDefault="00442846" w:rsidP="00442846">
      <w:pPr>
        <w:pStyle w:val="Tabformatting"/>
        <w:spacing w:after="0"/>
        <w:jc w:val="both"/>
        <w:rPr>
          <w:rFonts w:ascii="Lato" w:hAnsi="Lato"/>
          <w:sz w:val="22"/>
          <w:szCs w:val="22"/>
        </w:rPr>
      </w:pPr>
      <w:r w:rsidRPr="00BE34D0">
        <w:rPr>
          <w:rFonts w:ascii="Lato" w:hAnsi="Lato"/>
          <w:b/>
          <w:sz w:val="22"/>
          <w:szCs w:val="22"/>
        </w:rPr>
        <w:tab/>
      </w:r>
      <w:r w:rsidR="0084408C">
        <w:rPr>
          <w:rFonts w:ascii="Lato" w:hAnsi="Lato"/>
          <w:sz w:val="22"/>
          <w:szCs w:val="22"/>
        </w:rPr>
        <w:t>Arnhem Highway</w:t>
      </w:r>
    </w:p>
    <w:p w:rsidR="00442846" w:rsidRPr="00BE34D0" w:rsidRDefault="0084408C" w:rsidP="00442846">
      <w:pPr>
        <w:pStyle w:val="Tabformatting"/>
        <w:spacing w:after="0"/>
        <w:ind w:firstLine="0"/>
        <w:jc w:val="both"/>
        <w:rPr>
          <w:rFonts w:ascii="Lato" w:hAnsi="Lato"/>
          <w:sz w:val="22"/>
          <w:szCs w:val="22"/>
        </w:rPr>
      </w:pPr>
      <w:proofErr w:type="spellStart"/>
      <w:proofErr w:type="gramStart"/>
      <w:r>
        <w:rPr>
          <w:rFonts w:ascii="Lato" w:hAnsi="Lato"/>
          <w:sz w:val="22"/>
          <w:szCs w:val="22"/>
        </w:rPr>
        <w:t>Annaburoo</w:t>
      </w:r>
      <w:proofErr w:type="spellEnd"/>
      <w:r>
        <w:rPr>
          <w:rFonts w:ascii="Lato" w:hAnsi="Lato"/>
          <w:sz w:val="22"/>
          <w:szCs w:val="22"/>
        </w:rPr>
        <w:t xml:space="preserve">  NT</w:t>
      </w:r>
      <w:proofErr w:type="gramEnd"/>
    </w:p>
    <w:p w:rsidR="00442846" w:rsidRPr="00BE34D0" w:rsidRDefault="00442846" w:rsidP="00442846">
      <w:pPr>
        <w:pStyle w:val="Tabformatting"/>
        <w:spacing w:after="0"/>
        <w:ind w:firstLine="0"/>
        <w:jc w:val="both"/>
        <w:rPr>
          <w:rFonts w:ascii="Lato" w:hAnsi="Lato"/>
          <w:sz w:val="22"/>
          <w:szCs w:val="22"/>
        </w:rPr>
      </w:pPr>
    </w:p>
    <w:p w:rsidR="00442846" w:rsidRPr="00BE34D0" w:rsidRDefault="00442846" w:rsidP="00442846">
      <w:pPr>
        <w:pStyle w:val="Tabformatting"/>
        <w:spacing w:after="0"/>
        <w:ind w:left="0" w:firstLine="0"/>
        <w:jc w:val="both"/>
        <w:rPr>
          <w:rFonts w:ascii="Lato" w:hAnsi="Lato"/>
          <w:sz w:val="22"/>
          <w:szCs w:val="22"/>
        </w:rPr>
      </w:pPr>
      <w:r w:rsidRPr="00BE34D0">
        <w:rPr>
          <w:rFonts w:ascii="Lato" w:hAnsi="Lato"/>
          <w:b/>
          <w:sz w:val="22"/>
          <w:szCs w:val="22"/>
        </w:rPr>
        <w:t>Applicant</w:t>
      </w:r>
      <w:r w:rsidR="0084408C">
        <w:rPr>
          <w:rFonts w:ascii="Lato" w:hAnsi="Lato"/>
          <w:sz w:val="22"/>
          <w:szCs w:val="22"/>
        </w:rPr>
        <w:t>:</w:t>
      </w:r>
      <w:r w:rsidR="0084408C">
        <w:rPr>
          <w:rFonts w:ascii="Lato" w:hAnsi="Lato"/>
          <w:sz w:val="22"/>
          <w:szCs w:val="22"/>
        </w:rPr>
        <w:tab/>
      </w:r>
      <w:r w:rsidR="0084408C">
        <w:rPr>
          <w:rFonts w:ascii="Lato" w:hAnsi="Lato"/>
          <w:sz w:val="22"/>
          <w:szCs w:val="22"/>
        </w:rPr>
        <w:tab/>
      </w:r>
      <w:r w:rsidR="0084408C">
        <w:rPr>
          <w:rFonts w:ascii="Lato" w:hAnsi="Lato"/>
          <w:sz w:val="22"/>
          <w:szCs w:val="22"/>
        </w:rPr>
        <w:tab/>
      </w:r>
      <w:r w:rsidR="0084408C" w:rsidRPr="0084408C">
        <w:rPr>
          <w:rFonts w:ascii="Lato" w:hAnsi="Lato"/>
          <w:sz w:val="22"/>
          <w:szCs w:val="22"/>
        </w:rPr>
        <w:t>Colin E &amp; Jaye L Fink in Partnership</w:t>
      </w:r>
    </w:p>
    <w:p w:rsidR="00442846" w:rsidRPr="00BE34D0" w:rsidRDefault="00442846" w:rsidP="00442846">
      <w:pPr>
        <w:pStyle w:val="Tabformatting"/>
        <w:spacing w:after="0"/>
        <w:jc w:val="both"/>
        <w:rPr>
          <w:rFonts w:ascii="Lato" w:hAnsi="Lato"/>
          <w:b/>
          <w:sz w:val="22"/>
          <w:szCs w:val="22"/>
        </w:rPr>
      </w:pPr>
    </w:p>
    <w:p w:rsidR="00442846" w:rsidRPr="00BE34D0" w:rsidRDefault="0084408C" w:rsidP="00442846">
      <w:pPr>
        <w:pStyle w:val="Tabformatting"/>
        <w:spacing w:after="0"/>
        <w:jc w:val="both"/>
        <w:rPr>
          <w:rFonts w:ascii="Lato" w:hAnsi="Lato"/>
          <w:sz w:val="22"/>
          <w:szCs w:val="22"/>
        </w:rPr>
      </w:pPr>
      <w:r>
        <w:rPr>
          <w:rFonts w:ascii="Lato" w:hAnsi="Lato"/>
          <w:b/>
          <w:sz w:val="22"/>
          <w:szCs w:val="22"/>
        </w:rPr>
        <w:t>Current Licensee</w:t>
      </w:r>
      <w:r w:rsidR="00442846" w:rsidRPr="00BE34D0">
        <w:rPr>
          <w:rFonts w:ascii="Lato" w:hAnsi="Lato"/>
          <w:sz w:val="22"/>
          <w:szCs w:val="22"/>
        </w:rPr>
        <w:t>:</w:t>
      </w:r>
      <w:r w:rsidR="00442846" w:rsidRPr="00BE34D0">
        <w:rPr>
          <w:rFonts w:ascii="Lato" w:hAnsi="Lato"/>
          <w:sz w:val="22"/>
          <w:szCs w:val="22"/>
        </w:rPr>
        <w:tab/>
      </w:r>
      <w:r w:rsidRPr="0084408C">
        <w:rPr>
          <w:rFonts w:ascii="Lato" w:hAnsi="Lato"/>
          <w:sz w:val="22"/>
          <w:szCs w:val="22"/>
        </w:rPr>
        <w:t>The Bark Hut Inn Pty Ltd</w:t>
      </w:r>
    </w:p>
    <w:p w:rsidR="00442846" w:rsidRPr="00BE34D0" w:rsidRDefault="00442846" w:rsidP="00442846">
      <w:pPr>
        <w:tabs>
          <w:tab w:val="left" w:pos="2835"/>
        </w:tabs>
        <w:spacing w:after="0"/>
        <w:rPr>
          <w:b/>
        </w:rPr>
      </w:pPr>
    </w:p>
    <w:p w:rsidR="00442846" w:rsidRPr="00BE34D0" w:rsidRDefault="00442846" w:rsidP="00442846">
      <w:pPr>
        <w:pStyle w:val="Tabformatting"/>
        <w:spacing w:after="0"/>
        <w:jc w:val="both"/>
        <w:rPr>
          <w:rFonts w:ascii="Lato" w:hAnsi="Lato"/>
          <w:sz w:val="22"/>
          <w:szCs w:val="22"/>
        </w:rPr>
      </w:pPr>
      <w:r w:rsidRPr="00BE34D0">
        <w:rPr>
          <w:rFonts w:ascii="Lato" w:hAnsi="Lato"/>
          <w:b/>
          <w:sz w:val="22"/>
          <w:szCs w:val="22"/>
        </w:rPr>
        <w:t>Legislation</w:t>
      </w:r>
      <w:r w:rsidRPr="00BE34D0">
        <w:rPr>
          <w:rFonts w:ascii="Lato" w:hAnsi="Lato"/>
          <w:sz w:val="22"/>
          <w:szCs w:val="22"/>
        </w:rPr>
        <w:t>:</w:t>
      </w:r>
      <w:r w:rsidRPr="00BE34D0">
        <w:rPr>
          <w:rFonts w:ascii="Lato" w:hAnsi="Lato"/>
          <w:sz w:val="22"/>
          <w:szCs w:val="22"/>
        </w:rPr>
        <w:tab/>
      </w:r>
      <w:r w:rsidR="0084408C">
        <w:rPr>
          <w:rFonts w:ascii="Lato" w:hAnsi="Lato"/>
          <w:sz w:val="22"/>
          <w:szCs w:val="22"/>
        </w:rPr>
        <w:t xml:space="preserve">Sections 40, 41 &amp; 43 </w:t>
      </w:r>
      <w:r w:rsidRPr="00BE34D0">
        <w:rPr>
          <w:rFonts w:ascii="Lato" w:hAnsi="Lato"/>
          <w:i/>
          <w:sz w:val="22"/>
          <w:szCs w:val="22"/>
        </w:rPr>
        <w:t>Liquor Act</w:t>
      </w:r>
    </w:p>
    <w:p w:rsidR="00442846" w:rsidRPr="00BE34D0" w:rsidRDefault="00442846" w:rsidP="00442846">
      <w:pPr>
        <w:pStyle w:val="Tabformatting"/>
        <w:spacing w:after="0"/>
        <w:jc w:val="both"/>
        <w:rPr>
          <w:rFonts w:ascii="Lato" w:hAnsi="Lato"/>
          <w:b/>
          <w:sz w:val="22"/>
          <w:szCs w:val="22"/>
        </w:rPr>
      </w:pPr>
    </w:p>
    <w:p w:rsidR="00442846" w:rsidRPr="00BE34D0" w:rsidRDefault="00442846" w:rsidP="00442846">
      <w:pPr>
        <w:pStyle w:val="Tabformatting"/>
        <w:spacing w:after="0"/>
        <w:jc w:val="both"/>
        <w:rPr>
          <w:rFonts w:ascii="Lato" w:hAnsi="Lato"/>
          <w:sz w:val="22"/>
          <w:szCs w:val="22"/>
        </w:rPr>
      </w:pPr>
      <w:r w:rsidRPr="00BE34D0">
        <w:rPr>
          <w:rFonts w:ascii="Lato" w:hAnsi="Lato"/>
          <w:b/>
          <w:sz w:val="22"/>
          <w:szCs w:val="22"/>
        </w:rPr>
        <w:t>Decision of</w:t>
      </w:r>
      <w:r w:rsidRPr="00BE34D0">
        <w:rPr>
          <w:rFonts w:ascii="Lato" w:hAnsi="Lato"/>
          <w:sz w:val="22"/>
          <w:szCs w:val="22"/>
        </w:rPr>
        <w:t>:</w:t>
      </w:r>
      <w:r w:rsidRPr="00BE34D0">
        <w:rPr>
          <w:rFonts w:ascii="Lato" w:hAnsi="Lato"/>
          <w:sz w:val="22"/>
          <w:szCs w:val="22"/>
        </w:rPr>
        <w:tab/>
        <w:t xml:space="preserve">Deputy </w:t>
      </w:r>
      <w:r w:rsidRPr="00BE34D0">
        <w:rPr>
          <w:rFonts w:ascii="Lato" w:hAnsi="Lato" w:cs="Arial"/>
          <w:bCs/>
          <w:sz w:val="22"/>
          <w:szCs w:val="22"/>
        </w:rPr>
        <w:t>Director-General (Operations)</w:t>
      </w:r>
    </w:p>
    <w:p w:rsidR="00442846" w:rsidRPr="00BE34D0" w:rsidRDefault="00442846" w:rsidP="00442846">
      <w:pPr>
        <w:pStyle w:val="Tabformatting"/>
        <w:spacing w:after="0"/>
        <w:jc w:val="both"/>
        <w:rPr>
          <w:rFonts w:ascii="Lato" w:hAnsi="Lato"/>
          <w:b/>
          <w:sz w:val="22"/>
          <w:szCs w:val="22"/>
        </w:rPr>
      </w:pPr>
    </w:p>
    <w:p w:rsidR="00442846" w:rsidRPr="00BE34D0" w:rsidRDefault="00442846" w:rsidP="00442846">
      <w:pPr>
        <w:pStyle w:val="Tabformatting"/>
        <w:spacing w:after="0"/>
        <w:jc w:val="both"/>
        <w:rPr>
          <w:rFonts w:ascii="Lato" w:hAnsi="Lato"/>
          <w:sz w:val="22"/>
          <w:szCs w:val="22"/>
        </w:rPr>
      </w:pPr>
      <w:r w:rsidRPr="00BE34D0">
        <w:rPr>
          <w:rFonts w:ascii="Lato" w:hAnsi="Lato"/>
          <w:b/>
          <w:sz w:val="22"/>
          <w:szCs w:val="22"/>
        </w:rPr>
        <w:t>Date of Decision</w:t>
      </w:r>
      <w:r w:rsidRPr="00BE34D0">
        <w:rPr>
          <w:rFonts w:ascii="Lato" w:hAnsi="Lato"/>
          <w:sz w:val="22"/>
          <w:szCs w:val="22"/>
        </w:rPr>
        <w:t>:</w:t>
      </w:r>
      <w:r w:rsidRPr="00BE34D0">
        <w:rPr>
          <w:rFonts w:ascii="Lato" w:hAnsi="Lato"/>
          <w:sz w:val="22"/>
          <w:szCs w:val="22"/>
        </w:rPr>
        <w:tab/>
        <w:t>1</w:t>
      </w:r>
      <w:r w:rsidR="00651CE7">
        <w:rPr>
          <w:rFonts w:ascii="Lato" w:hAnsi="Lato"/>
          <w:sz w:val="22"/>
          <w:szCs w:val="22"/>
        </w:rPr>
        <w:t>9</w:t>
      </w:r>
      <w:r w:rsidR="0084408C">
        <w:rPr>
          <w:rFonts w:ascii="Lato" w:hAnsi="Lato"/>
          <w:sz w:val="22"/>
          <w:szCs w:val="22"/>
        </w:rPr>
        <w:t xml:space="preserve"> May 2017</w:t>
      </w:r>
    </w:p>
    <w:p w:rsidR="00F161FF" w:rsidRPr="00F161FF" w:rsidRDefault="00F161FF" w:rsidP="00F161FF">
      <w:pPr>
        <w:pBdr>
          <w:bottom w:val="single" w:sz="4" w:space="1" w:color="auto"/>
        </w:pBdr>
        <w:rPr>
          <w:b/>
        </w:rPr>
      </w:pPr>
    </w:p>
    <w:p w:rsidR="00F161FF" w:rsidRPr="00DD72D2" w:rsidRDefault="00DD72D2" w:rsidP="00F23997">
      <w:pPr>
        <w:pStyle w:val="Heading2"/>
      </w:pPr>
      <w:bookmarkStart w:id="0" w:name="TypeHere"/>
      <w:bookmarkEnd w:id="0"/>
      <w:r w:rsidRPr="00DD72D2">
        <w:t>BACKGROUND</w:t>
      </w:r>
    </w:p>
    <w:p w:rsidR="00DD72D2" w:rsidRDefault="00442846" w:rsidP="00912FBD">
      <w:pPr>
        <w:pStyle w:val="NoSpacing"/>
      </w:pPr>
      <w:r w:rsidRPr="00BE34D0">
        <w:t xml:space="preserve">On </w:t>
      </w:r>
      <w:r w:rsidR="00675188">
        <w:t>8 February 2017 Colin E &amp; Jaye L Fink in Partnership</w:t>
      </w:r>
      <w:r w:rsidRPr="00BE34D0">
        <w:t xml:space="preserve"> (the applicant) made application for </w:t>
      </w:r>
      <w:r w:rsidR="00675188">
        <w:t>the transfer of a</w:t>
      </w:r>
      <w:r w:rsidRPr="00BE34D0">
        <w:t xml:space="preserve"> liquor licence pursuant to section </w:t>
      </w:r>
      <w:r w:rsidR="00675188">
        <w:t>40</w:t>
      </w:r>
      <w:r w:rsidRPr="00BE34D0">
        <w:t xml:space="preserve"> of the </w:t>
      </w:r>
      <w:r w:rsidRPr="00BE34D0">
        <w:rPr>
          <w:i/>
        </w:rPr>
        <w:t>Liquor Act</w:t>
      </w:r>
      <w:r w:rsidRPr="00BE34D0">
        <w:t xml:space="preserve"> (the Act).</w:t>
      </w:r>
    </w:p>
    <w:p w:rsidR="0070375D" w:rsidRDefault="0070375D" w:rsidP="0070375D">
      <w:pPr>
        <w:pStyle w:val="NoSpacing"/>
      </w:pPr>
      <w:r>
        <w:t>The Act provides for Director-General of Licensing to authorise the transfer of a liquor licence having regard to the objects of the Act.</w:t>
      </w:r>
    </w:p>
    <w:p w:rsidR="00F161FF" w:rsidRDefault="00442846" w:rsidP="001D7382">
      <w:pPr>
        <w:pStyle w:val="Heading2"/>
      </w:pPr>
      <w:r>
        <w:t>APPLICATION</w:t>
      </w:r>
    </w:p>
    <w:p w:rsidR="009A3D47" w:rsidRDefault="00442846" w:rsidP="00912FBD">
      <w:pPr>
        <w:pStyle w:val="NoSpacing"/>
      </w:pPr>
      <w:r w:rsidRPr="00BE34D0">
        <w:t xml:space="preserve">The </w:t>
      </w:r>
      <w:r w:rsidR="00D67FF6">
        <w:t xml:space="preserve">transfer </w:t>
      </w:r>
      <w:r w:rsidRPr="00BE34D0">
        <w:t xml:space="preserve">application </w:t>
      </w:r>
      <w:r w:rsidR="00D67FF6">
        <w:t>r</w:t>
      </w:r>
      <w:r w:rsidRPr="00BE34D0">
        <w:t xml:space="preserve">elates to </w:t>
      </w:r>
      <w:r w:rsidR="00D67FF6" w:rsidRPr="00D67FF6">
        <w:t>Liquor Licence 81200994</w:t>
      </w:r>
      <w:r w:rsidR="00253EA6">
        <w:t>:</w:t>
      </w:r>
      <w:r w:rsidR="00D67FF6" w:rsidRPr="00D67FF6">
        <w:t xml:space="preserve"> “AUTHORITY – ROADSIDE INN (UNSERVICED)”.  </w:t>
      </w:r>
    </w:p>
    <w:p w:rsidR="00442846" w:rsidRPr="00BE34D0" w:rsidRDefault="00D67FF6" w:rsidP="00912FBD">
      <w:pPr>
        <w:pStyle w:val="NoSpacing"/>
      </w:pPr>
      <w:r w:rsidRPr="00D67FF6">
        <w:t>The holder of th</w:t>
      </w:r>
      <w:r w:rsidR="009A3D47">
        <w:t>e</w:t>
      </w:r>
      <w:r w:rsidRPr="00D67FF6">
        <w:t xml:space="preserve"> licence is The Bark Hut Inn Pty Ltd (</w:t>
      </w:r>
      <w:r w:rsidR="00F56114">
        <w:t>the licensee</w:t>
      </w:r>
      <w:r w:rsidRPr="00D67FF6">
        <w:t>), with Mr Andrew Armstrong as Nominee and also a director of the company.</w:t>
      </w:r>
    </w:p>
    <w:p w:rsidR="00442846" w:rsidRDefault="00442846" w:rsidP="00912FBD">
      <w:pPr>
        <w:pStyle w:val="NoSpacing"/>
      </w:pPr>
      <w:r w:rsidRPr="00BE34D0">
        <w:t xml:space="preserve">The applicant is </w:t>
      </w:r>
      <w:r w:rsidR="00D67FF6">
        <w:t xml:space="preserve">the owner of the premises from which </w:t>
      </w:r>
      <w:r w:rsidR="00F56114">
        <w:t xml:space="preserve">the business of the licensee was conducted </w:t>
      </w:r>
      <w:r w:rsidR="00D67FF6">
        <w:t>under a lease agreement which expired on 1 December 2016</w:t>
      </w:r>
      <w:r w:rsidR="0070375D">
        <w:t xml:space="preserve"> (the lease)</w:t>
      </w:r>
      <w:r w:rsidR="00D67FF6">
        <w:t>.</w:t>
      </w:r>
    </w:p>
    <w:p w:rsidR="00D67FF6" w:rsidRDefault="00D67FF6" w:rsidP="00912FBD">
      <w:pPr>
        <w:pStyle w:val="NoSpacing"/>
      </w:pPr>
      <w:r>
        <w:t xml:space="preserve">The lease was not renewed by either party </w:t>
      </w:r>
      <w:r w:rsidR="00686827">
        <w:t xml:space="preserve">with the result being that </w:t>
      </w:r>
      <w:r w:rsidR="00F56114">
        <w:t>the licensee</w:t>
      </w:r>
      <w:r>
        <w:t xml:space="preserve"> relinquish</w:t>
      </w:r>
      <w:r w:rsidR="00686827">
        <w:t>ed</w:t>
      </w:r>
      <w:r>
        <w:t xml:space="preserve"> possession of the premises to the applicant.</w:t>
      </w:r>
    </w:p>
    <w:p w:rsidR="00686827" w:rsidRDefault="00686827" w:rsidP="00686827">
      <w:pPr>
        <w:pStyle w:val="NoSpacing"/>
      </w:pPr>
      <w:r>
        <w:t xml:space="preserve">The licensee does not consent </w:t>
      </w:r>
      <w:r w:rsidR="00F56114">
        <w:t xml:space="preserve">to the transfer </w:t>
      </w:r>
      <w:r>
        <w:t xml:space="preserve">of the licence </w:t>
      </w:r>
      <w:r w:rsidR="00F56114">
        <w:t>and has</w:t>
      </w:r>
      <w:r w:rsidR="0070375D">
        <w:t xml:space="preserve"> stated</w:t>
      </w:r>
      <w:r w:rsidR="00F56114">
        <w:t xml:space="preserve"> </w:t>
      </w:r>
      <w:r>
        <w:t>its</w:t>
      </w:r>
      <w:r w:rsidR="00F56114">
        <w:t xml:space="preserve"> intention to conduct the business of the license </w:t>
      </w:r>
      <w:r w:rsidR="00C7001E">
        <w:t>elsewhere.</w:t>
      </w:r>
      <w:r w:rsidR="00A23770">
        <w:t xml:space="preserve">  However, substitute premises have not yet been identified and no application for the substitution of premises has been received to date.</w:t>
      </w:r>
    </w:p>
    <w:p w:rsidR="00C7001E" w:rsidRDefault="00C7001E" w:rsidP="00686827">
      <w:pPr>
        <w:pStyle w:val="NoSpacing"/>
      </w:pPr>
      <w:r>
        <w:t>The applicant acknowledges th</w:t>
      </w:r>
      <w:r w:rsidR="00686827">
        <w:t xml:space="preserve">at the </w:t>
      </w:r>
      <w:r>
        <w:t xml:space="preserve">licensee </w:t>
      </w:r>
      <w:r w:rsidR="00686827">
        <w:t xml:space="preserve">does not </w:t>
      </w:r>
      <w:r>
        <w:t>consent to the transfer</w:t>
      </w:r>
      <w:r w:rsidR="00686827">
        <w:t xml:space="preserve"> however, seeks to rely on a clause within the lease which the applicant submits is a </w:t>
      </w:r>
      <w:r>
        <w:t>Power of Attorney</w:t>
      </w:r>
      <w:r w:rsidR="00686827">
        <w:t xml:space="preserve"> </w:t>
      </w:r>
      <w:r w:rsidR="00A23770">
        <w:t xml:space="preserve">and </w:t>
      </w:r>
      <w:r w:rsidR="00686827">
        <w:t xml:space="preserve">which </w:t>
      </w:r>
      <w:r>
        <w:t>authori</w:t>
      </w:r>
      <w:r w:rsidR="00686827">
        <w:t>ses the applicant to act on behalf of and in the name of the licensee with respect to matters affecting the licence.</w:t>
      </w:r>
    </w:p>
    <w:p w:rsidR="00F56114" w:rsidRPr="00BE34D0" w:rsidRDefault="00F56114" w:rsidP="00912FBD">
      <w:pPr>
        <w:pStyle w:val="NoSpacing"/>
        <w:numPr>
          <w:ilvl w:val="0"/>
          <w:numId w:val="0"/>
        </w:numPr>
      </w:pPr>
    </w:p>
    <w:p w:rsidR="00DD72D2" w:rsidRPr="00DD72D2" w:rsidRDefault="001D164B" w:rsidP="001D7382">
      <w:pPr>
        <w:pStyle w:val="Heading2"/>
      </w:pPr>
      <w:r>
        <w:lastRenderedPageBreak/>
        <w:t>CURRENT SITUATION</w:t>
      </w:r>
    </w:p>
    <w:p w:rsidR="00DE02BE" w:rsidRDefault="001D164B" w:rsidP="00912FBD">
      <w:pPr>
        <w:pStyle w:val="NoSpacing"/>
      </w:pPr>
      <w:r>
        <w:t xml:space="preserve">The licensee has held the licence since 28 </w:t>
      </w:r>
      <w:r w:rsidR="00E21DC7">
        <w:t>October</w:t>
      </w:r>
      <w:r>
        <w:t xml:space="preserve"> 2009</w:t>
      </w:r>
      <w:r w:rsidR="00DE02BE">
        <w:t xml:space="preserve"> when the subject licence was transferred to it from </w:t>
      </w:r>
      <w:proofErr w:type="spellStart"/>
      <w:r>
        <w:t>Spicedew</w:t>
      </w:r>
      <w:proofErr w:type="spellEnd"/>
      <w:r w:rsidR="009C5EAD">
        <w:t xml:space="preserve"> Pty Ltd.  </w:t>
      </w:r>
    </w:p>
    <w:p w:rsidR="003943ED" w:rsidRDefault="009C5EAD" w:rsidP="003943ED">
      <w:pPr>
        <w:pStyle w:val="NoSpacing"/>
      </w:pPr>
      <w:proofErr w:type="spellStart"/>
      <w:r>
        <w:t>Spicedew</w:t>
      </w:r>
      <w:proofErr w:type="spellEnd"/>
      <w:r>
        <w:t xml:space="preserve"> Pty Ltd also </w:t>
      </w:r>
      <w:r w:rsidR="00DE02BE">
        <w:t xml:space="preserve">leased the </w:t>
      </w:r>
      <w:r>
        <w:t>premises from th</w:t>
      </w:r>
      <w:r w:rsidR="00DE02BE">
        <w:t>e</w:t>
      </w:r>
      <w:r>
        <w:t xml:space="preserve"> applicant</w:t>
      </w:r>
      <w:r w:rsidR="00DE02BE">
        <w:t xml:space="preserve"> and assigned the lease to the licensee </w:t>
      </w:r>
      <w:r>
        <w:t>as part of the transfer process.</w:t>
      </w:r>
    </w:p>
    <w:p w:rsidR="00CB0757" w:rsidRDefault="009C5EAD" w:rsidP="003943ED">
      <w:pPr>
        <w:pStyle w:val="NoSpacing"/>
      </w:pPr>
      <w:r>
        <w:t xml:space="preserve">The assigned lease contains </w:t>
      </w:r>
      <w:r w:rsidR="0070375D">
        <w:t xml:space="preserve">the provision now </w:t>
      </w:r>
      <w:r>
        <w:t xml:space="preserve">sought to be relied </w:t>
      </w:r>
      <w:r w:rsidR="0070375D">
        <w:t>on b</w:t>
      </w:r>
      <w:r>
        <w:t>y the applicant</w:t>
      </w:r>
      <w:r w:rsidR="0070375D">
        <w:t xml:space="preserve"> to deal with the licence absent consent of the licensee.</w:t>
      </w:r>
    </w:p>
    <w:p w:rsidR="001459E3" w:rsidRDefault="006171D6" w:rsidP="00702C9F">
      <w:pPr>
        <w:pStyle w:val="Heading2"/>
      </w:pPr>
      <w:r>
        <w:t>ASSESSMENT OF A</w:t>
      </w:r>
      <w:r w:rsidR="007B55C1">
        <w:t>P</w:t>
      </w:r>
      <w:r>
        <w:t>PLICATION</w:t>
      </w:r>
    </w:p>
    <w:p w:rsidR="005E6B47" w:rsidRPr="00BE34D0" w:rsidRDefault="005E6B47" w:rsidP="00912FBD">
      <w:pPr>
        <w:pStyle w:val="NoSpacing"/>
      </w:pPr>
      <w:r w:rsidRPr="00BE34D0">
        <w:t xml:space="preserve">Section </w:t>
      </w:r>
      <w:r w:rsidR="00702C9F">
        <w:t>41</w:t>
      </w:r>
      <w:r w:rsidRPr="00BE34D0">
        <w:t xml:space="preserve"> of the Act mandates that an application for a </w:t>
      </w:r>
      <w:r w:rsidR="00702C9F">
        <w:t>transfer</w:t>
      </w:r>
      <w:r w:rsidRPr="00BE34D0">
        <w:t xml:space="preserve"> must be considered with reference to </w:t>
      </w:r>
      <w:r w:rsidR="00702C9F">
        <w:t xml:space="preserve">sections 25, 26A and 28 </w:t>
      </w:r>
      <w:r w:rsidR="009E5AAE">
        <w:t xml:space="preserve">of the Act </w:t>
      </w:r>
      <w:r w:rsidR="00702C9F">
        <w:t>as if that application w</w:t>
      </w:r>
      <w:r w:rsidR="009E5AAE">
        <w:t>as</w:t>
      </w:r>
      <w:r w:rsidR="00702C9F">
        <w:t xml:space="preserve"> an application for the grant of a licence under section 24</w:t>
      </w:r>
      <w:r w:rsidRPr="00BE34D0">
        <w:t xml:space="preserve">.  </w:t>
      </w:r>
    </w:p>
    <w:p w:rsidR="005E6B47" w:rsidRDefault="005E6B47" w:rsidP="00912FBD">
      <w:pPr>
        <w:pStyle w:val="NoSpacing"/>
      </w:pPr>
      <w:r w:rsidRPr="00BE34D0">
        <w:t>In that regard, I note that the applicant provided evidence of its financial stability, reputation and character.  There is no evidence to suggest that the applicant is not fit and proper to hold a</w:t>
      </w:r>
      <w:r w:rsidR="009E5AAE">
        <w:t xml:space="preserve"> liquor </w:t>
      </w:r>
      <w:r w:rsidRPr="00BE34D0">
        <w:t>licence.</w:t>
      </w:r>
    </w:p>
    <w:p w:rsidR="005D4AA1" w:rsidRDefault="00702C9F" w:rsidP="00912FBD">
      <w:pPr>
        <w:pStyle w:val="NoSpacing"/>
      </w:pPr>
      <w:r>
        <w:t xml:space="preserve">The </w:t>
      </w:r>
      <w:r w:rsidR="009E5AAE">
        <w:t xml:space="preserve">issue </w:t>
      </w:r>
      <w:r>
        <w:t>central to</w:t>
      </w:r>
      <w:r w:rsidR="009E5AAE">
        <w:t xml:space="preserve"> determination of the application is the licensee’s objection to the transfer</w:t>
      </w:r>
      <w:r w:rsidR="00774B37">
        <w:t xml:space="preserve"> in circumstances where it</w:t>
      </w:r>
      <w:r w:rsidR="005D4AA1">
        <w:t xml:space="preserve"> (not the applicant)</w:t>
      </w:r>
      <w:r w:rsidR="00774B37">
        <w:t xml:space="preserve"> has a </w:t>
      </w:r>
      <w:r w:rsidR="00774B37">
        <w:rPr>
          <w:i/>
        </w:rPr>
        <w:t xml:space="preserve">prima </w:t>
      </w:r>
      <w:r w:rsidR="00774B37" w:rsidRPr="00774B37">
        <w:rPr>
          <w:i/>
        </w:rPr>
        <w:t xml:space="preserve">facie </w:t>
      </w:r>
      <w:r w:rsidR="00774B37">
        <w:t>right to operate the licence</w:t>
      </w:r>
      <w:r w:rsidR="005D4AA1">
        <w:t xml:space="preserve"> and in circumst</w:t>
      </w:r>
      <w:r w:rsidR="009A3D47">
        <w:t xml:space="preserve">ances </w:t>
      </w:r>
      <w:r w:rsidR="005D4AA1">
        <w:t xml:space="preserve">where an intention to operate the licence from a substituted premises has been communicated to the Director-General of Licensing.  </w:t>
      </w:r>
    </w:p>
    <w:p w:rsidR="00DD2711" w:rsidRDefault="00DD2711" w:rsidP="00DD2711">
      <w:pPr>
        <w:pStyle w:val="NoSpacing"/>
      </w:pPr>
      <w:r>
        <w:t xml:space="preserve">The applicant submits that the application is made with authority to deal with the licence on behalf of the licensee pursuant to the lease agreement which bound the parties with </w:t>
      </w:r>
      <w:r w:rsidR="00E21DC7">
        <w:t>respect</w:t>
      </w:r>
      <w:r>
        <w:t xml:space="preserve"> to the operation of the licence from the premises at The Bark Hut Inn. </w:t>
      </w:r>
    </w:p>
    <w:p w:rsidR="00DD2711" w:rsidRDefault="009A3D47" w:rsidP="00DD2711">
      <w:pPr>
        <w:pStyle w:val="NoSpacing"/>
      </w:pPr>
      <w:r>
        <w:t>I</w:t>
      </w:r>
      <w:r w:rsidR="00DD2711">
        <w:t>t must be noted that both the applicant and the licensee agree that the lease ceased to have effect on 1 December 2016.  Presumably, it must follow that any rights and entitlements of either party arising from the lease agreement also ceased to have effect on that date.</w:t>
      </w:r>
    </w:p>
    <w:p w:rsidR="00DD2711" w:rsidRDefault="009A3D47" w:rsidP="00DD2711">
      <w:pPr>
        <w:pStyle w:val="NoSpacing"/>
      </w:pPr>
      <w:r>
        <w:t>T</w:t>
      </w:r>
      <w:r w:rsidR="00DD2711">
        <w:t xml:space="preserve">he application for transfer </w:t>
      </w:r>
      <w:r>
        <w:t>of</w:t>
      </w:r>
      <w:r w:rsidR="00DD2711">
        <w:t xml:space="preserve"> the licence was submitted on 16 December 2016, 15 days after the lease (and presumably any right or entitlement flowing from it) ceased to exist.</w:t>
      </w:r>
    </w:p>
    <w:p w:rsidR="00DD2711" w:rsidRDefault="00DD2711" w:rsidP="00DD2711">
      <w:pPr>
        <w:pStyle w:val="NoSpacing"/>
      </w:pPr>
      <w:r>
        <w:t>I have been made aware that there i</w:t>
      </w:r>
      <w:r w:rsidR="007E2263">
        <w:t>s an ongoing commercial dispute</w:t>
      </w:r>
      <w:r>
        <w:t xml:space="preserve"> between the licensee and the applicant relating to business dealings associated with the operation of the </w:t>
      </w:r>
      <w:r w:rsidR="00B241AB">
        <w:t xml:space="preserve">lease </w:t>
      </w:r>
      <w:r>
        <w:t>prior to 1 December 2016 however, it is not for me to consider those matters, nor are they relevant to determination of the present application.</w:t>
      </w:r>
    </w:p>
    <w:p w:rsidR="005D4AA1" w:rsidRDefault="005D4AA1" w:rsidP="00912FBD">
      <w:pPr>
        <w:pStyle w:val="NoSpacing"/>
      </w:pPr>
      <w:r>
        <w:t>The operation of the licence at a premises other than The Bark Hut Inn, Arnhem Highway</w:t>
      </w:r>
      <w:r w:rsidR="00E21DC7">
        <w:t xml:space="preserve">, </w:t>
      </w:r>
      <w:proofErr w:type="spellStart"/>
      <w:proofErr w:type="gramStart"/>
      <w:r w:rsidR="00E21DC7">
        <w:t>Annaburoo</w:t>
      </w:r>
      <w:proofErr w:type="spellEnd"/>
      <w:proofErr w:type="gramEnd"/>
      <w:r>
        <w:t xml:space="preserve"> </w:t>
      </w:r>
      <w:r w:rsidR="000C1CF4">
        <w:t xml:space="preserve">is </w:t>
      </w:r>
      <w:r>
        <w:t xml:space="preserve">subject to </w:t>
      </w:r>
      <w:r w:rsidR="000C1CF4">
        <w:t xml:space="preserve">approval by the Director-General of Licensing after consideration of </w:t>
      </w:r>
      <w:r>
        <w:t>an application being made in accordance with section 46A of the Act.  The licensee is entitled to make such application but would not be so entitled if the licence was transferred to the present applicant and it ceased to be a licensee.</w:t>
      </w:r>
    </w:p>
    <w:p w:rsidR="005D4AA1" w:rsidRDefault="005D4AA1" w:rsidP="00DD2711">
      <w:pPr>
        <w:pStyle w:val="NoSpacing"/>
      </w:pPr>
      <w:r>
        <w:t xml:space="preserve">Whilst it </w:t>
      </w:r>
      <w:r w:rsidR="009E5AAE">
        <w:t xml:space="preserve">has previously been determined that a liquor licence is not </w:t>
      </w:r>
      <w:r>
        <w:t xml:space="preserve">property ‘belonging’ to a </w:t>
      </w:r>
      <w:r w:rsidR="00E21DC7">
        <w:t>licensee</w:t>
      </w:r>
      <w:r>
        <w:t xml:space="preserve">, </w:t>
      </w:r>
      <w:r w:rsidR="007E2263">
        <w:t xml:space="preserve">the transfer of a </w:t>
      </w:r>
      <w:r>
        <w:t xml:space="preserve">licence without the consent of the entity </w:t>
      </w:r>
      <w:r w:rsidR="007E2263">
        <w:t xml:space="preserve">presently </w:t>
      </w:r>
      <w:r>
        <w:t>entitled to operate</w:t>
      </w:r>
      <w:r w:rsidR="007E2263">
        <w:t xml:space="preserve"> it w</w:t>
      </w:r>
      <w:r w:rsidR="00DD2711">
        <w:t>ould</w:t>
      </w:r>
      <w:r w:rsidR="007E2263">
        <w:t xml:space="preserve">, in my view </w:t>
      </w:r>
      <w:r w:rsidR="00DD2711">
        <w:t xml:space="preserve">be to deny the licensee </w:t>
      </w:r>
      <w:r w:rsidR="000C1CF4">
        <w:t>a present r</w:t>
      </w:r>
      <w:r w:rsidR="007E2263">
        <w:t xml:space="preserve">ight and </w:t>
      </w:r>
      <w:r w:rsidR="00DD2711">
        <w:t xml:space="preserve">entitlement to deal with its licence. </w:t>
      </w:r>
    </w:p>
    <w:p w:rsidR="005E6B47" w:rsidRDefault="005E6B47" w:rsidP="00912FBD">
      <w:pPr>
        <w:pStyle w:val="NoSpacing"/>
      </w:pPr>
      <w:r w:rsidRPr="00BE34D0">
        <w:t xml:space="preserve">Taking those matters into account, I am not satisfied that the </w:t>
      </w:r>
      <w:r w:rsidR="00912FBD">
        <w:t>application for the transfer of the licence should be approved at this time.</w:t>
      </w:r>
    </w:p>
    <w:p w:rsidR="00912FBD" w:rsidRDefault="003943ED" w:rsidP="00912FBD">
      <w:pPr>
        <w:pStyle w:val="NoSpacing"/>
      </w:pPr>
      <w:r>
        <w:t xml:space="preserve">It may be noted that the </w:t>
      </w:r>
      <w:r w:rsidR="00912FBD">
        <w:t>applicant</w:t>
      </w:r>
      <w:r>
        <w:t xml:space="preserve"> is entitled to make application for a liquor licence in accordance with section 24 of the Act.</w:t>
      </w:r>
    </w:p>
    <w:p w:rsidR="00B95A92" w:rsidRDefault="00B95A92" w:rsidP="00B95A92">
      <w:pPr>
        <w:pStyle w:val="NoSpacing"/>
        <w:numPr>
          <w:ilvl w:val="0"/>
          <w:numId w:val="0"/>
        </w:numPr>
        <w:ind w:left="567" w:hanging="567"/>
      </w:pPr>
    </w:p>
    <w:p w:rsidR="00CB0757" w:rsidRDefault="00CB0757" w:rsidP="00CB0757">
      <w:pPr>
        <w:pStyle w:val="NoSpacing"/>
        <w:numPr>
          <w:ilvl w:val="0"/>
          <w:numId w:val="0"/>
        </w:numPr>
        <w:ind w:left="567"/>
      </w:pPr>
    </w:p>
    <w:p w:rsidR="00DE424E" w:rsidRDefault="00DE424E" w:rsidP="001D7382">
      <w:pPr>
        <w:pStyle w:val="Heading2"/>
      </w:pPr>
      <w:r>
        <w:lastRenderedPageBreak/>
        <w:t>DECISION</w:t>
      </w:r>
    </w:p>
    <w:p w:rsidR="00D53043" w:rsidRDefault="00D53043" w:rsidP="00912FBD">
      <w:pPr>
        <w:pStyle w:val="NoSpacing"/>
      </w:pPr>
      <w:r w:rsidRPr="00BE34D0">
        <w:t>The applicant seeks</w:t>
      </w:r>
      <w:r w:rsidR="00253F1A">
        <w:t xml:space="preserve"> to transfer</w:t>
      </w:r>
      <w:r w:rsidRPr="00BE34D0">
        <w:t xml:space="preserve"> a liquor licence </w:t>
      </w:r>
      <w:r w:rsidR="00253F1A">
        <w:t xml:space="preserve">for the </w:t>
      </w:r>
      <w:r w:rsidRPr="00BE34D0">
        <w:t xml:space="preserve">premises known as </w:t>
      </w:r>
      <w:r w:rsidR="00253F1A">
        <w:t xml:space="preserve">The Bark Hut Inn, Arnhem highway, </w:t>
      </w:r>
      <w:proofErr w:type="spellStart"/>
      <w:r w:rsidR="00253F1A">
        <w:t>Annaburroo</w:t>
      </w:r>
      <w:proofErr w:type="spellEnd"/>
      <w:r w:rsidRPr="00BE34D0">
        <w:t>.</w:t>
      </w:r>
    </w:p>
    <w:p w:rsidR="009A3D47" w:rsidRDefault="00253F1A" w:rsidP="00912FBD">
      <w:pPr>
        <w:pStyle w:val="NoSpacing"/>
      </w:pPr>
      <w:r>
        <w:t xml:space="preserve">The licence sought to be transferred is </w:t>
      </w:r>
      <w:r w:rsidRPr="00253F1A">
        <w:t>81200994, “AUTHORITY – ROADSIDE INN (UNSERVICED)”</w:t>
      </w:r>
      <w:r w:rsidR="009A3D47">
        <w:t>.</w:t>
      </w:r>
    </w:p>
    <w:p w:rsidR="009A3D47" w:rsidRDefault="009A3D47" w:rsidP="009A3D47">
      <w:pPr>
        <w:pStyle w:val="NoSpacing"/>
      </w:pPr>
      <w:r>
        <w:t>The licensee under the licence is T</w:t>
      </w:r>
      <w:r w:rsidR="00253F1A" w:rsidRPr="00253F1A">
        <w:t>he Bark Hut Inn Pty Ltd</w:t>
      </w:r>
      <w:r>
        <w:t xml:space="preserve"> </w:t>
      </w:r>
      <w:r w:rsidR="007E2263">
        <w:t xml:space="preserve">which </w:t>
      </w:r>
      <w:r>
        <w:t>does not consent to the transfer of the licence.</w:t>
      </w:r>
    </w:p>
    <w:p w:rsidR="00946B22" w:rsidRDefault="009A3D47" w:rsidP="009A3D47">
      <w:pPr>
        <w:pStyle w:val="NoSpacing"/>
      </w:pPr>
      <w:r>
        <w:t>Whilst not presently operating the licence, the licensee has communicated an intention to make application to substitute the premises from which the licence operates.  To date, no application has been made nor an alternative premises identified.</w:t>
      </w:r>
    </w:p>
    <w:p w:rsidR="00946B22" w:rsidRPr="00BE34D0" w:rsidRDefault="00946B22" w:rsidP="00912FBD">
      <w:pPr>
        <w:pStyle w:val="NoSpacing"/>
      </w:pPr>
      <w:r>
        <w:t xml:space="preserve">Unresolved </w:t>
      </w:r>
      <w:r w:rsidR="009A3D47">
        <w:t xml:space="preserve">commercial disputes between the applicant and the licensee arising from the previous operation of the licence and which was subject to a lease agreement existing between the two is not a matter for </w:t>
      </w:r>
      <w:r w:rsidR="00E21DC7">
        <w:t>determination</w:t>
      </w:r>
      <w:r w:rsidR="009A3D47">
        <w:t xml:space="preserve"> in this application or, pursuant to the Act.</w:t>
      </w:r>
    </w:p>
    <w:p w:rsidR="00750DF2" w:rsidRDefault="00D53043" w:rsidP="00534234">
      <w:pPr>
        <w:pStyle w:val="NoSpacing"/>
      </w:pPr>
      <w:r w:rsidRPr="00BE34D0">
        <w:t xml:space="preserve">I am not persuaded that </w:t>
      </w:r>
      <w:r w:rsidR="009A3D47">
        <w:t>the t</w:t>
      </w:r>
      <w:r w:rsidR="00946B22">
        <w:t xml:space="preserve">ransfer </w:t>
      </w:r>
      <w:r w:rsidR="009A3D47">
        <w:t>of the liquor licence in the p</w:t>
      </w:r>
      <w:r w:rsidR="00750DF2">
        <w:t>r</w:t>
      </w:r>
      <w:r w:rsidR="009A3D47">
        <w:t xml:space="preserve">esent </w:t>
      </w:r>
      <w:r w:rsidR="00E21DC7">
        <w:t>circumstances</w:t>
      </w:r>
      <w:r w:rsidR="00750DF2">
        <w:t xml:space="preserve"> should be authorised; that is, in the absence of consent of the current licensee, and where the applicant is not precluded from applying for a licence in accordance with section 24 of the Act.</w:t>
      </w:r>
    </w:p>
    <w:p w:rsidR="00CB0757" w:rsidRPr="00BE34D0" w:rsidRDefault="00750DF2" w:rsidP="00FB313D">
      <w:pPr>
        <w:pStyle w:val="NoSpacing"/>
        <w:numPr>
          <w:ilvl w:val="0"/>
          <w:numId w:val="0"/>
        </w:numPr>
        <w:ind w:left="567"/>
      </w:pPr>
      <w:r>
        <w:t>F</w:t>
      </w:r>
      <w:r w:rsidR="00D53043" w:rsidRPr="00BE34D0">
        <w:t xml:space="preserve">or the reasons set out and in accordance with section </w:t>
      </w:r>
      <w:r w:rsidR="004627C2">
        <w:t>43(1</w:t>
      </w:r>
      <w:proofErr w:type="gramStart"/>
      <w:r w:rsidR="004627C2">
        <w:t>)(</w:t>
      </w:r>
      <w:proofErr w:type="gramEnd"/>
      <w:r w:rsidR="004627C2">
        <w:t>b)(ii)</w:t>
      </w:r>
      <w:r w:rsidR="00D53043" w:rsidRPr="00BE34D0">
        <w:t xml:space="preserve"> of the Act, I refuse the application.</w:t>
      </w:r>
    </w:p>
    <w:p w:rsidR="005E6B47" w:rsidRDefault="00D53043" w:rsidP="001D7382">
      <w:pPr>
        <w:pStyle w:val="Heading2"/>
      </w:pPr>
      <w:r>
        <w:t>REVIEW OF DECISION</w:t>
      </w:r>
    </w:p>
    <w:p w:rsidR="008602B9" w:rsidRPr="00BE34D0" w:rsidRDefault="008602B9" w:rsidP="00912FBD">
      <w:pPr>
        <w:pStyle w:val="NoSpacing"/>
      </w:pPr>
      <w:r w:rsidRPr="00B75F3F">
        <w:rPr>
          <w:rFonts w:cs="Arial"/>
        </w:rPr>
        <w:t>Section</w:t>
      </w:r>
      <w:r w:rsidRPr="00BE34D0">
        <w:t xml:space="preserve"> 8 of the </w:t>
      </w:r>
      <w:r w:rsidRPr="00BE34D0">
        <w:rPr>
          <w:i/>
          <w:iCs/>
        </w:rPr>
        <w:t>Licensing (Director-General) Act</w:t>
      </w:r>
      <w:r w:rsidRPr="00BE34D0">
        <w:t xml:space="preserve"> prescribes that a delegate decision is a decision under any Act, of the Director-General that is made by a delegate of the Director-General.  </w:t>
      </w:r>
    </w:p>
    <w:p w:rsidR="008602B9" w:rsidRPr="00BE34D0" w:rsidRDefault="008602B9" w:rsidP="00912FBD">
      <w:pPr>
        <w:pStyle w:val="NoSpacing"/>
      </w:pPr>
      <w:r w:rsidRPr="00B75F3F">
        <w:rPr>
          <w:rFonts w:cs="Arial"/>
        </w:rPr>
        <w:t>Section</w:t>
      </w:r>
      <w:r w:rsidRPr="00BE34D0">
        <w:t xml:space="preserve"> 10 of the </w:t>
      </w:r>
      <w:r w:rsidRPr="00BE34D0">
        <w:rPr>
          <w:i/>
          <w:iCs/>
        </w:rPr>
        <w:t>Licensing (Director-General) Act</w:t>
      </w:r>
      <w:r w:rsidRPr="00BE34D0">
        <w:t xml:space="preserve"> provides that a person affected by a delegate decision may apply to the Director-General for a review of the decision.  Such application for review must be made within 28 days after written notice of the delegate decision is given to an affected person, or within any additional time that the Director-General allows.  </w:t>
      </w:r>
    </w:p>
    <w:p w:rsidR="008602B9" w:rsidRPr="00BE34D0" w:rsidRDefault="008602B9" w:rsidP="00912FBD">
      <w:pPr>
        <w:pStyle w:val="NoSpacing"/>
      </w:pPr>
      <w:r w:rsidRPr="00B75F3F">
        <w:rPr>
          <w:rFonts w:cs="Arial"/>
        </w:rPr>
        <w:t>Section</w:t>
      </w:r>
      <w:r w:rsidRPr="00BE34D0">
        <w:t xml:space="preserve"> 9 of the </w:t>
      </w:r>
      <w:r w:rsidRPr="00BE34D0">
        <w:rPr>
          <w:i/>
          <w:iCs/>
        </w:rPr>
        <w:t>Licensing (Director-General) Act</w:t>
      </w:r>
      <w:r w:rsidRPr="00BE34D0">
        <w:t xml:space="preserve"> prescribes an affected person for a delegate decision to be the applicant and a person who made a submission, complaint or objection (however described) during the process that resulted in the decision being </w:t>
      </w:r>
      <w:r w:rsidRPr="00BE34D0">
        <w:rPr>
          <w:rFonts w:cs="Arial"/>
        </w:rPr>
        <w:t>made</w:t>
      </w:r>
      <w:r w:rsidRPr="00BE34D0">
        <w:t>.</w:t>
      </w:r>
    </w:p>
    <w:p w:rsidR="008602B9" w:rsidRPr="00BE34D0" w:rsidRDefault="008602B9" w:rsidP="00912FBD">
      <w:pPr>
        <w:pStyle w:val="NoSpacing"/>
      </w:pPr>
      <w:r w:rsidRPr="00B75F3F">
        <w:rPr>
          <w:rFonts w:cs="Arial"/>
        </w:rPr>
        <w:t>Accordingly</w:t>
      </w:r>
      <w:r w:rsidRPr="00BE34D0">
        <w:t>, the affected persons i</w:t>
      </w:r>
      <w:r w:rsidR="007B55C1">
        <w:t xml:space="preserve">n relation to this decision are </w:t>
      </w:r>
      <w:r w:rsidR="007B55C1" w:rsidRPr="007B55C1">
        <w:t>Colin E &amp; Jaye L Fink in Partnership</w:t>
      </w:r>
      <w:r w:rsidR="007B55C1">
        <w:t xml:space="preserve"> and The Bark Hut Inn Pty Ltd.</w:t>
      </w:r>
    </w:p>
    <w:p w:rsidR="00DD72D2" w:rsidRPr="001E6FF6" w:rsidRDefault="00983D14" w:rsidP="001D7382">
      <w:pPr>
        <w:spacing w:before="1600" w:after="0"/>
        <w:jc w:val="both"/>
        <w:rPr>
          <w:b/>
        </w:rPr>
      </w:pPr>
      <w:bookmarkStart w:id="1" w:name="_GoBack"/>
      <w:bookmarkEnd w:id="1"/>
      <w:r>
        <w:rPr>
          <w:b/>
        </w:rPr>
        <w:t xml:space="preserve"> </w:t>
      </w:r>
      <w:r w:rsidR="00842844">
        <w:rPr>
          <w:b/>
        </w:rPr>
        <w:t>Sally Ozolins</w:t>
      </w:r>
    </w:p>
    <w:p w:rsidR="00DD72D2" w:rsidRPr="00E30632" w:rsidRDefault="00842844" w:rsidP="001D7382">
      <w:pPr>
        <w:spacing w:after="240"/>
        <w:jc w:val="both"/>
      </w:pPr>
      <w:r>
        <w:t xml:space="preserve">Deputy </w:t>
      </w:r>
      <w:r w:rsidR="007115C6">
        <w:t>Director</w:t>
      </w:r>
      <w:r>
        <w:t>-General (Operations)</w:t>
      </w:r>
    </w:p>
    <w:p w:rsidR="00DD72D2" w:rsidRPr="00DD72D2" w:rsidRDefault="007B55C1" w:rsidP="001D7382">
      <w:pPr>
        <w:spacing w:after="240"/>
        <w:jc w:val="both"/>
      </w:pPr>
      <w:r>
        <w:t>1</w:t>
      </w:r>
      <w:r w:rsidR="0094459D">
        <w:t>9</w:t>
      </w:r>
      <w:r>
        <w:t xml:space="preserve"> May 2017</w:t>
      </w:r>
    </w:p>
    <w:sectPr w:rsidR="00DD72D2" w:rsidRPr="00DD72D2" w:rsidSect="001072A6">
      <w:headerReference w:type="default" r:id="rId11"/>
      <w:footerReference w:type="default" r:id="rId12"/>
      <w:headerReference w:type="first" r:id="rId13"/>
      <w:footerReference w:type="first" r:id="rId14"/>
      <w:pgSz w:w="11906" w:h="16838"/>
      <w:pgMar w:top="1134" w:right="1134" w:bottom="1134" w:left="1134"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AB" w:rsidRDefault="00BF54AB" w:rsidP="003E58C0">
      <w:pPr>
        <w:spacing w:after="0"/>
      </w:pPr>
      <w:r>
        <w:separator/>
      </w:r>
    </w:p>
  </w:endnote>
  <w:endnote w:type="continuationSeparator" w:id="0">
    <w:p w:rsidR="00BF54AB" w:rsidRDefault="00BF54AB"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EAD" w:rsidRDefault="009C5EAD" w:rsidP="00651CE7">
    <w:pPr>
      <w:pBdr>
        <w:top w:val="single" w:sz="4" w:space="1" w:color="auto"/>
      </w:pBdr>
      <w:tabs>
        <w:tab w:val="right" w:pos="9638"/>
      </w:tabs>
      <w:spacing w:after="0"/>
      <w:rPr>
        <w:sz w:val="18"/>
        <w:szCs w:val="18"/>
      </w:rPr>
    </w:pPr>
    <w:r>
      <w:rPr>
        <w:sz w:val="18"/>
        <w:szCs w:val="18"/>
      </w:rPr>
      <w:t>Decision for Colin E &amp; Jaye L Fink in Partnership</w:t>
    </w:r>
    <w:r>
      <w:rPr>
        <w:sz w:val="18"/>
        <w:szCs w:val="18"/>
      </w:rPr>
      <w:tab/>
      <w:t>Date of Decision: 19 May 2017</w:t>
    </w:r>
  </w:p>
  <w:p w:rsidR="009C5EAD" w:rsidRPr="00AA6DB9" w:rsidRDefault="009C5EAD" w:rsidP="00651CE7">
    <w:pPr>
      <w:tabs>
        <w:tab w:val="left" w:pos="1671"/>
        <w:tab w:val="right" w:pos="9638"/>
      </w:tabs>
      <w:rPr>
        <w:sz w:val="18"/>
        <w:szCs w:val="18"/>
      </w:rPr>
    </w:pPr>
    <w:r>
      <w:rPr>
        <w:sz w:val="18"/>
        <w:szCs w:val="18"/>
      </w:rPr>
      <w:t>Ref# DTBI2017/05906</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AB7281">
      <w:rPr>
        <w:noProof/>
        <w:sz w:val="18"/>
        <w:szCs w:val="18"/>
      </w:rPr>
      <w:t>3</w:t>
    </w:r>
    <w:r>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EAD" w:rsidRDefault="009C5EAD" w:rsidP="00BE0185">
    <w:pPr>
      <w:pBdr>
        <w:top w:val="single" w:sz="4" w:space="1" w:color="auto"/>
      </w:pBdr>
      <w:tabs>
        <w:tab w:val="right" w:pos="9638"/>
      </w:tabs>
      <w:spacing w:after="0"/>
      <w:rPr>
        <w:sz w:val="18"/>
        <w:szCs w:val="18"/>
      </w:rPr>
    </w:pPr>
    <w:r>
      <w:rPr>
        <w:sz w:val="18"/>
        <w:szCs w:val="18"/>
      </w:rPr>
      <w:t>Decision for Colin E &amp; Jaye L Fink in Partnership</w:t>
    </w:r>
    <w:r>
      <w:rPr>
        <w:sz w:val="18"/>
        <w:szCs w:val="18"/>
      </w:rPr>
      <w:tab/>
      <w:t>Date of Decision: 19 May 2017</w:t>
    </w:r>
  </w:p>
  <w:p w:rsidR="009C5EAD" w:rsidRPr="00BE0185" w:rsidRDefault="009C5EAD" w:rsidP="00BE0185">
    <w:pPr>
      <w:tabs>
        <w:tab w:val="left" w:pos="1671"/>
        <w:tab w:val="right" w:pos="9638"/>
      </w:tabs>
      <w:rPr>
        <w:sz w:val="18"/>
        <w:szCs w:val="18"/>
      </w:rPr>
    </w:pPr>
    <w:r>
      <w:rPr>
        <w:sz w:val="18"/>
        <w:szCs w:val="18"/>
      </w:rPr>
      <w:t>Ref# DTBI2017/05906</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AB7281">
      <w:rPr>
        <w:noProof/>
        <w:sz w:val="18"/>
        <w:szCs w:val="18"/>
      </w:rPr>
      <w:t>1</w:t>
    </w:r>
    <w:r>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AB" w:rsidRDefault="00BF54AB" w:rsidP="003E58C0">
      <w:pPr>
        <w:spacing w:after="0"/>
      </w:pPr>
      <w:r>
        <w:separator/>
      </w:r>
    </w:p>
  </w:footnote>
  <w:footnote w:type="continuationSeparator" w:id="0">
    <w:p w:rsidR="00BF54AB" w:rsidRDefault="00BF54AB"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EAD" w:rsidRDefault="009C5EAD"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EAD" w:rsidRDefault="009C5EAD" w:rsidP="00ED557E">
    <w:pPr>
      <w:pStyle w:val="Header"/>
    </w:pPr>
    <w:r>
      <w:rPr>
        <w:noProof/>
        <w:lang w:eastAsia="en-AU"/>
      </w:rPr>
      <w:drawing>
        <wp:inline distT="0" distB="0" distL="0" distR="0" wp14:anchorId="42E33A3D" wp14:editId="79D9AEF8">
          <wp:extent cx="1880870" cy="6642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rsidR="009C5EAD" w:rsidRPr="00ED557E" w:rsidRDefault="009C5EAD" w:rsidP="00ED5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7B9"/>
    <w:multiLevelType w:val="hybridMultilevel"/>
    <w:tmpl w:val="18BC6746"/>
    <w:lvl w:ilvl="0" w:tplc="5816C8A8">
      <w:start w:val="1"/>
      <w:numFmt w:val="decimal"/>
      <w:pStyle w:val="NoSpac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532107"/>
    <w:multiLevelType w:val="hybridMultilevel"/>
    <w:tmpl w:val="8AC648D4"/>
    <w:lvl w:ilvl="0" w:tplc="9ADA4A6C">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EEF1D69"/>
    <w:multiLevelType w:val="hybridMultilevel"/>
    <w:tmpl w:val="090EAC2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 w15:restartNumberingAfterBreak="0">
    <w:nsid w:val="2452268F"/>
    <w:multiLevelType w:val="hybridMultilevel"/>
    <w:tmpl w:val="EB5A90A0"/>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4AC0466"/>
    <w:multiLevelType w:val="hybridMultilevel"/>
    <w:tmpl w:val="6E38B188"/>
    <w:lvl w:ilvl="0" w:tplc="9ADA4A6C">
      <w:start w:val="1"/>
      <w:numFmt w:val="lowerRoman"/>
      <w:lvlText w:val="(%1)"/>
      <w:lvlJc w:val="left"/>
      <w:pPr>
        <w:ind w:left="5409" w:hanging="720"/>
      </w:pPr>
      <w:rPr>
        <w:rFonts w:hint="default"/>
      </w:rPr>
    </w:lvl>
    <w:lvl w:ilvl="1" w:tplc="0C090019">
      <w:start w:val="1"/>
      <w:numFmt w:val="lowerLetter"/>
      <w:lvlText w:val="%2."/>
      <w:lvlJc w:val="left"/>
      <w:pPr>
        <w:ind w:left="5769" w:hanging="360"/>
      </w:pPr>
    </w:lvl>
    <w:lvl w:ilvl="2" w:tplc="0C09001B" w:tentative="1">
      <w:start w:val="1"/>
      <w:numFmt w:val="lowerRoman"/>
      <w:lvlText w:val="%3."/>
      <w:lvlJc w:val="right"/>
      <w:pPr>
        <w:ind w:left="6489" w:hanging="180"/>
      </w:pPr>
    </w:lvl>
    <w:lvl w:ilvl="3" w:tplc="0C09000F" w:tentative="1">
      <w:start w:val="1"/>
      <w:numFmt w:val="decimal"/>
      <w:lvlText w:val="%4."/>
      <w:lvlJc w:val="left"/>
      <w:pPr>
        <w:ind w:left="7209" w:hanging="360"/>
      </w:pPr>
    </w:lvl>
    <w:lvl w:ilvl="4" w:tplc="0C090019" w:tentative="1">
      <w:start w:val="1"/>
      <w:numFmt w:val="lowerLetter"/>
      <w:lvlText w:val="%5."/>
      <w:lvlJc w:val="left"/>
      <w:pPr>
        <w:ind w:left="7929" w:hanging="360"/>
      </w:pPr>
    </w:lvl>
    <w:lvl w:ilvl="5" w:tplc="0C09001B" w:tentative="1">
      <w:start w:val="1"/>
      <w:numFmt w:val="lowerRoman"/>
      <w:lvlText w:val="%6."/>
      <w:lvlJc w:val="right"/>
      <w:pPr>
        <w:ind w:left="8649" w:hanging="180"/>
      </w:pPr>
    </w:lvl>
    <w:lvl w:ilvl="6" w:tplc="0C09000F" w:tentative="1">
      <w:start w:val="1"/>
      <w:numFmt w:val="decimal"/>
      <w:lvlText w:val="%7."/>
      <w:lvlJc w:val="left"/>
      <w:pPr>
        <w:ind w:left="9369" w:hanging="360"/>
      </w:pPr>
    </w:lvl>
    <w:lvl w:ilvl="7" w:tplc="0C090019" w:tentative="1">
      <w:start w:val="1"/>
      <w:numFmt w:val="lowerLetter"/>
      <w:lvlText w:val="%8."/>
      <w:lvlJc w:val="left"/>
      <w:pPr>
        <w:ind w:left="10089" w:hanging="360"/>
      </w:pPr>
    </w:lvl>
    <w:lvl w:ilvl="8" w:tplc="0C09001B" w:tentative="1">
      <w:start w:val="1"/>
      <w:numFmt w:val="lowerRoman"/>
      <w:lvlText w:val="%9."/>
      <w:lvlJc w:val="right"/>
      <w:pPr>
        <w:ind w:left="10809" w:hanging="180"/>
      </w:pPr>
    </w:lvl>
  </w:abstractNum>
  <w:abstractNum w:abstractNumId="5" w15:restartNumberingAfterBreak="0">
    <w:nsid w:val="3A3843E9"/>
    <w:multiLevelType w:val="hybridMultilevel"/>
    <w:tmpl w:val="F6C0EC7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3EA031B9"/>
    <w:multiLevelType w:val="hybridMultilevel"/>
    <w:tmpl w:val="6268B86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401F37A4"/>
    <w:multiLevelType w:val="hybridMultilevel"/>
    <w:tmpl w:val="6E38B188"/>
    <w:lvl w:ilvl="0" w:tplc="9ADA4A6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46903B5E"/>
    <w:multiLevelType w:val="hybridMultilevel"/>
    <w:tmpl w:val="9CE6B2C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4D818FB"/>
    <w:multiLevelType w:val="hybridMultilevel"/>
    <w:tmpl w:val="1636615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9"/>
  </w:num>
  <w:num w:numId="8">
    <w:abstractNumId w:val="2"/>
  </w:num>
  <w:num w:numId="9">
    <w:abstractNumId w:val="0"/>
  </w:num>
  <w:num w:numId="10">
    <w:abstractNumId w:val="3"/>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7"/>
  </w:num>
  <w:num w:numId="21">
    <w:abstractNumId w:val="0"/>
  </w:num>
  <w:num w:numId="22">
    <w:abstractNumId w:val="0"/>
  </w:num>
  <w:num w:numId="23">
    <w:abstractNumId w:val="0"/>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A2"/>
    <w:rsid w:val="000438DD"/>
    <w:rsid w:val="000B2CD0"/>
    <w:rsid w:val="000C1CF4"/>
    <w:rsid w:val="000C2300"/>
    <w:rsid w:val="001072A6"/>
    <w:rsid w:val="00126D4D"/>
    <w:rsid w:val="001459E3"/>
    <w:rsid w:val="00154B6F"/>
    <w:rsid w:val="00155A03"/>
    <w:rsid w:val="001606E6"/>
    <w:rsid w:val="00166039"/>
    <w:rsid w:val="001B70FA"/>
    <w:rsid w:val="001D164B"/>
    <w:rsid w:val="001D7382"/>
    <w:rsid w:val="001E6FF6"/>
    <w:rsid w:val="001F5E32"/>
    <w:rsid w:val="002311A9"/>
    <w:rsid w:val="00253EA6"/>
    <w:rsid w:val="00253F1A"/>
    <w:rsid w:val="00263BFD"/>
    <w:rsid w:val="002A2638"/>
    <w:rsid w:val="002A4724"/>
    <w:rsid w:val="002A4AB3"/>
    <w:rsid w:val="002A4D21"/>
    <w:rsid w:val="002C0009"/>
    <w:rsid w:val="002D2C9C"/>
    <w:rsid w:val="002D2EED"/>
    <w:rsid w:val="002D68FA"/>
    <w:rsid w:val="002E4FC4"/>
    <w:rsid w:val="002E5C23"/>
    <w:rsid w:val="002F010A"/>
    <w:rsid w:val="00302C63"/>
    <w:rsid w:val="00325405"/>
    <w:rsid w:val="003943ED"/>
    <w:rsid w:val="003E309D"/>
    <w:rsid w:val="003E58C0"/>
    <w:rsid w:val="00424BE1"/>
    <w:rsid w:val="00442846"/>
    <w:rsid w:val="004500C5"/>
    <w:rsid w:val="004627C2"/>
    <w:rsid w:val="004827C5"/>
    <w:rsid w:val="004F6B07"/>
    <w:rsid w:val="00516B5B"/>
    <w:rsid w:val="005322BD"/>
    <w:rsid w:val="00594BDA"/>
    <w:rsid w:val="005A0B41"/>
    <w:rsid w:val="005D4AA1"/>
    <w:rsid w:val="005E6B47"/>
    <w:rsid w:val="00611615"/>
    <w:rsid w:val="006171D6"/>
    <w:rsid w:val="0063134A"/>
    <w:rsid w:val="00636D4E"/>
    <w:rsid w:val="00641618"/>
    <w:rsid w:val="006506E0"/>
    <w:rsid w:val="00651CE7"/>
    <w:rsid w:val="00675188"/>
    <w:rsid w:val="00686827"/>
    <w:rsid w:val="00690008"/>
    <w:rsid w:val="00691F82"/>
    <w:rsid w:val="006A0B9A"/>
    <w:rsid w:val="006C0B9E"/>
    <w:rsid w:val="006C5874"/>
    <w:rsid w:val="006D2F91"/>
    <w:rsid w:val="00702C9F"/>
    <w:rsid w:val="0070375D"/>
    <w:rsid w:val="00707565"/>
    <w:rsid w:val="007115C6"/>
    <w:rsid w:val="00714563"/>
    <w:rsid w:val="00731CC0"/>
    <w:rsid w:val="0073515A"/>
    <w:rsid w:val="007419A2"/>
    <w:rsid w:val="00750DF2"/>
    <w:rsid w:val="00774B37"/>
    <w:rsid w:val="0078053C"/>
    <w:rsid w:val="007B55C1"/>
    <w:rsid w:val="007B5DBA"/>
    <w:rsid w:val="007E2263"/>
    <w:rsid w:val="00803846"/>
    <w:rsid w:val="00811BA8"/>
    <w:rsid w:val="00825D0D"/>
    <w:rsid w:val="00842844"/>
    <w:rsid w:val="0084408C"/>
    <w:rsid w:val="008602B9"/>
    <w:rsid w:val="0086664D"/>
    <w:rsid w:val="00880AEA"/>
    <w:rsid w:val="008C03F0"/>
    <w:rsid w:val="008E1EBA"/>
    <w:rsid w:val="00912FBD"/>
    <w:rsid w:val="0094459D"/>
    <w:rsid w:val="00946B22"/>
    <w:rsid w:val="009519BE"/>
    <w:rsid w:val="0095755A"/>
    <w:rsid w:val="00964392"/>
    <w:rsid w:val="00973FD0"/>
    <w:rsid w:val="00983D14"/>
    <w:rsid w:val="009929DB"/>
    <w:rsid w:val="009A3D47"/>
    <w:rsid w:val="009C5D09"/>
    <w:rsid w:val="009C5EAD"/>
    <w:rsid w:val="009E4B6D"/>
    <w:rsid w:val="009E5AAE"/>
    <w:rsid w:val="00A02122"/>
    <w:rsid w:val="00A23770"/>
    <w:rsid w:val="00A66342"/>
    <w:rsid w:val="00AA6DB9"/>
    <w:rsid w:val="00AB7281"/>
    <w:rsid w:val="00AC5014"/>
    <w:rsid w:val="00AE52FB"/>
    <w:rsid w:val="00B06012"/>
    <w:rsid w:val="00B241AB"/>
    <w:rsid w:val="00B35447"/>
    <w:rsid w:val="00B75F3F"/>
    <w:rsid w:val="00B83B43"/>
    <w:rsid w:val="00B95A92"/>
    <w:rsid w:val="00BC6004"/>
    <w:rsid w:val="00BE0185"/>
    <w:rsid w:val="00BF54AB"/>
    <w:rsid w:val="00C7001E"/>
    <w:rsid w:val="00C70997"/>
    <w:rsid w:val="00C9103C"/>
    <w:rsid w:val="00CB0757"/>
    <w:rsid w:val="00D13D68"/>
    <w:rsid w:val="00D325D6"/>
    <w:rsid w:val="00D400FC"/>
    <w:rsid w:val="00D402F0"/>
    <w:rsid w:val="00D41FC4"/>
    <w:rsid w:val="00D53043"/>
    <w:rsid w:val="00D5455D"/>
    <w:rsid w:val="00D63AA0"/>
    <w:rsid w:val="00D67FF6"/>
    <w:rsid w:val="00D72204"/>
    <w:rsid w:val="00D7349E"/>
    <w:rsid w:val="00D877E4"/>
    <w:rsid w:val="00DB5506"/>
    <w:rsid w:val="00DD2711"/>
    <w:rsid w:val="00DD72D2"/>
    <w:rsid w:val="00DE0252"/>
    <w:rsid w:val="00DE02BE"/>
    <w:rsid w:val="00DE424E"/>
    <w:rsid w:val="00DF3010"/>
    <w:rsid w:val="00E04709"/>
    <w:rsid w:val="00E133B4"/>
    <w:rsid w:val="00E15637"/>
    <w:rsid w:val="00E163AD"/>
    <w:rsid w:val="00E178E8"/>
    <w:rsid w:val="00E21396"/>
    <w:rsid w:val="00E21DC7"/>
    <w:rsid w:val="00E30632"/>
    <w:rsid w:val="00E91362"/>
    <w:rsid w:val="00ED557E"/>
    <w:rsid w:val="00EE54BC"/>
    <w:rsid w:val="00F161FF"/>
    <w:rsid w:val="00F23997"/>
    <w:rsid w:val="00F56114"/>
    <w:rsid w:val="00F6490F"/>
    <w:rsid w:val="00F75669"/>
    <w:rsid w:val="00F84E52"/>
    <w:rsid w:val="00F86B64"/>
    <w:rsid w:val="00FB7DEB"/>
    <w:rsid w:val="00FB7EAE"/>
    <w:rsid w:val="00FE5A5E"/>
    <w:rsid w:val="00FF6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61E552E-621C-4689-AD42-80F1F50D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E7"/>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F23997"/>
    <w:pPr>
      <w:keepNext/>
      <w:spacing w:before="240" w:after="240"/>
      <w:jc w:val="both"/>
      <w:outlineLvl w:val="1"/>
    </w:pPr>
    <w:rPr>
      <w:rFonts w:eastAsia="Times New Roman"/>
      <w:b/>
      <w:bCs/>
      <w:color w:val="606060"/>
      <w:sz w:val="28"/>
      <w:szCs w:val="26"/>
    </w:rPr>
  </w:style>
  <w:style w:type="paragraph" w:styleId="Heading3">
    <w:name w:val="heading 3"/>
    <w:basedOn w:val="Normal"/>
    <w:next w:val="Normal"/>
    <w:link w:val="Heading3Char"/>
    <w:autoRedefine/>
    <w:uiPriority w:val="9"/>
    <w:unhideWhenUsed/>
    <w:qFormat/>
    <w:rsid w:val="00714563"/>
    <w:pPr>
      <w:keepNext/>
      <w:keepLines/>
      <w:outlineLvl w:val="2"/>
    </w:pPr>
    <w:rPr>
      <w:rFonts w:eastAsia="Times New Roman"/>
      <w:b/>
      <w:bCs/>
      <w:color w:val="000000"/>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F23997"/>
    <w:rPr>
      <w:rFonts w:ascii="Lato" w:eastAsia="Times New Roman" w:hAnsi="Lato"/>
      <w:b/>
      <w:bCs/>
      <w:color w:val="606060"/>
      <w:sz w:val="28"/>
      <w:szCs w:val="26"/>
      <w:lang w:eastAsia="en-US"/>
    </w:rPr>
  </w:style>
  <w:style w:type="character" w:customStyle="1" w:styleId="Heading3Char">
    <w:name w:val="Heading 3 Char"/>
    <w:link w:val="Heading3"/>
    <w:uiPriority w:val="9"/>
    <w:rsid w:val="00714563"/>
    <w:rPr>
      <w:rFonts w:ascii="Lato" w:eastAsia="Times New Roman" w:hAnsi="Lato"/>
      <w:b/>
      <w:bCs/>
      <w:color w:val="000000"/>
      <w:sz w:val="22"/>
      <w:szCs w:val="22"/>
      <w:lang w:eastAsia="en-US"/>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912FBD"/>
    <w:pPr>
      <w:numPr>
        <w:numId w:val="1"/>
      </w:numPr>
      <w:spacing w:after="120"/>
      <w:ind w:left="567" w:hanging="567"/>
      <w:jc w:val="both"/>
    </w:pPr>
    <w:rPr>
      <w:rFonts w:ascii="Lato" w:hAnsi="Lato"/>
      <w:sz w:val="22"/>
      <w:szCs w:val="22"/>
      <w:lang w:eastAsia="en-US"/>
    </w:rPr>
  </w:style>
  <w:style w:type="paragraph" w:styleId="BalloonText">
    <w:name w:val="Balloon Text"/>
    <w:basedOn w:val="Normal"/>
    <w:link w:val="BalloonTextChar"/>
    <w:uiPriority w:val="99"/>
    <w:semiHidden/>
    <w:unhideWhenUsed/>
    <w:rsid w:val="00ED5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7E"/>
    <w:rPr>
      <w:rFonts w:ascii="Tahoma" w:hAnsi="Tahoma" w:cs="Tahoma"/>
      <w:sz w:val="16"/>
      <w:szCs w:val="16"/>
      <w:lang w:eastAsia="en-US"/>
    </w:rPr>
  </w:style>
  <w:style w:type="paragraph" w:customStyle="1" w:styleId="Tabformatting">
    <w:name w:val="Tab formatting"/>
    <w:basedOn w:val="Normal"/>
    <w:rsid w:val="00442846"/>
    <w:pPr>
      <w:spacing w:after="200"/>
      <w:ind w:left="2835" w:hanging="2835"/>
    </w:pPr>
    <w:rPr>
      <w:rFonts w:ascii="Arial" w:eastAsia="Times New Roman" w:hAnsi="Arial"/>
      <w:sz w:val="24"/>
      <w:szCs w:val="20"/>
      <w:lang w:eastAsia="en-AU"/>
    </w:rPr>
  </w:style>
  <w:style w:type="paragraph" w:styleId="FootnoteText">
    <w:name w:val="footnote text"/>
    <w:basedOn w:val="Normal"/>
    <w:link w:val="FootnoteTextChar"/>
    <w:uiPriority w:val="99"/>
    <w:semiHidden/>
    <w:unhideWhenUsed/>
    <w:rsid w:val="002F010A"/>
    <w:pPr>
      <w:spacing w:after="0"/>
      <w:jc w:val="both"/>
    </w:pPr>
    <w:rPr>
      <w:rFonts w:ascii="Arial" w:eastAsia="Times New Roman" w:hAnsi="Arial"/>
      <w:sz w:val="20"/>
      <w:szCs w:val="20"/>
      <w:lang w:eastAsia="en-AU"/>
    </w:rPr>
  </w:style>
  <w:style w:type="character" w:customStyle="1" w:styleId="FootnoteTextChar">
    <w:name w:val="Footnote Text Char"/>
    <w:basedOn w:val="DefaultParagraphFont"/>
    <w:link w:val="FootnoteText"/>
    <w:uiPriority w:val="99"/>
    <w:semiHidden/>
    <w:rsid w:val="002F010A"/>
    <w:rPr>
      <w:rFonts w:ascii="Arial" w:eastAsia="Times New Roman" w:hAnsi="Arial"/>
    </w:rPr>
  </w:style>
  <w:style w:type="character" w:styleId="FootnoteReference">
    <w:name w:val="footnote reference"/>
    <w:basedOn w:val="DefaultParagraphFont"/>
    <w:uiPriority w:val="99"/>
    <w:semiHidden/>
    <w:unhideWhenUsed/>
    <w:rsid w:val="002F0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3723">
      <w:bodyDiv w:val="1"/>
      <w:marLeft w:val="0"/>
      <w:marRight w:val="0"/>
      <w:marTop w:val="0"/>
      <w:marBottom w:val="0"/>
      <w:divBdr>
        <w:top w:val="none" w:sz="0" w:space="0" w:color="auto"/>
        <w:left w:val="none" w:sz="0" w:space="0" w:color="auto"/>
        <w:bottom w:val="none" w:sz="0" w:space="0" w:color="auto"/>
        <w:right w:val="none" w:sz="0" w:space="0" w:color="auto"/>
      </w:divBdr>
    </w:div>
    <w:div w:id="177239900">
      <w:bodyDiv w:val="1"/>
      <w:marLeft w:val="0"/>
      <w:marRight w:val="0"/>
      <w:marTop w:val="0"/>
      <w:marBottom w:val="0"/>
      <w:divBdr>
        <w:top w:val="none" w:sz="0" w:space="0" w:color="auto"/>
        <w:left w:val="none" w:sz="0" w:space="0" w:color="auto"/>
        <w:bottom w:val="none" w:sz="0" w:space="0" w:color="auto"/>
        <w:right w:val="none" w:sz="0" w:space="0" w:color="auto"/>
      </w:divBdr>
    </w:div>
    <w:div w:id="407731412">
      <w:bodyDiv w:val="1"/>
      <w:marLeft w:val="0"/>
      <w:marRight w:val="0"/>
      <w:marTop w:val="0"/>
      <w:marBottom w:val="0"/>
      <w:divBdr>
        <w:top w:val="none" w:sz="0" w:space="0" w:color="auto"/>
        <w:left w:val="none" w:sz="0" w:space="0" w:color="auto"/>
        <w:bottom w:val="none" w:sz="0" w:space="0" w:color="auto"/>
        <w:right w:val="none" w:sz="0" w:space="0" w:color="auto"/>
      </w:divBdr>
    </w:div>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1349141920">
      <w:bodyDiv w:val="1"/>
      <w:marLeft w:val="0"/>
      <w:marRight w:val="0"/>
      <w:marTop w:val="0"/>
      <w:marBottom w:val="0"/>
      <w:divBdr>
        <w:top w:val="none" w:sz="0" w:space="0" w:color="auto"/>
        <w:left w:val="none" w:sz="0" w:space="0" w:color="auto"/>
        <w:bottom w:val="none" w:sz="0" w:space="0" w:color="auto"/>
        <w:right w:val="none" w:sz="0" w:space="0" w:color="auto"/>
      </w:divBdr>
    </w:div>
    <w:div w:id="19073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4DCD-E20B-418B-B402-80B3B470B33B}">
  <ds:schemaRefs>
    <ds:schemaRef ds:uri="http://purl.org/dc/dcmitype/"/>
    <ds:schemaRef ds:uri="http://schemas.openxmlformats.org/package/2006/metadata/core-properties"/>
    <ds:schemaRef ds:uri="3f1acef0-744d-4246-9640-1b1641e99d0a"/>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69779-EA9D-4149-AC79-C23C3741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Decision Notice - Big Ass Grill</vt:lpstr>
    </vt:vector>
  </TitlesOfParts>
  <Company>NTG</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Big Ass Grill</dc:title>
  <dc:subject/>
  <dc:creator>Karen Gerschwitz</dc:creator>
  <cp:keywords/>
  <dc:description/>
  <cp:lastModifiedBy>Judith Boiteau</cp:lastModifiedBy>
  <cp:revision>3</cp:revision>
  <cp:lastPrinted>2016-12-16T06:15:00Z</cp:lastPrinted>
  <dcterms:created xsi:type="dcterms:W3CDTF">2017-05-23T05:01:00Z</dcterms:created>
  <dcterms:modified xsi:type="dcterms:W3CDTF">2017-06-22T00:43:00Z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