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F1869">
        <w:t>The NT Rock Bar</w:t>
      </w:r>
    </w:p>
    <w:p w:rsidR="00E57073" w:rsidRDefault="0075640C" w:rsidP="001620E9">
      <w:pPr>
        <w:pStyle w:val="Tabformatting"/>
      </w:pPr>
      <w:r>
        <w:rPr>
          <w:b/>
        </w:rPr>
        <w:t>Licens</w:t>
      </w:r>
      <w:r w:rsidR="00E57073">
        <w:rPr>
          <w:b/>
        </w:rPr>
        <w:t>ee</w:t>
      </w:r>
      <w:r w:rsidR="00E57073">
        <w:t>:</w:t>
      </w:r>
      <w:r w:rsidR="00E57073">
        <w:tab/>
      </w:r>
      <w:proofErr w:type="spellStart"/>
      <w:r w:rsidR="005F1869">
        <w:t>Coprax</w:t>
      </w:r>
      <w:proofErr w:type="spellEnd"/>
      <w:r w:rsidR="005F1869">
        <w:t xml:space="preserve"> Pty Ltd</w:t>
      </w:r>
    </w:p>
    <w:p w:rsidR="005F1869" w:rsidRPr="005F1869" w:rsidRDefault="005F1869" w:rsidP="001620E9">
      <w:pPr>
        <w:pStyle w:val="Tabformatting"/>
      </w:pPr>
      <w:r>
        <w:rPr>
          <w:b/>
        </w:rPr>
        <w:t>Nominee</w:t>
      </w:r>
      <w:r>
        <w:t>:</w:t>
      </w:r>
      <w:r>
        <w:tab/>
        <w:t xml:space="preserve">Ms </w:t>
      </w:r>
      <w:proofErr w:type="spellStart"/>
      <w:r>
        <w:t>Malathi</w:t>
      </w:r>
      <w:proofErr w:type="spellEnd"/>
      <w:r>
        <w:t xml:space="preserve"> Stewart</w:t>
      </w:r>
    </w:p>
    <w:p w:rsidR="00E57073" w:rsidRDefault="00E57073" w:rsidP="001620E9">
      <w:pPr>
        <w:pStyle w:val="Tabformatting"/>
      </w:pPr>
      <w:r>
        <w:rPr>
          <w:b/>
        </w:rPr>
        <w:t>Licence Number</w:t>
      </w:r>
      <w:r>
        <w:t>:</w:t>
      </w:r>
      <w:r>
        <w:tab/>
      </w:r>
      <w:r w:rsidR="005F1869">
        <w:t>80805090</w:t>
      </w:r>
    </w:p>
    <w:p w:rsidR="00E57073" w:rsidRPr="0075640C" w:rsidRDefault="0075640C" w:rsidP="0075640C">
      <w:pPr>
        <w:pStyle w:val="Tabformatting"/>
        <w:rPr>
          <w:b/>
          <w:i/>
        </w:rPr>
      </w:pPr>
      <w:r>
        <w:rPr>
          <w:b/>
        </w:rPr>
        <w:t>Complaints</w:t>
      </w:r>
      <w:r w:rsidR="00E57073">
        <w:t>:</w:t>
      </w:r>
      <w:r w:rsidR="00E57073">
        <w:tab/>
      </w:r>
      <w:r>
        <w:t>Cancellation of Liquor Licence Pursuant to Section 72(5</w:t>
      </w:r>
      <w:proofErr w:type="gramStart"/>
      <w:r>
        <w:t>)(</w:t>
      </w:r>
      <w:proofErr w:type="gramEnd"/>
      <w:r>
        <w:t xml:space="preserve">a) of the </w:t>
      </w:r>
      <w:r>
        <w:rPr>
          <w:i/>
        </w:rPr>
        <w:t>Liquor Act</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5F1869">
        <w:br/>
        <w:t xml:space="preserve">Mr Philip </w:t>
      </w:r>
      <w:proofErr w:type="spellStart"/>
      <w:r w:rsidR="005F1869">
        <w:t>Timney</w:t>
      </w:r>
      <w:proofErr w:type="spellEnd"/>
      <w:r w:rsidR="005F1869">
        <w:br/>
        <w:t xml:space="preserve">Ms Helen </w:t>
      </w:r>
      <w:proofErr w:type="spellStart"/>
      <w:r w:rsidR="005F1869">
        <w:t>Kilgariff</w:t>
      </w:r>
      <w:proofErr w:type="spellEnd"/>
    </w:p>
    <w:p w:rsidR="00E57073" w:rsidRDefault="00E57073" w:rsidP="001620E9">
      <w:pPr>
        <w:pStyle w:val="Tabformatting"/>
      </w:pPr>
      <w:r>
        <w:rPr>
          <w:b/>
        </w:rPr>
        <w:t>Date of Hearing</w:t>
      </w:r>
      <w:r>
        <w:t>:</w:t>
      </w:r>
      <w:r>
        <w:tab/>
      </w:r>
      <w:r w:rsidR="005F1869">
        <w:t>28 October</w:t>
      </w:r>
      <w:r w:rsidR="0075640C">
        <w:t xml:space="preserve"> 2008</w:t>
      </w:r>
    </w:p>
    <w:p w:rsidR="0075640C" w:rsidRPr="0075640C" w:rsidRDefault="00E57073" w:rsidP="0075640C">
      <w:pPr>
        <w:pStyle w:val="Tabformatting"/>
      </w:pPr>
      <w:r>
        <w:rPr>
          <w:b/>
        </w:rPr>
        <w:t>Appearances</w:t>
      </w:r>
      <w:r>
        <w:t>:</w:t>
      </w:r>
      <w:r>
        <w:tab/>
      </w:r>
      <w:r w:rsidR="005F1869">
        <w:t>Mr Wayne Sanderson for Director of Licensing</w:t>
      </w:r>
      <w:r w:rsidR="005F1869">
        <w:br/>
        <w:t xml:space="preserve">Mr Sean Stewart for </w:t>
      </w:r>
      <w:proofErr w:type="spellStart"/>
      <w:r w:rsidR="005F1869">
        <w:t>Coprax</w:t>
      </w:r>
      <w:proofErr w:type="spellEnd"/>
      <w:r w:rsidR="005F1869">
        <w:t xml:space="preserve"> Pty Ltd</w:t>
      </w:r>
      <w:r w:rsidR="005F1869">
        <w:br/>
        <w:t xml:space="preserve">Mr Robert Cowan for </w:t>
      </w:r>
      <w:proofErr w:type="gramStart"/>
      <w:r w:rsidR="005F1869">
        <w:t>The</w:t>
      </w:r>
      <w:proofErr w:type="gramEnd"/>
      <w:r w:rsidR="005F1869">
        <w:t xml:space="preserve"> Rock Tour Pty Ltd</w:t>
      </w:r>
    </w:p>
    <w:p w:rsidR="007D7966" w:rsidRDefault="007D7966" w:rsidP="001620E9">
      <w:pPr>
        <w:pStyle w:val="BottomLine"/>
      </w:pPr>
    </w:p>
    <w:p w:rsidR="005F1869" w:rsidRDefault="005F1869" w:rsidP="005F1869">
      <w:pPr>
        <w:pStyle w:val="Heading2"/>
      </w:pPr>
      <w:r>
        <w:t>Background</w:t>
      </w:r>
    </w:p>
    <w:p w:rsidR="005F1869" w:rsidRDefault="005F1869" w:rsidP="005F1869">
      <w:pPr>
        <w:pStyle w:val="ListParagraph"/>
        <w:numPr>
          <w:ilvl w:val="0"/>
          <w:numId w:val="42"/>
        </w:numPr>
      </w:pPr>
      <w:r>
        <w:t xml:space="preserve">In January 2008 the Northern Territory Licensing Commission approved the substitution of the licence held by </w:t>
      </w:r>
      <w:proofErr w:type="spellStart"/>
      <w:r>
        <w:t>Coprax</w:t>
      </w:r>
      <w:proofErr w:type="spellEnd"/>
      <w:r>
        <w:t xml:space="preserve"> Pty Ltd, trading as </w:t>
      </w:r>
      <w:proofErr w:type="spellStart"/>
      <w:r>
        <w:t>Malathi’s</w:t>
      </w:r>
      <w:proofErr w:type="spellEnd"/>
      <w:r>
        <w:t xml:space="preserve">, from 51 Bath Street, Alice Springs to 78 Todd Street, Alice Springs.  </w:t>
      </w:r>
    </w:p>
    <w:p w:rsidR="005F1869" w:rsidRDefault="005F1869" w:rsidP="005F1869">
      <w:pPr>
        <w:pStyle w:val="ListParagraph"/>
        <w:numPr>
          <w:ilvl w:val="0"/>
          <w:numId w:val="42"/>
        </w:numPr>
      </w:pPr>
      <w:r>
        <w:t>The business traded as the NT Rock Bar from the time of the licence substitution until the Commission suspended the licence for an indefinite period on 8 May 2008 as the business had ceased trading.</w:t>
      </w:r>
    </w:p>
    <w:p w:rsidR="005F1869" w:rsidRDefault="005F1869" w:rsidP="005F1869">
      <w:pPr>
        <w:pStyle w:val="ListParagraph"/>
        <w:numPr>
          <w:ilvl w:val="0"/>
          <w:numId w:val="42"/>
        </w:numPr>
      </w:pPr>
      <w:r>
        <w:t xml:space="preserve">From material provided to the Commission at hearing, it is apparent that the lessees of the 78 Todd Street premises, The Rock Tour Pty Ltd were intending to form some form of partnership with Ms </w:t>
      </w:r>
      <w:proofErr w:type="spellStart"/>
      <w:r>
        <w:t>Malathi</w:t>
      </w:r>
      <w:proofErr w:type="spellEnd"/>
      <w:r>
        <w:t xml:space="preserve"> Stewart as a company titled </w:t>
      </w:r>
      <w:proofErr w:type="spellStart"/>
      <w:r>
        <w:t>Malathi</w:t>
      </w:r>
      <w:proofErr w:type="spellEnd"/>
      <w:r>
        <w:t xml:space="preserve"> and the Rock Boys Pty Ltd had been registered with Directors Ms </w:t>
      </w:r>
      <w:proofErr w:type="spellStart"/>
      <w:r>
        <w:t>Malathi</w:t>
      </w:r>
      <w:proofErr w:type="spellEnd"/>
      <w:r>
        <w:t xml:space="preserve"> Stewart, Mr Robert Cowan and Mr </w:t>
      </w:r>
      <w:proofErr w:type="spellStart"/>
      <w:r>
        <w:t>Jolyon</w:t>
      </w:r>
      <w:proofErr w:type="spellEnd"/>
      <w:r>
        <w:t xml:space="preserve"> George.  </w:t>
      </w:r>
    </w:p>
    <w:p w:rsidR="005F1869" w:rsidRDefault="005F1869" w:rsidP="005F1869">
      <w:pPr>
        <w:pStyle w:val="ListParagraph"/>
        <w:numPr>
          <w:ilvl w:val="0"/>
          <w:numId w:val="42"/>
        </w:numPr>
      </w:pPr>
      <w:r>
        <w:t xml:space="preserve">On the basis the Licensee hade not recommenced trading and more than ninety (90) days had elapsed since the suspension of the licence the Deputy Director of Licensing has made application for the cancellation of the licence pursuant to Section 72(5)(a) of the </w:t>
      </w:r>
      <w:r w:rsidRPr="005F1869">
        <w:rPr>
          <w:i/>
        </w:rPr>
        <w:t>Liquor Act</w:t>
      </w:r>
      <w:r>
        <w:t xml:space="preserve"> (“the Act”).</w:t>
      </w:r>
    </w:p>
    <w:p w:rsidR="005F1869" w:rsidRDefault="005F1869" w:rsidP="005F1869">
      <w:pPr>
        <w:pStyle w:val="ListParagraph"/>
        <w:numPr>
          <w:ilvl w:val="0"/>
          <w:numId w:val="42"/>
        </w:numPr>
      </w:pPr>
      <w:r>
        <w:t xml:space="preserve">The registered proprietor of the 78 Todd Street property, Mr Theo </w:t>
      </w:r>
      <w:proofErr w:type="spellStart"/>
      <w:r>
        <w:t>Kassablis</w:t>
      </w:r>
      <w:proofErr w:type="spellEnd"/>
      <w:r>
        <w:t xml:space="preserve"> and Ms Irene </w:t>
      </w:r>
      <w:proofErr w:type="spellStart"/>
      <w:r>
        <w:t>Kassabalis</w:t>
      </w:r>
      <w:proofErr w:type="spellEnd"/>
      <w:r>
        <w:t>, were given notice of the hearing and were not present or represented during the proceedings.</w:t>
      </w:r>
    </w:p>
    <w:p w:rsidR="005F1869" w:rsidRDefault="005F1869" w:rsidP="005F1869">
      <w:pPr>
        <w:pStyle w:val="Heading2"/>
      </w:pPr>
      <w:r>
        <w:t>Hearing</w:t>
      </w:r>
    </w:p>
    <w:p w:rsidR="005F1869" w:rsidRDefault="005F1869" w:rsidP="005F1869">
      <w:pPr>
        <w:pStyle w:val="ListParagraph"/>
        <w:numPr>
          <w:ilvl w:val="0"/>
          <w:numId w:val="42"/>
        </w:numPr>
      </w:pPr>
      <w:r>
        <w:t>Mr Sanderson, on behalf of the Deputy Director South, outlined the grounds for seeking the cancellation of The NT Rock Bar Liquor Licence number 80805090.  He advised the licence had not operated for a period of in excess of ninety (90) days.</w:t>
      </w:r>
    </w:p>
    <w:p w:rsidR="005F1869" w:rsidRDefault="005F1869" w:rsidP="005F1869">
      <w:pPr>
        <w:pStyle w:val="ListParagraph"/>
        <w:numPr>
          <w:ilvl w:val="0"/>
          <w:numId w:val="42"/>
        </w:numPr>
      </w:pPr>
      <w:r>
        <w:lastRenderedPageBreak/>
        <w:t xml:space="preserve">Mr Stewart conceded that the business had not traded for a period in excess of ninety (90) days and outlined the background to the cessation of trading and the NT Rock Bar licence suspension.  He advised of </w:t>
      </w:r>
      <w:proofErr w:type="gramStart"/>
      <w:r>
        <w:t>a fallout</w:t>
      </w:r>
      <w:proofErr w:type="gramEnd"/>
      <w:r>
        <w:t xml:space="preserve"> between Ms </w:t>
      </w:r>
      <w:proofErr w:type="spellStart"/>
      <w:r>
        <w:t>Malathi</w:t>
      </w:r>
      <w:proofErr w:type="spellEnd"/>
      <w:r>
        <w:t> Stewart and the Directors of The Rock Tour Pty Ltd entity.</w:t>
      </w:r>
    </w:p>
    <w:p w:rsidR="005F1869" w:rsidRDefault="005F1869" w:rsidP="005F1869">
      <w:pPr>
        <w:pStyle w:val="ListParagraph"/>
        <w:numPr>
          <w:ilvl w:val="0"/>
          <w:numId w:val="42"/>
        </w:numPr>
      </w:pPr>
      <w:r>
        <w:t xml:space="preserve">Mr Stewart tabled as evidence (Exhibit 1) correspondence from Security Provider </w:t>
      </w:r>
      <w:proofErr w:type="spellStart"/>
      <w:r>
        <w:t>Jasp</w:t>
      </w:r>
      <w:proofErr w:type="spellEnd"/>
      <w:r>
        <w:t xml:space="preserve"> Protection to the Directors of The NT Rock Bar alleging serious abnormalities in the operation of the premises and alleged breaches of the Act.</w:t>
      </w:r>
    </w:p>
    <w:p w:rsidR="005F1869" w:rsidRDefault="005F1869" w:rsidP="005F1869">
      <w:pPr>
        <w:pStyle w:val="ListParagraph"/>
        <w:numPr>
          <w:ilvl w:val="0"/>
          <w:numId w:val="42"/>
        </w:numPr>
      </w:pPr>
      <w:r>
        <w:t xml:space="preserve">He sought an adjournment of the hearing on cancellation to afford time for the application of an On Licence by QC Restaurant to take its course.  He stated that there was a business arrangement between </w:t>
      </w:r>
      <w:proofErr w:type="spellStart"/>
      <w:r>
        <w:t>Coprax</w:t>
      </w:r>
      <w:proofErr w:type="spellEnd"/>
      <w:r>
        <w:t xml:space="preserve"> Pty Ltd and the owners of QC Restaurant which would result in a simultaneous surrender of the </w:t>
      </w:r>
      <w:proofErr w:type="spellStart"/>
      <w:r>
        <w:t>Coprax</w:t>
      </w:r>
      <w:proofErr w:type="spellEnd"/>
      <w:r>
        <w:t xml:space="preserve"> licence and grant of an On Licence to QC Restaurant (should this be approved by the Commission).</w:t>
      </w:r>
    </w:p>
    <w:p w:rsidR="005F1869" w:rsidRDefault="005F1869" w:rsidP="005F1869">
      <w:pPr>
        <w:pStyle w:val="ListParagraph"/>
        <w:numPr>
          <w:ilvl w:val="0"/>
          <w:numId w:val="42"/>
        </w:numPr>
      </w:pPr>
      <w:r>
        <w:t xml:space="preserve">Mr Cowan, on behalf of The Rock Tour Pty Ltd contested the veracity of information and allegations contained in the correspondence from </w:t>
      </w:r>
      <w:proofErr w:type="spellStart"/>
      <w:r>
        <w:t>Jasp</w:t>
      </w:r>
      <w:proofErr w:type="spellEnd"/>
      <w:r>
        <w:t xml:space="preserve"> Protection referred to above.  He confirmed that The Rock Tour Pty Ltd </w:t>
      </w:r>
      <w:proofErr w:type="gramStart"/>
      <w:r>
        <w:t>were</w:t>
      </w:r>
      <w:proofErr w:type="gramEnd"/>
      <w:r>
        <w:t xml:space="preserve"> the sole lessees of the premises and that neither </w:t>
      </w:r>
      <w:proofErr w:type="spellStart"/>
      <w:r>
        <w:t>Coprax</w:t>
      </w:r>
      <w:proofErr w:type="spellEnd"/>
      <w:r>
        <w:t xml:space="preserve"> or Ms Stewart had any interest in the premises.</w:t>
      </w:r>
    </w:p>
    <w:p w:rsidR="005F1869" w:rsidRDefault="005F1869" w:rsidP="005F1869">
      <w:pPr>
        <w:pStyle w:val="ListParagraph"/>
        <w:numPr>
          <w:ilvl w:val="0"/>
          <w:numId w:val="42"/>
        </w:numPr>
      </w:pPr>
      <w:r>
        <w:t xml:space="preserve">Mr Sanderson queried the relevance of this information relating to the </w:t>
      </w:r>
      <w:proofErr w:type="spellStart"/>
      <w:r>
        <w:t>Jasp</w:t>
      </w:r>
      <w:proofErr w:type="spellEnd"/>
      <w:r>
        <w:t xml:space="preserve"> Protection allegations and further submitted that the QC Restaurant licence application had no bearing on the application currently before the Commission.  The Commission was minded to accept this argument and in doing so has noted that </w:t>
      </w:r>
      <w:proofErr w:type="spellStart"/>
      <w:r>
        <w:t>Coprax</w:t>
      </w:r>
      <w:proofErr w:type="spellEnd"/>
      <w:r>
        <w:t xml:space="preserve"> Pty Ltd has no lease over the 78 Todd Street locale.</w:t>
      </w:r>
    </w:p>
    <w:p w:rsidR="005F1869" w:rsidRDefault="005F1869" w:rsidP="005F1869">
      <w:pPr>
        <w:pStyle w:val="Heading2"/>
      </w:pPr>
      <w:r>
        <w:t>Consideration of Issues</w:t>
      </w:r>
    </w:p>
    <w:p w:rsidR="005F1869" w:rsidRDefault="005F1869" w:rsidP="005F1869">
      <w:pPr>
        <w:pStyle w:val="ListParagraph"/>
        <w:numPr>
          <w:ilvl w:val="0"/>
          <w:numId w:val="42"/>
        </w:numPr>
      </w:pPr>
      <w:r>
        <w:t>Following a short adjournment the Commission reconvened and advised all parties that the only issue before the Commission was the application by the Deputy Director for a licence cancellation.  The Commission was not persuaded that the application by QC Restaurant for a licence variation was relevant to the application for cancellation.  For that reason the Commission was not persuaded to grant the adjournment sought by Mr Stewart.</w:t>
      </w:r>
    </w:p>
    <w:p w:rsidR="005F1869" w:rsidRDefault="005F1869" w:rsidP="005F1869">
      <w:pPr>
        <w:pStyle w:val="ListParagraph"/>
        <w:numPr>
          <w:ilvl w:val="0"/>
          <w:numId w:val="42"/>
        </w:numPr>
      </w:pPr>
      <w:r>
        <w:t>The Hearing was advised that the options open to the Commission were:</w:t>
      </w:r>
    </w:p>
    <w:p w:rsidR="005F1869" w:rsidRDefault="005F1869" w:rsidP="005F1869">
      <w:pPr>
        <w:pStyle w:val="ListParagraph"/>
        <w:numPr>
          <w:ilvl w:val="0"/>
          <w:numId w:val="45"/>
        </w:numPr>
      </w:pPr>
      <w:r>
        <w:t>to cancel the licence pursuant to Section 72(5)(a) of the Act; or</w:t>
      </w:r>
    </w:p>
    <w:p w:rsidR="005F1869" w:rsidRDefault="005F1869" w:rsidP="005F1869">
      <w:pPr>
        <w:pStyle w:val="ListParagraph"/>
        <w:numPr>
          <w:ilvl w:val="0"/>
          <w:numId w:val="45"/>
        </w:numPr>
      </w:pPr>
      <w:proofErr w:type="gramStart"/>
      <w:r>
        <w:t>to</w:t>
      </w:r>
      <w:proofErr w:type="gramEnd"/>
      <w:r>
        <w:t xml:space="preserve"> extend the period of suspension of the licence pursuant to Section 66(5) of the Act.</w:t>
      </w:r>
    </w:p>
    <w:p w:rsidR="005F1869" w:rsidRDefault="005F1869" w:rsidP="005F1869">
      <w:pPr>
        <w:pStyle w:val="ListParagraph"/>
        <w:numPr>
          <w:ilvl w:val="0"/>
          <w:numId w:val="42"/>
        </w:numPr>
      </w:pPr>
      <w:r>
        <w:t>Mr Sanderson, correctly, informed the Commission that the discretion to extend the suspension pursuant to Section 66(5) only applied to suspensions pursuant to Section 49(4</w:t>
      </w:r>
      <w:proofErr w:type="gramStart"/>
      <w:r>
        <w:t>)(</w:t>
      </w:r>
      <w:proofErr w:type="gramEnd"/>
      <w:r>
        <w:t>b) and Section 65 and that neither of those sections applied in this case.</w:t>
      </w:r>
    </w:p>
    <w:p w:rsidR="005F1869" w:rsidRDefault="005F1869" w:rsidP="005F1869">
      <w:pPr>
        <w:pStyle w:val="ListParagraph"/>
        <w:numPr>
          <w:ilvl w:val="0"/>
          <w:numId w:val="42"/>
        </w:numPr>
      </w:pPr>
      <w:r>
        <w:t>The Commission accepted Mr Sanderson’s submission as being the correct interpretation of the Act with the result the options open to the Commission at the conclusion of this hearing were:</w:t>
      </w:r>
    </w:p>
    <w:p w:rsidR="005F1869" w:rsidRDefault="005F1869" w:rsidP="005F1869">
      <w:pPr>
        <w:pStyle w:val="ListParagraph"/>
        <w:numPr>
          <w:ilvl w:val="0"/>
          <w:numId w:val="46"/>
        </w:numPr>
      </w:pPr>
      <w:r>
        <w:t>to cancel the licence pursuant to Section 72(5)(a) of the Act; or</w:t>
      </w:r>
    </w:p>
    <w:p w:rsidR="005F1869" w:rsidRDefault="005F1869" w:rsidP="005F1869">
      <w:pPr>
        <w:pStyle w:val="ListParagraph"/>
        <w:numPr>
          <w:ilvl w:val="0"/>
          <w:numId w:val="46"/>
        </w:numPr>
      </w:pPr>
      <w:proofErr w:type="gramStart"/>
      <w:r>
        <w:t>to</w:t>
      </w:r>
      <w:proofErr w:type="gramEnd"/>
      <w:r>
        <w:t xml:space="preserve"> not cancel the licence with the result the licence would remain suspended pursuant to the notice issued on 8 May 2008.</w:t>
      </w:r>
    </w:p>
    <w:p w:rsidR="005F1869" w:rsidRDefault="005F1869" w:rsidP="005F1869">
      <w:pPr>
        <w:pStyle w:val="ListParagraph"/>
        <w:numPr>
          <w:ilvl w:val="0"/>
          <w:numId w:val="42"/>
        </w:numPr>
      </w:pPr>
      <w:r>
        <w:t>The Commission was not persuaded that there was strong or valid links to the QC Restaurant application and the submission by Mr Stewart to delay the decision on licence cancellation, until the QC Restaurant application had been dealt with.</w:t>
      </w:r>
    </w:p>
    <w:p w:rsidR="005F1869" w:rsidRDefault="005F1869" w:rsidP="005F1869">
      <w:pPr>
        <w:pStyle w:val="Heading2"/>
      </w:pPr>
      <w:r>
        <w:lastRenderedPageBreak/>
        <w:t>Decision</w:t>
      </w:r>
    </w:p>
    <w:p w:rsidR="005F1869" w:rsidRDefault="005F1869" w:rsidP="005F1869">
      <w:pPr>
        <w:pStyle w:val="ListParagraph"/>
        <w:numPr>
          <w:ilvl w:val="0"/>
          <w:numId w:val="42"/>
        </w:numPr>
      </w:pPr>
      <w:bookmarkStart w:id="0" w:name="_GoBack"/>
      <w:bookmarkEnd w:id="0"/>
      <w:r>
        <w:t>The Commission determined that the conditions laid out in Section 72(5</w:t>
      </w:r>
      <w:proofErr w:type="gramStart"/>
      <w:r>
        <w:t>)(</w:t>
      </w:r>
      <w:proofErr w:type="gramEnd"/>
      <w:r>
        <w:t xml:space="preserve">a) of the </w:t>
      </w:r>
      <w:r w:rsidRPr="005F1869">
        <w:rPr>
          <w:i/>
        </w:rPr>
        <w:t>Liquor Act</w:t>
      </w:r>
      <w:r>
        <w:t xml:space="preserve"> have been met and the NT Rock Bar </w:t>
      </w:r>
      <w:proofErr w:type="spellStart"/>
      <w:r>
        <w:t>licence</w:t>
      </w:r>
      <w:proofErr w:type="spellEnd"/>
      <w:r>
        <w:t xml:space="preserve"> is therefore cancelled forthwith.</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5F1869" w:rsidP="002B0122">
      <w:pPr>
        <w:pStyle w:val="Date"/>
      </w:pPr>
      <w:r>
        <w:t>30 October</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F1869">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C60346"/>
    <w:multiLevelType w:val="hybridMultilevel"/>
    <w:tmpl w:val="929E52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1A94E96"/>
    <w:multiLevelType w:val="hybridMultilevel"/>
    <w:tmpl w:val="23E2FB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6906692"/>
    <w:multiLevelType w:val="hybridMultilevel"/>
    <w:tmpl w:val="79449E3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3">
    <w:nsid w:val="3BDC16A7"/>
    <w:multiLevelType w:val="hybridMultilevel"/>
    <w:tmpl w:val="72C6AEE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AC93C27"/>
    <w:multiLevelType w:val="hybridMultilevel"/>
    <w:tmpl w:val="D24E907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2"/>
  </w:num>
  <w:num w:numId="8">
    <w:abstractNumId w:val="38"/>
  </w:num>
  <w:num w:numId="9">
    <w:abstractNumId w:val="41"/>
  </w:num>
  <w:num w:numId="10">
    <w:abstractNumId w:val="40"/>
  </w:num>
  <w:num w:numId="11">
    <w:abstractNumId w:val="33"/>
  </w:num>
  <w:num w:numId="12">
    <w:abstractNumId w:val="42"/>
  </w:num>
  <w:num w:numId="13">
    <w:abstractNumId w:val="0"/>
  </w:num>
  <w:num w:numId="14">
    <w:abstractNumId w:val="37"/>
  </w:num>
  <w:num w:numId="15">
    <w:abstractNumId w:val="17"/>
  </w:num>
  <w:num w:numId="16">
    <w:abstractNumId w:val="24"/>
  </w:num>
  <w:num w:numId="17">
    <w:abstractNumId w:val="10"/>
  </w:num>
  <w:num w:numId="18">
    <w:abstractNumId w:val="28"/>
  </w:num>
  <w:num w:numId="19">
    <w:abstractNumId w:val="4"/>
  </w:num>
  <w:num w:numId="20">
    <w:abstractNumId w:val="20"/>
  </w:num>
  <w:num w:numId="21">
    <w:abstractNumId w:val="26"/>
  </w:num>
  <w:num w:numId="22">
    <w:abstractNumId w:val="35"/>
  </w:num>
  <w:num w:numId="23">
    <w:abstractNumId w:val="34"/>
  </w:num>
  <w:num w:numId="24">
    <w:abstractNumId w:val="13"/>
  </w:num>
  <w:num w:numId="25">
    <w:abstractNumId w:val="9"/>
  </w:num>
  <w:num w:numId="26">
    <w:abstractNumId w:val="39"/>
  </w:num>
  <w:num w:numId="27">
    <w:abstractNumId w:val="8"/>
  </w:num>
  <w:num w:numId="28">
    <w:abstractNumId w:val="21"/>
  </w:num>
  <w:num w:numId="29">
    <w:abstractNumId w:val="12"/>
  </w:num>
  <w:num w:numId="30">
    <w:abstractNumId w:val="29"/>
  </w:num>
  <w:num w:numId="31">
    <w:abstractNumId w:val="25"/>
  </w:num>
  <w:num w:numId="32">
    <w:abstractNumId w:val="3"/>
  </w:num>
  <w:num w:numId="33">
    <w:abstractNumId w:val="31"/>
  </w:num>
  <w:num w:numId="34">
    <w:abstractNumId w:val="11"/>
  </w:num>
  <w:num w:numId="35">
    <w:abstractNumId w:val="5"/>
  </w:num>
  <w:num w:numId="36">
    <w:abstractNumId w:val="18"/>
  </w:num>
  <w:num w:numId="37">
    <w:abstractNumId w:val="15"/>
  </w:num>
  <w:num w:numId="38">
    <w:abstractNumId w:val="6"/>
  </w:num>
  <w:num w:numId="39">
    <w:abstractNumId w:val="30"/>
  </w:num>
  <w:num w:numId="40">
    <w:abstractNumId w:val="36"/>
  </w:num>
  <w:num w:numId="41">
    <w:abstractNumId w:val="16"/>
  </w:num>
  <w:num w:numId="42">
    <w:abstractNumId w:val="2"/>
  </w:num>
  <w:num w:numId="43">
    <w:abstractNumId w:val="27"/>
  </w:num>
  <w:num w:numId="44">
    <w:abstractNumId w:val="19"/>
  </w:num>
  <w:num w:numId="45">
    <w:abstractNumId w:val="2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5F1869"/>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2008-10-29T14:30:00+00:00</Hearing_x0020_Date>
    <Decision_x0020_Category xmlns="28e3188d-fccf-4e87-a6b6-2e446be4517c">Liquor</Decision_x0020_Category>
    <_dlc_DocId xmlns="28e3188d-fccf-4e87-a6b6-2e446be4517c">2AXQX2YYQNYC-455-278</_dlc_DocId>
    <_dlc_DocIdUrl xmlns="28e3188d-fccf-4e87-a6b6-2e446be4517c">
      <Url>http://www.dob.nt.gov.au/gambling-licensing/decisions/hearings-decisions/_layouts/DocIdRedir.aspx?ID=2AXQX2YYQNYC-455-278</Url>
      <Description>2AXQX2YYQNYC-455-278</Description>
    </_dlc_DocIdUrl>
  </documentManagement>
</p:properties>
</file>

<file path=customXml/itemProps1.xml><?xml version="1.0" encoding="utf-8"?>
<ds:datastoreItem xmlns:ds="http://schemas.openxmlformats.org/officeDocument/2006/customXml" ds:itemID="{838A47EF-D832-4DD7-9920-0484D023BAF0}"/>
</file>

<file path=customXml/itemProps2.xml><?xml version="1.0" encoding="utf-8"?>
<ds:datastoreItem xmlns:ds="http://schemas.openxmlformats.org/officeDocument/2006/customXml" ds:itemID="{EDBC480B-18A7-44F5-8A50-81F0142503CB}"/>
</file>

<file path=customXml/itemProps3.xml><?xml version="1.0" encoding="utf-8"?>
<ds:datastoreItem xmlns:ds="http://schemas.openxmlformats.org/officeDocument/2006/customXml" ds:itemID="{2209FE49-EA3A-426E-82D1-D6B90B866357}"/>
</file>

<file path=customXml/itemProps4.xml><?xml version="1.0" encoding="utf-8"?>
<ds:datastoreItem xmlns:ds="http://schemas.openxmlformats.org/officeDocument/2006/customXml" ds:itemID="{9984463F-FD22-4DBD-A039-62AFBF8A0F8E}"/>
</file>

<file path=docProps/app.xml><?xml version="1.0" encoding="utf-8"?>
<Properties xmlns="http://schemas.openxmlformats.org/officeDocument/2006/extended-properties" xmlns:vt="http://schemas.openxmlformats.org/officeDocument/2006/docPropsVTypes">
  <Template>Normal.dotm</Template>
  <TotalTime>52</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NT Rock Bar 72(5)(a)</dc:title>
  <dc:subject/>
  <dc:creator>Madeline Cvirn</dc:creator>
  <cp:keywords/>
  <dc:description/>
  <cp:lastModifiedBy>Madeline Cvirn</cp:lastModifiedBy>
  <cp:revision>15</cp:revision>
  <dcterms:created xsi:type="dcterms:W3CDTF">2013-01-07T22:55:00Z</dcterms:created>
  <dcterms:modified xsi:type="dcterms:W3CDTF">2013-01-17T02:54:00Z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818b2fa1-bdad-4390-85b9-6afc95ea2517</vt:lpwstr>
  </property>
</Properties>
</file>