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353" w:rsidRPr="006A5C6A" w:rsidRDefault="00CE4353" w:rsidP="006A5C6A">
      <w:pPr>
        <w:pStyle w:val="Heading1"/>
      </w:pPr>
      <w:r w:rsidRPr="006A5C6A">
        <w:t>Reasons for Decision</w:t>
      </w:r>
    </w:p>
    <w:p w:rsidR="00B317A0" w:rsidRDefault="00BB4D6C" w:rsidP="001A060C">
      <w:pPr>
        <w:overflowPunct w:val="0"/>
        <w:autoSpaceDE w:val="0"/>
        <w:autoSpaceDN w:val="0"/>
        <w:adjustRightInd w:val="0"/>
        <w:spacing w:after="200"/>
        <w:ind w:left="2835" w:right="-2" w:hanging="2835"/>
        <w:outlineLvl w:val="0"/>
        <w:rPr>
          <w:rFonts w:cs="Arial"/>
          <w:b/>
          <w:caps/>
          <w:sz w:val="22"/>
          <w:szCs w:val="22"/>
        </w:rPr>
      </w:pPr>
      <w:r>
        <w:rPr>
          <w:b/>
          <w:szCs w:val="20"/>
        </w:rPr>
        <w:t>Complainant</w:t>
      </w:r>
      <w:r w:rsidR="003E6AD4">
        <w:rPr>
          <w:b/>
          <w:szCs w:val="20"/>
        </w:rPr>
        <w:t>:</w:t>
      </w:r>
      <w:r w:rsidR="003E6AD4">
        <w:rPr>
          <w:rFonts w:cs="Arial"/>
          <w:lang w:val="en-GB"/>
        </w:rPr>
        <w:tab/>
      </w:r>
      <w:r w:rsidR="00BF69D3">
        <w:rPr>
          <w:rFonts w:cs="Arial"/>
          <w:b/>
          <w:sz w:val="22"/>
          <w:szCs w:val="22"/>
        </w:rPr>
        <w:t>Mr C</w:t>
      </w:r>
    </w:p>
    <w:p w:rsidR="001A060C" w:rsidRPr="00222D37" w:rsidRDefault="001A060C" w:rsidP="001A060C">
      <w:pPr>
        <w:overflowPunct w:val="0"/>
        <w:autoSpaceDE w:val="0"/>
        <w:autoSpaceDN w:val="0"/>
        <w:adjustRightInd w:val="0"/>
        <w:spacing w:after="200"/>
        <w:ind w:left="2835" w:right="-2" w:hanging="2835"/>
        <w:outlineLvl w:val="0"/>
        <w:rPr>
          <w:rFonts w:cs="Arial"/>
          <w:b/>
          <w:lang w:val="en-GB"/>
        </w:rPr>
      </w:pPr>
      <w:r w:rsidRPr="00CE4353">
        <w:rPr>
          <w:b/>
          <w:szCs w:val="20"/>
        </w:rPr>
        <w:t>Licensee</w:t>
      </w:r>
      <w:r w:rsidRPr="00C05A58">
        <w:rPr>
          <w:rFonts w:cs="Arial"/>
          <w:b/>
          <w:lang w:val="en-GB"/>
        </w:rPr>
        <w:t>:</w:t>
      </w:r>
      <w:r w:rsidRPr="00C05A58">
        <w:rPr>
          <w:rFonts w:cs="Arial"/>
          <w:b/>
          <w:lang w:val="en-GB"/>
        </w:rPr>
        <w:tab/>
      </w:r>
      <w:r w:rsidR="0063732E" w:rsidRPr="0063732E">
        <w:rPr>
          <w:rFonts w:cs="Arial"/>
          <w:lang w:val="en-GB"/>
        </w:rPr>
        <w:t>William Hill Australia Wagering Pty Ltd</w:t>
      </w:r>
      <w:r w:rsidR="0063732E">
        <w:rPr>
          <w:rFonts w:cs="Arial"/>
          <w:lang w:val="en-GB"/>
        </w:rPr>
        <w:t xml:space="preserve"> </w:t>
      </w:r>
    </w:p>
    <w:p w:rsidR="000808B9" w:rsidRPr="00222D37" w:rsidRDefault="00CE4353" w:rsidP="00A30195">
      <w:pPr>
        <w:spacing w:after="200"/>
        <w:ind w:left="2835" w:right="-2" w:hanging="2835"/>
        <w:rPr>
          <w:rFonts w:cs="Arial"/>
          <w:b/>
          <w:lang w:val="en-GB"/>
        </w:rPr>
      </w:pPr>
      <w:r w:rsidRPr="00CE4353">
        <w:rPr>
          <w:b/>
          <w:szCs w:val="20"/>
        </w:rPr>
        <w:t>Proceedings</w:t>
      </w:r>
      <w:r w:rsidR="000808B9" w:rsidRPr="00C05A58">
        <w:rPr>
          <w:rFonts w:cs="Arial"/>
          <w:b/>
          <w:lang w:val="en-GB"/>
        </w:rPr>
        <w:t>:</w:t>
      </w:r>
      <w:r w:rsidR="000808B9" w:rsidRPr="00C05A58">
        <w:rPr>
          <w:rFonts w:cs="Arial"/>
          <w:b/>
          <w:lang w:val="en-GB"/>
        </w:rPr>
        <w:tab/>
      </w:r>
      <w:r w:rsidR="00DB77E4" w:rsidRPr="00791CBC">
        <w:rPr>
          <w:rFonts w:cs="Arial"/>
          <w:lang w:val="en-GB"/>
        </w:rPr>
        <w:t xml:space="preserve">Pursuant to Section 85(4) of the </w:t>
      </w:r>
      <w:r w:rsidR="00DB77E4" w:rsidRPr="00791CBC">
        <w:rPr>
          <w:rFonts w:cs="Arial"/>
          <w:i/>
          <w:lang w:val="en-GB"/>
        </w:rPr>
        <w:t>Racing and Betting Act</w:t>
      </w:r>
      <w:r w:rsidR="00DB77E4" w:rsidRPr="00791CBC">
        <w:rPr>
          <w:rFonts w:cs="Arial"/>
          <w:lang w:val="en-GB"/>
        </w:rPr>
        <w:t xml:space="preserve"> – Referral of Dispute to Racing Commission for Determination</w:t>
      </w:r>
    </w:p>
    <w:p w:rsidR="00261E01" w:rsidRDefault="00CE4353" w:rsidP="00261E01">
      <w:pPr>
        <w:tabs>
          <w:tab w:val="left" w:pos="2835"/>
        </w:tabs>
        <w:spacing w:after="0"/>
        <w:ind w:right="-2"/>
        <w:rPr>
          <w:rFonts w:cs="Arial"/>
        </w:rPr>
      </w:pPr>
      <w:r w:rsidRPr="00222D37">
        <w:rPr>
          <w:b/>
          <w:szCs w:val="20"/>
        </w:rPr>
        <w:t>Heard Before</w:t>
      </w:r>
      <w:r w:rsidR="000808B9" w:rsidRPr="00222D37">
        <w:rPr>
          <w:rFonts w:cs="Arial"/>
          <w:b/>
          <w:lang w:val="en-GB"/>
        </w:rPr>
        <w:t>:</w:t>
      </w:r>
      <w:r w:rsidR="000808B9" w:rsidRPr="00222D37">
        <w:rPr>
          <w:rFonts w:cs="Arial"/>
          <w:b/>
          <w:lang w:val="en-GB"/>
        </w:rPr>
        <w:tab/>
      </w:r>
      <w:r w:rsidR="00261E01">
        <w:rPr>
          <w:rFonts w:cs="Arial"/>
        </w:rPr>
        <w:t>Mr David Loy</w:t>
      </w:r>
    </w:p>
    <w:p w:rsidR="00261E01" w:rsidRDefault="00261E01" w:rsidP="00261E01">
      <w:pPr>
        <w:tabs>
          <w:tab w:val="left" w:pos="2835"/>
        </w:tabs>
        <w:spacing w:after="0"/>
        <w:ind w:right="-2"/>
        <w:rPr>
          <w:rFonts w:cs="Arial"/>
        </w:rPr>
      </w:pPr>
      <w:r>
        <w:rPr>
          <w:rFonts w:cs="Arial"/>
        </w:rPr>
        <w:tab/>
        <w:t xml:space="preserve">Mr John </w:t>
      </w:r>
      <w:proofErr w:type="spellStart"/>
      <w:r>
        <w:rPr>
          <w:rFonts w:cs="Arial"/>
        </w:rPr>
        <w:t>Boneham</w:t>
      </w:r>
      <w:proofErr w:type="spellEnd"/>
    </w:p>
    <w:p w:rsidR="00261E01" w:rsidRDefault="00261E01" w:rsidP="00261E01">
      <w:pPr>
        <w:spacing w:after="200"/>
        <w:ind w:left="2835" w:right="-2"/>
        <w:rPr>
          <w:rFonts w:cs="Arial"/>
        </w:rPr>
      </w:pPr>
      <w:r>
        <w:rPr>
          <w:rFonts w:cs="Arial"/>
        </w:rPr>
        <w:t>Mr Jim McNally</w:t>
      </w:r>
    </w:p>
    <w:p w:rsidR="00A30195" w:rsidRPr="00791CBC" w:rsidRDefault="00A30195" w:rsidP="00A30195">
      <w:pPr>
        <w:spacing w:after="200"/>
        <w:ind w:left="2835" w:right="-2" w:hanging="2835"/>
        <w:rPr>
          <w:rFonts w:cs="Arial"/>
        </w:rPr>
      </w:pPr>
      <w:r w:rsidRPr="00222D37">
        <w:rPr>
          <w:rFonts w:cs="Arial"/>
          <w:b/>
        </w:rPr>
        <w:t xml:space="preserve">Date of </w:t>
      </w:r>
      <w:r w:rsidRPr="00222D37">
        <w:rPr>
          <w:b/>
          <w:szCs w:val="20"/>
        </w:rPr>
        <w:t>Decision</w:t>
      </w:r>
      <w:r w:rsidRPr="00222D37">
        <w:rPr>
          <w:rFonts w:cs="Arial"/>
          <w:b/>
        </w:rPr>
        <w:t>:</w:t>
      </w:r>
      <w:r w:rsidRPr="00222D37">
        <w:rPr>
          <w:rFonts w:cs="Arial"/>
          <w:b/>
        </w:rPr>
        <w:tab/>
      </w:r>
      <w:r w:rsidR="001F76E2">
        <w:rPr>
          <w:rFonts w:cs="Arial"/>
        </w:rPr>
        <w:t xml:space="preserve">31 </w:t>
      </w:r>
      <w:r w:rsidR="00261E01">
        <w:rPr>
          <w:rFonts w:cs="Arial"/>
        </w:rPr>
        <w:t>August</w:t>
      </w:r>
      <w:r w:rsidR="00B317A0">
        <w:rPr>
          <w:rFonts w:cs="Arial"/>
        </w:rPr>
        <w:t xml:space="preserve"> 2016</w:t>
      </w:r>
    </w:p>
    <w:p w:rsidR="00EE4C34" w:rsidRPr="005028AB" w:rsidRDefault="00EE4C34" w:rsidP="003F54C0">
      <w:pPr>
        <w:pStyle w:val="BottomLine"/>
        <w:spacing w:after="0" w:line="240" w:lineRule="atLeast"/>
        <w:rPr>
          <w:rFonts w:cs="Arial"/>
          <w:sz w:val="22"/>
          <w:szCs w:val="22"/>
        </w:rPr>
      </w:pPr>
    </w:p>
    <w:p w:rsidR="00EE4C34" w:rsidRPr="00145CD0" w:rsidRDefault="00BB30E2" w:rsidP="003F54C0">
      <w:pPr>
        <w:pStyle w:val="Heading2"/>
        <w:spacing w:before="0" w:line="240" w:lineRule="atLeast"/>
        <w:rPr>
          <w:rFonts w:cs="Arial"/>
          <w:b w:val="0"/>
        </w:rPr>
      </w:pPr>
      <w:r w:rsidRPr="00145CD0">
        <w:t>Background</w:t>
      </w:r>
    </w:p>
    <w:p w:rsidR="00261E01" w:rsidRDefault="00261E01" w:rsidP="005028AB">
      <w:pPr>
        <w:pStyle w:val="Body"/>
        <w:numPr>
          <w:ilvl w:val="0"/>
          <w:numId w:val="32"/>
        </w:numPr>
        <w:spacing w:after="240"/>
        <w:ind w:hanging="436"/>
        <w:jc w:val="both"/>
      </w:pPr>
      <w:r>
        <w:t xml:space="preserve">On 11 January 2016, </w:t>
      </w:r>
      <w:proofErr w:type="spellStart"/>
      <w:r>
        <w:t>Mr</w:t>
      </w:r>
      <w:proofErr w:type="spellEnd"/>
      <w:r>
        <w:t xml:space="preserve"> Mark Pinfold, Client Account Manager, of William Hill Australia Trading Pty Ltd lodge</w:t>
      </w:r>
      <w:r w:rsidR="001F76E2">
        <w:t>d</w:t>
      </w:r>
      <w:r>
        <w:t xml:space="preserve"> a dispute with the Racing Commission in relation to lawful betting pursuant to s85(2) of the </w:t>
      </w:r>
      <w:r w:rsidRPr="00093629">
        <w:rPr>
          <w:i/>
        </w:rPr>
        <w:t>Racing and Betting Act</w:t>
      </w:r>
      <w:r w:rsidR="001F76E2">
        <w:t xml:space="preserve"> (the Act)</w:t>
      </w:r>
      <w:r>
        <w:t>.</w:t>
      </w:r>
    </w:p>
    <w:p w:rsidR="00261E01" w:rsidRDefault="00261E01">
      <w:pPr>
        <w:pStyle w:val="Body"/>
        <w:numPr>
          <w:ilvl w:val="0"/>
          <w:numId w:val="32"/>
        </w:numPr>
        <w:spacing w:line="360" w:lineRule="auto"/>
        <w:ind w:hanging="436"/>
        <w:jc w:val="both"/>
      </w:pPr>
      <w:r>
        <w:t xml:space="preserve">Section 85(2) </w:t>
      </w:r>
      <w:r w:rsidR="001F76E2">
        <w:t xml:space="preserve">of the Act </w:t>
      </w:r>
      <w:r>
        <w:t>states</w:t>
      </w:r>
      <w:r w:rsidR="0091203D">
        <w:t>:</w:t>
      </w:r>
    </w:p>
    <w:p w:rsidR="00261E01" w:rsidRPr="005028AB" w:rsidRDefault="00261E01" w:rsidP="005028AB">
      <w:pPr>
        <w:pStyle w:val="Body"/>
        <w:spacing w:line="360" w:lineRule="auto"/>
        <w:ind w:left="709"/>
        <w:jc w:val="both"/>
        <w:rPr>
          <w:b/>
          <w:sz w:val="18"/>
          <w:szCs w:val="18"/>
        </w:rPr>
      </w:pPr>
      <w:r w:rsidRPr="005028AB">
        <w:rPr>
          <w:b/>
          <w:sz w:val="18"/>
          <w:szCs w:val="18"/>
        </w:rPr>
        <w:t>85 Legal proceedings in respect of bets</w:t>
      </w:r>
    </w:p>
    <w:p w:rsidR="00261E01" w:rsidRPr="00093629" w:rsidRDefault="00261E01" w:rsidP="005028AB">
      <w:pPr>
        <w:pStyle w:val="Body"/>
        <w:spacing w:after="240"/>
        <w:ind w:left="993"/>
        <w:jc w:val="both"/>
        <w:rPr>
          <w:sz w:val="18"/>
          <w:szCs w:val="18"/>
        </w:rPr>
      </w:pPr>
      <w:r w:rsidRPr="00093629">
        <w:rPr>
          <w:sz w:val="18"/>
          <w:szCs w:val="18"/>
        </w:rPr>
        <w:t xml:space="preserve">(2) </w:t>
      </w:r>
      <w:proofErr w:type="gramStart"/>
      <w:r w:rsidRPr="00093629">
        <w:rPr>
          <w:sz w:val="18"/>
          <w:szCs w:val="18"/>
        </w:rPr>
        <w:t>where</w:t>
      </w:r>
      <w:proofErr w:type="gramEnd"/>
      <w:r w:rsidRPr="00093629">
        <w:rPr>
          <w:sz w:val="18"/>
          <w:szCs w:val="18"/>
        </w:rPr>
        <w:t xml:space="preserve"> a dispute relating to lawful betting occurs between a bookmaker and a person, the dispute shall be referred by the bookmaker and may be refe</w:t>
      </w:r>
      <w:r w:rsidR="00093629">
        <w:rPr>
          <w:sz w:val="18"/>
          <w:szCs w:val="18"/>
        </w:rPr>
        <w:t xml:space="preserve">rred by the other party to </w:t>
      </w:r>
      <w:r w:rsidR="00093629">
        <w:rPr>
          <w:sz w:val="18"/>
          <w:szCs w:val="18"/>
        </w:rPr>
        <w:tab/>
        <w:t xml:space="preserve">the </w:t>
      </w:r>
      <w:r w:rsidRPr="00093629">
        <w:rPr>
          <w:sz w:val="18"/>
          <w:szCs w:val="18"/>
        </w:rPr>
        <w:t>dispute, to the Commission</w:t>
      </w:r>
      <w:r w:rsidR="001F76E2">
        <w:rPr>
          <w:sz w:val="18"/>
          <w:szCs w:val="18"/>
        </w:rPr>
        <w:t>.</w:t>
      </w:r>
    </w:p>
    <w:p w:rsidR="00F84CB7" w:rsidRPr="00F84CB7" w:rsidRDefault="00F84CB7" w:rsidP="005028AB">
      <w:pPr>
        <w:pStyle w:val="ListParagraph"/>
        <w:numPr>
          <w:ilvl w:val="0"/>
          <w:numId w:val="32"/>
        </w:numPr>
      </w:pPr>
      <w:r w:rsidRPr="00F84CB7">
        <w:rPr>
          <w:rFonts w:ascii="Helvetica" w:eastAsia="Arial Unicode MS" w:hAnsi="Helvetica" w:cs="Arial Unicode MS"/>
          <w:color w:val="000000"/>
          <w:sz w:val="22"/>
          <w:szCs w:val="22"/>
          <w:bdr w:val="nil"/>
          <w:lang w:val="en-US"/>
        </w:rPr>
        <w:t xml:space="preserve">William Hill Australia </w:t>
      </w:r>
      <w:r>
        <w:rPr>
          <w:rFonts w:ascii="Helvetica" w:eastAsia="Arial Unicode MS" w:hAnsi="Helvetica" w:cs="Arial Unicode MS"/>
          <w:color w:val="000000"/>
          <w:sz w:val="22"/>
          <w:szCs w:val="22"/>
          <w:bdr w:val="nil"/>
          <w:lang w:val="en-US"/>
        </w:rPr>
        <w:t>Trading Pty Ltd</w:t>
      </w:r>
      <w:r w:rsidRPr="00F84CB7">
        <w:rPr>
          <w:rFonts w:ascii="Helvetica" w:eastAsia="Arial Unicode MS" w:hAnsi="Helvetica" w:cs="Arial Unicode MS"/>
          <w:color w:val="000000"/>
          <w:sz w:val="22"/>
          <w:szCs w:val="22"/>
          <w:bdr w:val="nil"/>
          <w:lang w:val="en-US"/>
        </w:rPr>
        <w:t xml:space="preserve"> is seeking a determination from the Racing Commission (Commission) to declare a series of wagers lawful.  The wagers relate to </w:t>
      </w:r>
      <w:proofErr w:type="spellStart"/>
      <w:r w:rsidR="00BF69D3">
        <w:rPr>
          <w:rFonts w:ascii="Helvetica" w:eastAsia="Arial Unicode MS" w:hAnsi="Helvetica" w:cs="Arial Unicode MS"/>
          <w:color w:val="000000"/>
          <w:sz w:val="22"/>
          <w:szCs w:val="22"/>
          <w:bdr w:val="nil"/>
          <w:lang w:val="en-US"/>
        </w:rPr>
        <w:t>Mr</w:t>
      </w:r>
      <w:proofErr w:type="spellEnd"/>
      <w:r w:rsidR="006A5C6A">
        <w:rPr>
          <w:rFonts w:ascii="Helvetica" w:eastAsia="Arial Unicode MS" w:hAnsi="Helvetica" w:cs="Arial Unicode MS"/>
          <w:color w:val="000000"/>
          <w:sz w:val="22"/>
          <w:szCs w:val="22"/>
          <w:bdr w:val="nil"/>
          <w:lang w:val="en-US"/>
        </w:rPr>
        <w:t> </w:t>
      </w:r>
      <w:r w:rsidR="00BF69D3">
        <w:rPr>
          <w:rFonts w:ascii="Helvetica" w:eastAsia="Arial Unicode MS" w:hAnsi="Helvetica" w:cs="Arial Unicode MS"/>
          <w:color w:val="000000"/>
          <w:sz w:val="22"/>
          <w:szCs w:val="22"/>
          <w:bdr w:val="nil"/>
          <w:lang w:val="en-US"/>
        </w:rPr>
        <w:t>C</w:t>
      </w:r>
      <w:r w:rsidRPr="00F84CB7">
        <w:rPr>
          <w:rFonts w:ascii="Helvetica" w:eastAsia="Arial Unicode MS" w:hAnsi="Helvetica" w:cs="Arial Unicode MS"/>
          <w:color w:val="000000"/>
          <w:sz w:val="22"/>
          <w:szCs w:val="22"/>
          <w:bdr w:val="nil"/>
          <w:lang w:val="en-US"/>
        </w:rPr>
        <w:t xml:space="preserve"> (the client).</w:t>
      </w:r>
    </w:p>
    <w:p w:rsidR="00F84CB7" w:rsidRDefault="003C5BFB" w:rsidP="005028AB">
      <w:pPr>
        <w:pStyle w:val="Body"/>
        <w:numPr>
          <w:ilvl w:val="0"/>
          <w:numId w:val="32"/>
        </w:numPr>
        <w:spacing w:after="240"/>
        <w:jc w:val="both"/>
      </w:pPr>
      <w:r>
        <w:t xml:space="preserve">On 1 September 2015, the Commission approved a request from William Hill Australia Group to undertake a restructure of the business.  As part of this restructure William Hill Australia Trading Pty Ltd (formerly known as </w:t>
      </w:r>
      <w:proofErr w:type="spellStart"/>
      <w:r>
        <w:t>Sportingbet</w:t>
      </w:r>
      <w:proofErr w:type="spellEnd"/>
      <w:r>
        <w:t xml:space="preserve"> Australia Pty Ltd) </w:t>
      </w:r>
      <w:proofErr w:type="spellStart"/>
      <w:r w:rsidR="00874F57">
        <w:t>licence</w:t>
      </w:r>
      <w:proofErr w:type="spellEnd"/>
      <w:r w:rsidR="00874F57">
        <w:t xml:space="preserve"> was cancelled and a new </w:t>
      </w:r>
      <w:proofErr w:type="spellStart"/>
      <w:r w:rsidR="00874F57">
        <w:t>licence</w:t>
      </w:r>
      <w:proofErr w:type="spellEnd"/>
      <w:r w:rsidR="00874F57">
        <w:t xml:space="preserve"> issued to William Hill Australia Wagering Pty Ltd.</w:t>
      </w:r>
    </w:p>
    <w:p w:rsidR="003C5BFB" w:rsidRPr="00F84CB7" w:rsidRDefault="00F84CB7" w:rsidP="005028AB">
      <w:pPr>
        <w:pStyle w:val="ListParagraph"/>
        <w:numPr>
          <w:ilvl w:val="0"/>
          <w:numId w:val="32"/>
        </w:numPr>
      </w:pPr>
      <w:r w:rsidRPr="00F84CB7">
        <w:rPr>
          <w:rFonts w:ascii="Helvetica" w:eastAsia="Arial Unicode MS" w:hAnsi="Helvetica" w:cs="Arial Unicode MS"/>
          <w:color w:val="000000"/>
          <w:sz w:val="22"/>
          <w:szCs w:val="22"/>
          <w:bdr w:val="nil"/>
          <w:lang w:val="en-US"/>
        </w:rPr>
        <w:t>The Commission is aware that William Hill</w:t>
      </w:r>
      <w:r>
        <w:rPr>
          <w:rFonts w:ascii="Helvetica" w:eastAsia="Arial Unicode MS" w:hAnsi="Helvetica" w:cs="Arial Unicode MS"/>
          <w:color w:val="000000"/>
          <w:sz w:val="22"/>
          <w:szCs w:val="22"/>
          <w:bdr w:val="nil"/>
          <w:lang w:val="en-US"/>
        </w:rPr>
        <w:t xml:space="preserve"> Australia Trading Pty Ltd</w:t>
      </w:r>
      <w:r w:rsidRPr="00F84CB7">
        <w:rPr>
          <w:rFonts w:ascii="Helvetica" w:eastAsia="Arial Unicode MS" w:hAnsi="Helvetica" w:cs="Arial Unicode MS"/>
          <w:color w:val="000000"/>
          <w:sz w:val="22"/>
          <w:szCs w:val="22"/>
          <w:bdr w:val="nil"/>
          <w:lang w:val="en-US"/>
        </w:rPr>
        <w:t xml:space="preserve"> filed a Statement of Claim with the Northern Territory Local Court on the 24 June 2015</w:t>
      </w:r>
      <w:r>
        <w:rPr>
          <w:rFonts w:ascii="Helvetica" w:eastAsia="Arial Unicode MS" w:hAnsi="Helvetica" w:cs="Arial Unicode MS"/>
          <w:color w:val="000000"/>
          <w:sz w:val="22"/>
          <w:szCs w:val="22"/>
          <w:bdr w:val="nil"/>
          <w:lang w:val="en-US"/>
        </w:rPr>
        <w:t xml:space="preserve"> (prior to the restructure taking place)</w:t>
      </w:r>
      <w:r w:rsidRPr="00F84CB7">
        <w:rPr>
          <w:rFonts w:ascii="Helvetica" w:eastAsia="Arial Unicode MS" w:hAnsi="Helvetica" w:cs="Arial Unicode MS"/>
          <w:color w:val="000000"/>
          <w:sz w:val="22"/>
          <w:szCs w:val="22"/>
          <w:bdr w:val="nil"/>
          <w:lang w:val="en-US"/>
        </w:rPr>
        <w:t xml:space="preserve">.  Likewise the Commission is aware that a Notice of </w:t>
      </w:r>
      <w:proofErr w:type="spellStart"/>
      <w:r w:rsidRPr="00F84CB7">
        <w:rPr>
          <w:rFonts w:ascii="Helvetica" w:eastAsia="Arial Unicode MS" w:hAnsi="Helvetica" w:cs="Arial Unicode MS"/>
          <w:color w:val="000000"/>
          <w:sz w:val="22"/>
          <w:szCs w:val="22"/>
          <w:bdr w:val="nil"/>
          <w:lang w:val="en-US"/>
        </w:rPr>
        <w:t>Defence</w:t>
      </w:r>
      <w:proofErr w:type="spellEnd"/>
      <w:r w:rsidRPr="00F84CB7">
        <w:rPr>
          <w:rFonts w:ascii="Helvetica" w:eastAsia="Arial Unicode MS" w:hAnsi="Helvetica" w:cs="Arial Unicode MS"/>
          <w:color w:val="000000"/>
          <w:sz w:val="22"/>
          <w:szCs w:val="22"/>
          <w:bdr w:val="nil"/>
          <w:lang w:val="en-US"/>
        </w:rPr>
        <w:t xml:space="preserve"> has been filed by </w:t>
      </w:r>
      <w:proofErr w:type="spellStart"/>
      <w:r w:rsidRPr="00F84CB7">
        <w:rPr>
          <w:rFonts w:ascii="Helvetica" w:eastAsia="Arial Unicode MS" w:hAnsi="Helvetica" w:cs="Arial Unicode MS"/>
          <w:color w:val="000000"/>
          <w:sz w:val="22"/>
          <w:szCs w:val="22"/>
          <w:bdr w:val="nil"/>
          <w:lang w:val="en-US"/>
        </w:rPr>
        <w:t>Mr</w:t>
      </w:r>
      <w:proofErr w:type="spellEnd"/>
      <w:r w:rsidRPr="00F84CB7">
        <w:rPr>
          <w:rFonts w:ascii="Helvetica" w:eastAsia="Arial Unicode MS" w:hAnsi="Helvetica" w:cs="Arial Unicode MS"/>
          <w:color w:val="000000"/>
          <w:sz w:val="22"/>
          <w:szCs w:val="22"/>
          <w:bdr w:val="nil"/>
          <w:lang w:val="en-US"/>
        </w:rPr>
        <w:t xml:space="preserve"> Mark O’Brien (the clients Legal Counsel) and the matter is ongoing in the Northern Territory Local Court.</w:t>
      </w:r>
    </w:p>
    <w:p w:rsidR="003C5BFB" w:rsidRDefault="003C5BFB" w:rsidP="005028AB">
      <w:pPr>
        <w:pStyle w:val="Body"/>
        <w:numPr>
          <w:ilvl w:val="0"/>
          <w:numId w:val="32"/>
        </w:numPr>
        <w:spacing w:after="240"/>
        <w:jc w:val="both"/>
      </w:pPr>
      <w:r>
        <w:t xml:space="preserve">The Current Sports Bookmakers </w:t>
      </w:r>
      <w:proofErr w:type="spellStart"/>
      <w:r>
        <w:t>licence</w:t>
      </w:r>
      <w:proofErr w:type="spellEnd"/>
      <w:r>
        <w:t xml:space="preserve"> is issued to William Hill Australia Wagering Pty Ltd</w:t>
      </w:r>
      <w:r w:rsidR="00F84CB7">
        <w:t xml:space="preserve"> (the Bookmaker)</w:t>
      </w:r>
      <w:r>
        <w:t xml:space="preserve">.  William Hill Australia Holdings Pty Ltd is the parent company of </w:t>
      </w:r>
      <w:r w:rsidR="00A026CC">
        <w:t>the Bo</w:t>
      </w:r>
      <w:r w:rsidR="00F84CB7">
        <w:t>okmaker</w:t>
      </w:r>
      <w:r w:rsidR="00A026CC">
        <w:t xml:space="preserve"> and is assigned </w:t>
      </w:r>
      <w:r>
        <w:t>to undertake proceedings for the recovery of monies payable by a person who places a wager on account of a lawful wager(s) made and accepted.</w:t>
      </w:r>
    </w:p>
    <w:p w:rsidR="00093629" w:rsidRDefault="00093629" w:rsidP="005028AB">
      <w:pPr>
        <w:pStyle w:val="Body"/>
        <w:numPr>
          <w:ilvl w:val="0"/>
          <w:numId w:val="32"/>
        </w:numPr>
        <w:spacing w:after="240"/>
        <w:ind w:hanging="436"/>
        <w:jc w:val="both"/>
      </w:pPr>
      <w:r>
        <w:t xml:space="preserve">The bets and wagers in question were placed by the client who had opened an account with the </w:t>
      </w:r>
      <w:r w:rsidR="001F76E2">
        <w:t>B</w:t>
      </w:r>
      <w:r>
        <w:t>ookmaker on 7 April 2011 and continued to place wagers until 18 October 2014.</w:t>
      </w:r>
      <w:r w:rsidR="00874F57">
        <w:t xml:space="preserve"> At all material times the wagers were struck with William Hill Australia Trading Pty Ltd. </w:t>
      </w:r>
    </w:p>
    <w:p w:rsidR="00093629" w:rsidRDefault="00093629" w:rsidP="005028AB">
      <w:pPr>
        <w:pStyle w:val="Body"/>
        <w:spacing w:after="240"/>
        <w:ind w:left="720"/>
        <w:jc w:val="both"/>
      </w:pPr>
      <w:r>
        <w:lastRenderedPageBreak/>
        <w:t xml:space="preserve">Between 8 April 2011 and 18 October 2014, the client placed bets with the Bookmaker. </w:t>
      </w:r>
      <w:r w:rsidR="001F76E2">
        <w:t xml:space="preserve"> </w:t>
      </w:r>
      <w:r>
        <w:t>These bets were debited to the clients account and any winnings were credited to that account.</w:t>
      </w:r>
    </w:p>
    <w:p w:rsidR="00093629" w:rsidRDefault="00093629" w:rsidP="005028AB">
      <w:pPr>
        <w:pStyle w:val="Body"/>
        <w:ind w:left="720"/>
        <w:jc w:val="both"/>
      </w:pPr>
      <w:r>
        <w:t xml:space="preserve">The </w:t>
      </w:r>
      <w:r w:rsidR="001F76E2">
        <w:t>C</w:t>
      </w:r>
      <w:r>
        <w:t>ommission has received copies of the printout of accounts showing evidence of the betting account of the client being in debt to the amount of $18,843.40</w:t>
      </w:r>
      <w:r w:rsidR="001F76E2">
        <w:t>.</w:t>
      </w:r>
    </w:p>
    <w:p w:rsidR="00EE4C34" w:rsidRPr="006A5C6A" w:rsidRDefault="00261E01" w:rsidP="006A5C6A">
      <w:pPr>
        <w:pStyle w:val="Heading2"/>
      </w:pPr>
      <w:r w:rsidRPr="006A5C6A">
        <w:t>Consideration of Issues</w:t>
      </w:r>
    </w:p>
    <w:p w:rsidR="00093629" w:rsidRDefault="00093629" w:rsidP="005028AB">
      <w:pPr>
        <w:pStyle w:val="Body"/>
        <w:numPr>
          <w:ilvl w:val="0"/>
          <w:numId w:val="32"/>
        </w:numPr>
        <w:spacing w:after="240"/>
        <w:ind w:hanging="436"/>
        <w:jc w:val="both"/>
      </w:pPr>
      <w:r>
        <w:t xml:space="preserve">The Bookmaker alleges the client owes an amount of $18,843.40 being for unpaid </w:t>
      </w:r>
      <w:proofErr w:type="spellStart"/>
      <w:r>
        <w:t>wagers</w:t>
      </w:r>
      <w:proofErr w:type="spellEnd"/>
      <w:r>
        <w:t>.</w:t>
      </w:r>
      <w:r w:rsidR="001F76E2">
        <w:t xml:space="preserve"> </w:t>
      </w:r>
      <w:r>
        <w:t xml:space="preserve"> A Statement of Claim was filed by William Hill Australia Trading Pty Ltd formerly known as </w:t>
      </w:r>
      <w:proofErr w:type="spellStart"/>
      <w:r>
        <w:t>Sportingbet</w:t>
      </w:r>
      <w:proofErr w:type="spellEnd"/>
      <w:r>
        <w:t xml:space="preserve"> Australia Pty Ltd</w:t>
      </w:r>
      <w:r w:rsidR="001F76E2">
        <w:t>.</w:t>
      </w:r>
    </w:p>
    <w:p w:rsidR="00093629" w:rsidRDefault="00093629">
      <w:pPr>
        <w:pStyle w:val="Body"/>
        <w:numPr>
          <w:ilvl w:val="0"/>
          <w:numId w:val="32"/>
        </w:numPr>
        <w:ind w:hanging="436"/>
        <w:jc w:val="both"/>
      </w:pPr>
      <w:r>
        <w:t xml:space="preserve">The facts presented that the Commission must rely on are for determining whether the wagers were lawful: </w:t>
      </w:r>
      <w:r w:rsidR="001F76E2">
        <w:t xml:space="preserve"> The panel members convened to determine this matter</w:t>
      </w:r>
      <w:r w:rsidR="009D2DD8">
        <w:t xml:space="preserve"> </w:t>
      </w:r>
      <w:r>
        <w:t xml:space="preserve">make no comment on the legal arguments currently before the </w:t>
      </w:r>
      <w:r w:rsidR="001F76E2">
        <w:t>Local C</w:t>
      </w:r>
      <w:r>
        <w:t>ourt.</w:t>
      </w:r>
    </w:p>
    <w:p w:rsidR="00093629" w:rsidRDefault="00093629" w:rsidP="005028AB">
      <w:pPr>
        <w:pStyle w:val="Body"/>
        <w:ind w:hanging="436"/>
        <w:jc w:val="both"/>
      </w:pPr>
    </w:p>
    <w:p w:rsidR="00093629" w:rsidRDefault="00A026CC">
      <w:pPr>
        <w:pStyle w:val="Body"/>
        <w:numPr>
          <w:ilvl w:val="0"/>
          <w:numId w:val="32"/>
        </w:numPr>
        <w:ind w:hanging="436"/>
        <w:jc w:val="both"/>
      </w:pPr>
      <w:r>
        <w:t>The Bookmaker</w:t>
      </w:r>
      <w:r w:rsidR="00093629">
        <w:t xml:space="preserve"> is lawfully licensed in the Northern Territory as a Sports Bookmaker pursuant to section 90 of the Act</w:t>
      </w:r>
      <w:r w:rsidR="001F76E2">
        <w:t>.</w:t>
      </w:r>
    </w:p>
    <w:p w:rsidR="00093629" w:rsidRDefault="00093629" w:rsidP="005028AB">
      <w:pPr>
        <w:pStyle w:val="Body"/>
        <w:spacing w:before="240"/>
        <w:ind w:left="720"/>
        <w:jc w:val="both"/>
      </w:pPr>
      <w:r>
        <w:t xml:space="preserve">The </w:t>
      </w:r>
      <w:proofErr w:type="spellStart"/>
      <w:r>
        <w:t>licence</w:t>
      </w:r>
      <w:proofErr w:type="spellEnd"/>
      <w:r>
        <w:t xml:space="preserve"> granted to </w:t>
      </w:r>
      <w:r w:rsidR="00A026CC">
        <w:t xml:space="preserve">the Bookmaker </w:t>
      </w:r>
      <w:proofErr w:type="spellStart"/>
      <w:r w:rsidR="00A026CC">
        <w:t>a</w:t>
      </w:r>
      <w:r>
        <w:t>uthorises</w:t>
      </w:r>
      <w:proofErr w:type="spellEnd"/>
      <w:r>
        <w:t xml:space="preserve"> it to lawfully conduct wagering on racing and sporting events</w:t>
      </w:r>
      <w:r w:rsidR="001F76E2">
        <w:t>.</w:t>
      </w:r>
    </w:p>
    <w:p w:rsidR="00093629" w:rsidRDefault="00093629" w:rsidP="005028AB">
      <w:pPr>
        <w:pStyle w:val="Body"/>
        <w:ind w:hanging="436"/>
        <w:jc w:val="both"/>
      </w:pPr>
    </w:p>
    <w:p w:rsidR="00093629" w:rsidRDefault="00093629">
      <w:pPr>
        <w:pStyle w:val="Body"/>
        <w:numPr>
          <w:ilvl w:val="0"/>
          <w:numId w:val="32"/>
        </w:numPr>
        <w:ind w:hanging="436"/>
        <w:jc w:val="both"/>
      </w:pPr>
      <w:r>
        <w:t xml:space="preserve">Under its </w:t>
      </w:r>
      <w:proofErr w:type="spellStart"/>
      <w:r>
        <w:t>licence</w:t>
      </w:r>
      <w:proofErr w:type="spellEnd"/>
      <w:r>
        <w:t xml:space="preserve"> </w:t>
      </w:r>
      <w:r w:rsidR="00A026CC">
        <w:t>the Bookmaker</w:t>
      </w:r>
      <w:r>
        <w:t xml:space="preserve"> is </w:t>
      </w:r>
      <w:proofErr w:type="spellStart"/>
      <w:r>
        <w:t>authorised</w:t>
      </w:r>
      <w:proofErr w:type="spellEnd"/>
      <w:r>
        <w:t xml:space="preserve"> to accept wagers of the type made through an account opened by the client.</w:t>
      </w:r>
    </w:p>
    <w:p w:rsidR="00093629" w:rsidRDefault="00093629" w:rsidP="005028AB">
      <w:pPr>
        <w:pStyle w:val="Body"/>
        <w:ind w:hanging="436"/>
        <w:jc w:val="both"/>
      </w:pPr>
    </w:p>
    <w:p w:rsidR="00093629" w:rsidRDefault="00093629">
      <w:pPr>
        <w:pStyle w:val="Body"/>
        <w:numPr>
          <w:ilvl w:val="0"/>
          <w:numId w:val="32"/>
        </w:numPr>
        <w:ind w:hanging="436"/>
        <w:jc w:val="both"/>
      </w:pPr>
      <w:r>
        <w:t>The Commission therefore finds, following consideration of all material</w:t>
      </w:r>
      <w:r w:rsidR="00D04739">
        <w:t>s</w:t>
      </w:r>
      <w:r>
        <w:t xml:space="preserve"> presented, that the bets placed by the client with the Bookmaker were lawful pursuant to section 85(1)</w:t>
      </w:r>
      <w:r w:rsidR="00D04739">
        <w:t>(a)-</w:t>
      </w:r>
    </w:p>
    <w:p w:rsidR="00093629" w:rsidRPr="00C87FE7" w:rsidRDefault="00093629" w:rsidP="005028AB">
      <w:pPr>
        <w:pStyle w:val="Body"/>
        <w:spacing w:before="240"/>
        <w:ind w:left="993" w:hanging="993"/>
        <w:jc w:val="both"/>
        <w:rPr>
          <w:i/>
          <w:sz w:val="18"/>
          <w:szCs w:val="18"/>
        </w:rPr>
      </w:pPr>
      <w:r>
        <w:tab/>
      </w:r>
      <w:r w:rsidR="00D04739" w:rsidRPr="005028AB">
        <w:rPr>
          <w:sz w:val="18"/>
          <w:szCs w:val="18"/>
        </w:rPr>
        <w:t>(1)</w:t>
      </w:r>
      <w:r w:rsidRPr="005028AB">
        <w:rPr>
          <w:sz w:val="18"/>
          <w:szCs w:val="18"/>
        </w:rPr>
        <w:t>For the purpose of this section, a bet is not lawful if it is declared by the Commission, after an investigation in accordance with this section, to be not lawful.</w:t>
      </w:r>
    </w:p>
    <w:p w:rsidR="00E46AD9" w:rsidRPr="006A5C6A" w:rsidRDefault="00E46AD9" w:rsidP="006A5C6A">
      <w:pPr>
        <w:pStyle w:val="Heading2"/>
      </w:pPr>
      <w:r w:rsidRPr="006A5C6A">
        <w:t>D</w:t>
      </w:r>
      <w:r w:rsidR="00261E01" w:rsidRPr="006A5C6A">
        <w:t>ecision</w:t>
      </w:r>
    </w:p>
    <w:p w:rsidR="00093629" w:rsidRDefault="00093629">
      <w:pPr>
        <w:pStyle w:val="Body"/>
        <w:numPr>
          <w:ilvl w:val="0"/>
          <w:numId w:val="32"/>
        </w:numPr>
        <w:ind w:hanging="436"/>
        <w:jc w:val="both"/>
      </w:pPr>
      <w:r>
        <w:t xml:space="preserve">Having established that </w:t>
      </w:r>
      <w:r w:rsidR="00A026CC">
        <w:t>the Bookmaker w</w:t>
      </w:r>
      <w:r>
        <w:t xml:space="preserve">as granted a Sports Bookmakers </w:t>
      </w:r>
      <w:proofErr w:type="spellStart"/>
      <w:r>
        <w:t>licence</w:t>
      </w:r>
      <w:proofErr w:type="spellEnd"/>
      <w:r>
        <w:t xml:space="preserve"> by the Commission, which allows a licensed bookmaker to take bets on all declared sporting events through the use of the internet and telephone, and the betting activities engaged by </w:t>
      </w:r>
      <w:proofErr w:type="spellStart"/>
      <w:r w:rsidR="00BF69D3">
        <w:t>Mr</w:t>
      </w:r>
      <w:proofErr w:type="spellEnd"/>
      <w:r w:rsidR="00BF69D3">
        <w:t xml:space="preserve"> C</w:t>
      </w:r>
      <w:r>
        <w:t xml:space="preserve"> with </w:t>
      </w:r>
      <w:r w:rsidR="00A026CC">
        <w:t>the Bookmaker w</w:t>
      </w:r>
      <w:r>
        <w:t xml:space="preserve">ere within the parameters of the </w:t>
      </w:r>
      <w:proofErr w:type="spellStart"/>
      <w:r>
        <w:t>licence</w:t>
      </w:r>
      <w:proofErr w:type="spellEnd"/>
      <w:r>
        <w:t xml:space="preserve"> provided.</w:t>
      </w:r>
    </w:p>
    <w:p w:rsidR="00093629" w:rsidRDefault="00093629" w:rsidP="005028AB">
      <w:pPr>
        <w:pStyle w:val="Body"/>
        <w:ind w:left="720" w:hanging="436"/>
        <w:jc w:val="both"/>
      </w:pPr>
    </w:p>
    <w:p w:rsidR="00093629" w:rsidRDefault="00093629">
      <w:pPr>
        <w:pStyle w:val="Body"/>
        <w:numPr>
          <w:ilvl w:val="0"/>
          <w:numId w:val="32"/>
        </w:numPr>
        <w:ind w:hanging="436"/>
        <w:jc w:val="both"/>
      </w:pPr>
      <w:r>
        <w:t>The Commission therefore determines that the bets placed were lawful pursuant to Section 85(1</w:t>
      </w:r>
      <w:proofErr w:type="gramStart"/>
      <w:r w:rsidR="00D04739">
        <w:t>)(</w:t>
      </w:r>
      <w:proofErr w:type="gramEnd"/>
      <w:r>
        <w:t>a) of the Act</w:t>
      </w:r>
      <w:r w:rsidR="00D04739">
        <w:t>.</w:t>
      </w:r>
    </w:p>
    <w:p w:rsidR="002C6BB7" w:rsidRPr="00144FD7" w:rsidRDefault="00455046" w:rsidP="00144FD7">
      <w:pPr>
        <w:spacing w:before="1200" w:after="0"/>
        <w:rPr>
          <w:rFonts w:cs="Arial"/>
          <w:b/>
          <w:sz w:val="22"/>
          <w:szCs w:val="22"/>
        </w:rPr>
      </w:pPr>
      <w:r w:rsidRPr="00144FD7">
        <w:rPr>
          <w:rFonts w:cs="Arial"/>
          <w:b/>
          <w:sz w:val="22"/>
          <w:szCs w:val="22"/>
        </w:rPr>
        <w:t>David Loy</w:t>
      </w:r>
    </w:p>
    <w:p w:rsidR="002C6BB7" w:rsidRPr="00144FD7" w:rsidRDefault="00455046" w:rsidP="00455046">
      <w:pPr>
        <w:spacing w:after="0" w:line="240" w:lineRule="atLeast"/>
        <w:rPr>
          <w:rFonts w:cs="Arial"/>
          <w:sz w:val="22"/>
          <w:szCs w:val="22"/>
        </w:rPr>
      </w:pPr>
      <w:r w:rsidRPr="00144FD7">
        <w:rPr>
          <w:rFonts w:cs="Arial"/>
          <w:sz w:val="22"/>
          <w:szCs w:val="22"/>
        </w:rPr>
        <w:t>Presiding Member</w:t>
      </w:r>
    </w:p>
    <w:p w:rsidR="00455046" w:rsidRPr="00144FD7" w:rsidRDefault="00455046" w:rsidP="00455046">
      <w:pPr>
        <w:spacing w:after="0" w:line="240" w:lineRule="atLeast"/>
        <w:rPr>
          <w:rFonts w:cs="Arial"/>
          <w:sz w:val="22"/>
          <w:szCs w:val="22"/>
        </w:rPr>
      </w:pPr>
    </w:p>
    <w:p w:rsidR="008707D3" w:rsidRPr="00144FD7" w:rsidRDefault="00144FD7" w:rsidP="00144FD7">
      <w:pPr>
        <w:tabs>
          <w:tab w:val="left" w:pos="284"/>
        </w:tabs>
        <w:spacing w:after="0" w:line="240" w:lineRule="atLeas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455046" w:rsidRPr="00144FD7">
        <w:rPr>
          <w:rFonts w:cs="Arial"/>
          <w:sz w:val="22"/>
          <w:szCs w:val="22"/>
        </w:rPr>
        <w:t>August</w:t>
      </w:r>
      <w:r w:rsidR="00E76BA4" w:rsidRPr="00144FD7">
        <w:rPr>
          <w:rFonts w:cs="Arial"/>
          <w:sz w:val="22"/>
          <w:szCs w:val="22"/>
        </w:rPr>
        <w:t xml:space="preserve"> 2016</w:t>
      </w:r>
      <w:bookmarkStart w:id="0" w:name="_GoBack"/>
      <w:bookmarkEnd w:id="0"/>
    </w:p>
    <w:sectPr w:rsidR="008707D3" w:rsidRPr="00144FD7" w:rsidSect="00A06F48">
      <w:headerReference w:type="even" r:id="rId9"/>
      <w:headerReference w:type="default" r:id="rId10"/>
      <w:headerReference w:type="first" r:id="rId11"/>
      <w:pgSz w:w="11906" w:h="16838" w:code="9"/>
      <w:pgMar w:top="1440" w:right="1134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EF2" w:rsidRDefault="00E36EF2">
      <w:r>
        <w:separator/>
      </w:r>
    </w:p>
  </w:endnote>
  <w:endnote w:type="continuationSeparator" w:id="0">
    <w:p w:rsidR="00E36EF2" w:rsidRDefault="00E36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EF2" w:rsidRDefault="00E36EF2">
      <w:r>
        <w:separator/>
      </w:r>
    </w:p>
  </w:footnote>
  <w:footnote w:type="continuationSeparator" w:id="0">
    <w:p w:rsidR="00E36EF2" w:rsidRDefault="00E36E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25D" w:rsidRDefault="00C5025D" w:rsidP="00F2791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5025D" w:rsidRDefault="00C5025D" w:rsidP="00340E1B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25D" w:rsidRDefault="00C5025D" w:rsidP="00F2791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4FD7">
      <w:rPr>
        <w:rStyle w:val="PageNumber"/>
        <w:noProof/>
      </w:rPr>
      <w:t>2</w:t>
    </w:r>
    <w:r>
      <w:rPr>
        <w:rStyle w:val="PageNumber"/>
      </w:rPr>
      <w:fldChar w:fldCharType="end"/>
    </w:r>
  </w:p>
  <w:p w:rsidR="00C5025D" w:rsidRDefault="00C5025D" w:rsidP="00340E1B">
    <w:pPr>
      <w:pStyle w:val="Header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353" w:rsidRDefault="00CE4353" w:rsidP="007D602E">
    <w:pPr>
      <w:spacing w:after="120"/>
      <w:jc w:val="center"/>
    </w:pPr>
    <w:r w:rsidRPr="00C26AA1">
      <w:rPr>
        <w:b/>
        <w:sz w:val="32"/>
      </w:rPr>
      <w:t xml:space="preserve">NORTHERN TERRITORY </w:t>
    </w:r>
    <w:r w:rsidR="005D02A5">
      <w:rPr>
        <w:b/>
        <w:sz w:val="32"/>
      </w:rPr>
      <w:t>RACING</w:t>
    </w:r>
    <w:r w:rsidRPr="00C26AA1">
      <w:rPr>
        <w:b/>
        <w:sz w:val="32"/>
      </w:rPr>
      <w:t xml:space="preserve"> COMMISSION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02D4"/>
    <w:multiLevelType w:val="hybridMultilevel"/>
    <w:tmpl w:val="1B8E9C84"/>
    <w:lvl w:ilvl="0" w:tplc="41A849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1276350"/>
    <w:multiLevelType w:val="hybridMultilevel"/>
    <w:tmpl w:val="9C2E376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DD2A0E"/>
    <w:multiLevelType w:val="hybridMultilevel"/>
    <w:tmpl w:val="2B1A10DC"/>
    <w:lvl w:ilvl="0" w:tplc="0C09001B">
      <w:start w:val="1"/>
      <w:numFmt w:val="lowerRoman"/>
      <w:lvlText w:val="%1."/>
      <w:lvlJc w:val="right"/>
      <w:pPr>
        <w:ind w:left="1571" w:hanging="360"/>
      </w:p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6AC2B97"/>
    <w:multiLevelType w:val="hybridMultilevel"/>
    <w:tmpl w:val="DF36DC2A"/>
    <w:lvl w:ilvl="0" w:tplc="EFB47C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BE22C2"/>
    <w:multiLevelType w:val="hybridMultilevel"/>
    <w:tmpl w:val="30DE2D4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D16BCE"/>
    <w:multiLevelType w:val="hybridMultilevel"/>
    <w:tmpl w:val="32D21E86"/>
    <w:lvl w:ilvl="0" w:tplc="C65897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BD6FD3"/>
    <w:multiLevelType w:val="hybridMultilevel"/>
    <w:tmpl w:val="6CC66920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3E43D96"/>
    <w:multiLevelType w:val="hybridMultilevel"/>
    <w:tmpl w:val="C9043778"/>
    <w:lvl w:ilvl="0" w:tplc="D890A0FE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6" w:hanging="360"/>
      </w:pPr>
    </w:lvl>
    <w:lvl w:ilvl="2" w:tplc="0C09001B" w:tentative="1">
      <w:start w:val="1"/>
      <w:numFmt w:val="lowerRoman"/>
      <w:lvlText w:val="%3."/>
      <w:lvlJc w:val="right"/>
      <w:pPr>
        <w:ind w:left="3076" w:hanging="180"/>
      </w:pPr>
    </w:lvl>
    <w:lvl w:ilvl="3" w:tplc="0C09000F" w:tentative="1">
      <w:start w:val="1"/>
      <w:numFmt w:val="decimal"/>
      <w:lvlText w:val="%4."/>
      <w:lvlJc w:val="left"/>
      <w:pPr>
        <w:ind w:left="3796" w:hanging="360"/>
      </w:pPr>
    </w:lvl>
    <w:lvl w:ilvl="4" w:tplc="0C090019" w:tentative="1">
      <w:start w:val="1"/>
      <w:numFmt w:val="lowerLetter"/>
      <w:lvlText w:val="%5."/>
      <w:lvlJc w:val="left"/>
      <w:pPr>
        <w:ind w:left="4516" w:hanging="360"/>
      </w:pPr>
    </w:lvl>
    <w:lvl w:ilvl="5" w:tplc="0C09001B" w:tentative="1">
      <w:start w:val="1"/>
      <w:numFmt w:val="lowerRoman"/>
      <w:lvlText w:val="%6."/>
      <w:lvlJc w:val="right"/>
      <w:pPr>
        <w:ind w:left="5236" w:hanging="180"/>
      </w:pPr>
    </w:lvl>
    <w:lvl w:ilvl="6" w:tplc="0C09000F" w:tentative="1">
      <w:start w:val="1"/>
      <w:numFmt w:val="decimal"/>
      <w:lvlText w:val="%7."/>
      <w:lvlJc w:val="left"/>
      <w:pPr>
        <w:ind w:left="5956" w:hanging="360"/>
      </w:pPr>
    </w:lvl>
    <w:lvl w:ilvl="7" w:tplc="0C090019" w:tentative="1">
      <w:start w:val="1"/>
      <w:numFmt w:val="lowerLetter"/>
      <w:lvlText w:val="%8."/>
      <w:lvlJc w:val="left"/>
      <w:pPr>
        <w:ind w:left="6676" w:hanging="360"/>
      </w:pPr>
    </w:lvl>
    <w:lvl w:ilvl="8" w:tplc="0C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>
    <w:nsid w:val="16806903"/>
    <w:multiLevelType w:val="hybridMultilevel"/>
    <w:tmpl w:val="9DD0A7FA"/>
    <w:lvl w:ilvl="0" w:tplc="7B48F9E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513FC0"/>
    <w:multiLevelType w:val="hybridMultilevel"/>
    <w:tmpl w:val="86F8395C"/>
    <w:lvl w:ilvl="0" w:tplc="FC2CC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D1582"/>
    <w:multiLevelType w:val="hybridMultilevel"/>
    <w:tmpl w:val="81DA0F00"/>
    <w:lvl w:ilvl="0" w:tplc="0C09000F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7691734"/>
    <w:multiLevelType w:val="hybridMultilevel"/>
    <w:tmpl w:val="0B1480C4"/>
    <w:lvl w:ilvl="0" w:tplc="1DF0CF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E2D3D"/>
    <w:multiLevelType w:val="hybridMultilevel"/>
    <w:tmpl w:val="66E25C04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3A467B9"/>
    <w:multiLevelType w:val="hybridMultilevel"/>
    <w:tmpl w:val="D5BE7660"/>
    <w:lvl w:ilvl="0" w:tplc="3D403FC4">
      <w:start w:val="17"/>
      <w:numFmt w:val="decimal"/>
      <w:lvlText w:val="%1"/>
      <w:lvlJc w:val="left"/>
      <w:pPr>
        <w:ind w:left="91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35" w:hanging="360"/>
      </w:pPr>
    </w:lvl>
    <w:lvl w:ilvl="2" w:tplc="0C09001B" w:tentative="1">
      <w:start w:val="1"/>
      <w:numFmt w:val="lowerRoman"/>
      <w:lvlText w:val="%3."/>
      <w:lvlJc w:val="right"/>
      <w:pPr>
        <w:ind w:left="2355" w:hanging="180"/>
      </w:pPr>
    </w:lvl>
    <w:lvl w:ilvl="3" w:tplc="0C09000F" w:tentative="1">
      <w:start w:val="1"/>
      <w:numFmt w:val="decimal"/>
      <w:lvlText w:val="%4."/>
      <w:lvlJc w:val="left"/>
      <w:pPr>
        <w:ind w:left="3075" w:hanging="360"/>
      </w:pPr>
    </w:lvl>
    <w:lvl w:ilvl="4" w:tplc="0C090019" w:tentative="1">
      <w:start w:val="1"/>
      <w:numFmt w:val="lowerLetter"/>
      <w:lvlText w:val="%5."/>
      <w:lvlJc w:val="left"/>
      <w:pPr>
        <w:ind w:left="3795" w:hanging="360"/>
      </w:pPr>
    </w:lvl>
    <w:lvl w:ilvl="5" w:tplc="0C09001B" w:tentative="1">
      <w:start w:val="1"/>
      <w:numFmt w:val="lowerRoman"/>
      <w:lvlText w:val="%6."/>
      <w:lvlJc w:val="right"/>
      <w:pPr>
        <w:ind w:left="4515" w:hanging="180"/>
      </w:pPr>
    </w:lvl>
    <w:lvl w:ilvl="6" w:tplc="0C09000F" w:tentative="1">
      <w:start w:val="1"/>
      <w:numFmt w:val="decimal"/>
      <w:lvlText w:val="%7."/>
      <w:lvlJc w:val="left"/>
      <w:pPr>
        <w:ind w:left="5235" w:hanging="360"/>
      </w:pPr>
    </w:lvl>
    <w:lvl w:ilvl="7" w:tplc="0C090019" w:tentative="1">
      <w:start w:val="1"/>
      <w:numFmt w:val="lowerLetter"/>
      <w:lvlText w:val="%8."/>
      <w:lvlJc w:val="left"/>
      <w:pPr>
        <w:ind w:left="5955" w:hanging="360"/>
      </w:pPr>
    </w:lvl>
    <w:lvl w:ilvl="8" w:tplc="0C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>
    <w:nsid w:val="36255D2D"/>
    <w:multiLevelType w:val="hybridMultilevel"/>
    <w:tmpl w:val="6FE0769C"/>
    <w:lvl w:ilvl="0" w:tplc="B66CEA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757939"/>
    <w:multiLevelType w:val="hybridMultilevel"/>
    <w:tmpl w:val="863628F0"/>
    <w:lvl w:ilvl="0" w:tplc="C9B00BA8">
      <w:start w:val="1"/>
      <w:numFmt w:val="lowerLetter"/>
      <w:lvlText w:val="(%1)"/>
      <w:lvlJc w:val="left"/>
      <w:pPr>
        <w:ind w:left="1866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586" w:hanging="360"/>
      </w:pPr>
    </w:lvl>
    <w:lvl w:ilvl="2" w:tplc="0C09001B" w:tentative="1">
      <w:start w:val="1"/>
      <w:numFmt w:val="lowerRoman"/>
      <w:lvlText w:val="%3."/>
      <w:lvlJc w:val="right"/>
      <w:pPr>
        <w:ind w:left="3306" w:hanging="180"/>
      </w:pPr>
    </w:lvl>
    <w:lvl w:ilvl="3" w:tplc="0C09000F" w:tentative="1">
      <w:start w:val="1"/>
      <w:numFmt w:val="decimal"/>
      <w:lvlText w:val="%4."/>
      <w:lvlJc w:val="left"/>
      <w:pPr>
        <w:ind w:left="4026" w:hanging="360"/>
      </w:pPr>
    </w:lvl>
    <w:lvl w:ilvl="4" w:tplc="0C090019" w:tentative="1">
      <w:start w:val="1"/>
      <w:numFmt w:val="lowerLetter"/>
      <w:lvlText w:val="%5."/>
      <w:lvlJc w:val="left"/>
      <w:pPr>
        <w:ind w:left="4746" w:hanging="360"/>
      </w:pPr>
    </w:lvl>
    <w:lvl w:ilvl="5" w:tplc="0C09001B" w:tentative="1">
      <w:start w:val="1"/>
      <w:numFmt w:val="lowerRoman"/>
      <w:lvlText w:val="%6."/>
      <w:lvlJc w:val="right"/>
      <w:pPr>
        <w:ind w:left="5466" w:hanging="180"/>
      </w:pPr>
    </w:lvl>
    <w:lvl w:ilvl="6" w:tplc="0C09000F" w:tentative="1">
      <w:start w:val="1"/>
      <w:numFmt w:val="decimal"/>
      <w:lvlText w:val="%7."/>
      <w:lvlJc w:val="left"/>
      <w:pPr>
        <w:ind w:left="6186" w:hanging="360"/>
      </w:pPr>
    </w:lvl>
    <w:lvl w:ilvl="7" w:tplc="0C090019" w:tentative="1">
      <w:start w:val="1"/>
      <w:numFmt w:val="lowerLetter"/>
      <w:lvlText w:val="%8."/>
      <w:lvlJc w:val="left"/>
      <w:pPr>
        <w:ind w:left="6906" w:hanging="360"/>
      </w:pPr>
    </w:lvl>
    <w:lvl w:ilvl="8" w:tplc="0C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6">
    <w:nsid w:val="40BB7658"/>
    <w:multiLevelType w:val="hybridMultilevel"/>
    <w:tmpl w:val="AF189D6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12D1F43"/>
    <w:multiLevelType w:val="hybridMultilevel"/>
    <w:tmpl w:val="478E83FA"/>
    <w:lvl w:ilvl="0" w:tplc="0C090011">
      <w:start w:val="1"/>
      <w:numFmt w:val="decimal"/>
      <w:lvlText w:val="%1)"/>
      <w:lvlJc w:val="left"/>
      <w:pPr>
        <w:tabs>
          <w:tab w:val="num" w:pos="6740"/>
        </w:tabs>
        <w:ind w:left="67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800B34"/>
    <w:multiLevelType w:val="hybridMultilevel"/>
    <w:tmpl w:val="07DE319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FA16E2"/>
    <w:multiLevelType w:val="hybridMultilevel"/>
    <w:tmpl w:val="D8749682"/>
    <w:lvl w:ilvl="0" w:tplc="0C090011">
      <w:start w:val="4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50753"/>
    <w:multiLevelType w:val="hybridMultilevel"/>
    <w:tmpl w:val="17D25AA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FD4716"/>
    <w:multiLevelType w:val="hybridMultilevel"/>
    <w:tmpl w:val="D18C861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253F1D"/>
    <w:multiLevelType w:val="hybridMultilevel"/>
    <w:tmpl w:val="FCB4097C"/>
    <w:lvl w:ilvl="0" w:tplc="0C09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3">
    <w:nsid w:val="4D810F8F"/>
    <w:multiLevelType w:val="hybridMultilevel"/>
    <w:tmpl w:val="263E8C1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E68365A"/>
    <w:multiLevelType w:val="hybridMultilevel"/>
    <w:tmpl w:val="BF662734"/>
    <w:lvl w:ilvl="0" w:tplc="80FA94D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6B42D2"/>
    <w:multiLevelType w:val="hybridMultilevel"/>
    <w:tmpl w:val="A610384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CD29A1"/>
    <w:multiLevelType w:val="hybridMultilevel"/>
    <w:tmpl w:val="98F69376"/>
    <w:lvl w:ilvl="0" w:tplc="0C090011">
      <w:start w:val="1"/>
      <w:numFmt w:val="decimal"/>
      <w:lvlText w:val="%1)"/>
      <w:lvlJc w:val="left"/>
      <w:pPr>
        <w:ind w:left="720" w:hanging="360"/>
      </w:pPr>
      <w:rPr>
        <w:b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426A33"/>
    <w:multiLevelType w:val="hybridMultilevel"/>
    <w:tmpl w:val="0D72451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D303ECC"/>
    <w:multiLevelType w:val="hybridMultilevel"/>
    <w:tmpl w:val="90F0B71A"/>
    <w:lvl w:ilvl="0" w:tplc="0C090017">
      <w:start w:val="1"/>
      <w:numFmt w:val="lowerLetter"/>
      <w:lvlText w:val="%1)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67B7167A"/>
    <w:multiLevelType w:val="hybridMultilevel"/>
    <w:tmpl w:val="E6A01A0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AEC28E8"/>
    <w:multiLevelType w:val="hybridMultilevel"/>
    <w:tmpl w:val="F5101578"/>
    <w:lvl w:ilvl="0" w:tplc="F8461CC0">
      <w:start w:val="1"/>
      <w:numFmt w:val="decimal"/>
      <w:lvlText w:val="%1)"/>
      <w:lvlJc w:val="left"/>
      <w:pPr>
        <w:ind w:left="720" w:hanging="360"/>
      </w:pPr>
      <w:rPr>
        <w:b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C04DAF"/>
    <w:multiLevelType w:val="hybridMultilevel"/>
    <w:tmpl w:val="9F0C16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F64946"/>
    <w:multiLevelType w:val="hybridMultilevel"/>
    <w:tmpl w:val="284C514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2243B0"/>
    <w:multiLevelType w:val="hybridMultilevel"/>
    <w:tmpl w:val="EA3A70B8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7504670D"/>
    <w:multiLevelType w:val="hybridMultilevel"/>
    <w:tmpl w:val="BAF4DAC8"/>
    <w:lvl w:ilvl="0" w:tplc="6568A536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7B4A1037"/>
    <w:multiLevelType w:val="hybridMultilevel"/>
    <w:tmpl w:val="8FAE7820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BBD675A"/>
    <w:multiLevelType w:val="hybridMultilevel"/>
    <w:tmpl w:val="8EF4B0A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B77A4"/>
    <w:multiLevelType w:val="hybridMultilevel"/>
    <w:tmpl w:val="DB807B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0"/>
  </w:num>
  <w:num w:numId="4">
    <w:abstractNumId w:val="8"/>
  </w:num>
  <w:num w:numId="5">
    <w:abstractNumId w:val="25"/>
  </w:num>
  <w:num w:numId="6">
    <w:abstractNumId w:val="32"/>
  </w:num>
  <w:num w:numId="7">
    <w:abstractNumId w:val="20"/>
  </w:num>
  <w:num w:numId="8">
    <w:abstractNumId w:val="1"/>
  </w:num>
  <w:num w:numId="9">
    <w:abstractNumId w:val="34"/>
  </w:num>
  <w:num w:numId="10">
    <w:abstractNumId w:val="19"/>
  </w:num>
  <w:num w:numId="11">
    <w:abstractNumId w:val="3"/>
  </w:num>
  <w:num w:numId="12">
    <w:abstractNumId w:val="4"/>
  </w:num>
  <w:num w:numId="13">
    <w:abstractNumId w:val="23"/>
  </w:num>
  <w:num w:numId="14">
    <w:abstractNumId w:val="24"/>
  </w:num>
  <w:num w:numId="15">
    <w:abstractNumId w:val="6"/>
  </w:num>
  <w:num w:numId="16">
    <w:abstractNumId w:val="31"/>
  </w:num>
  <w:num w:numId="17">
    <w:abstractNumId w:val="37"/>
  </w:num>
  <w:num w:numId="18">
    <w:abstractNumId w:val="26"/>
  </w:num>
  <w:num w:numId="19">
    <w:abstractNumId w:val="30"/>
  </w:num>
  <w:num w:numId="20">
    <w:abstractNumId w:val="29"/>
  </w:num>
  <w:num w:numId="21">
    <w:abstractNumId w:val="12"/>
  </w:num>
  <w:num w:numId="22">
    <w:abstractNumId w:val="35"/>
  </w:num>
  <w:num w:numId="23">
    <w:abstractNumId w:val="28"/>
  </w:num>
  <w:num w:numId="24">
    <w:abstractNumId w:val="18"/>
  </w:num>
  <w:num w:numId="25">
    <w:abstractNumId w:val="27"/>
  </w:num>
  <w:num w:numId="26">
    <w:abstractNumId w:val="33"/>
  </w:num>
  <w:num w:numId="27">
    <w:abstractNumId w:val="2"/>
  </w:num>
  <w:num w:numId="28">
    <w:abstractNumId w:val="15"/>
  </w:num>
  <w:num w:numId="29">
    <w:abstractNumId w:val="36"/>
  </w:num>
  <w:num w:numId="30">
    <w:abstractNumId w:val="14"/>
  </w:num>
  <w:num w:numId="31">
    <w:abstractNumId w:val="7"/>
  </w:num>
  <w:num w:numId="32">
    <w:abstractNumId w:val="5"/>
  </w:num>
  <w:num w:numId="33">
    <w:abstractNumId w:val="21"/>
  </w:num>
  <w:num w:numId="34">
    <w:abstractNumId w:val="0"/>
  </w:num>
  <w:num w:numId="35">
    <w:abstractNumId w:val="22"/>
  </w:num>
  <w:num w:numId="36">
    <w:abstractNumId w:val="16"/>
  </w:num>
  <w:num w:numId="37">
    <w:abstractNumId w:val="11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CE5"/>
    <w:rsid w:val="00000D37"/>
    <w:rsid w:val="000048F3"/>
    <w:rsid w:val="0001633B"/>
    <w:rsid w:val="000223C4"/>
    <w:rsid w:val="00045B56"/>
    <w:rsid w:val="00053B39"/>
    <w:rsid w:val="00054F8F"/>
    <w:rsid w:val="0006656F"/>
    <w:rsid w:val="000808B9"/>
    <w:rsid w:val="00082CE5"/>
    <w:rsid w:val="00091732"/>
    <w:rsid w:val="00093629"/>
    <w:rsid w:val="00094114"/>
    <w:rsid w:val="00095B62"/>
    <w:rsid w:val="00097A1E"/>
    <w:rsid w:val="000A71E5"/>
    <w:rsid w:val="000C7B04"/>
    <w:rsid w:val="000E1540"/>
    <w:rsid w:val="000E498A"/>
    <w:rsid w:val="00102517"/>
    <w:rsid w:val="0010341E"/>
    <w:rsid w:val="001047BF"/>
    <w:rsid w:val="001112E8"/>
    <w:rsid w:val="0012714B"/>
    <w:rsid w:val="001304C4"/>
    <w:rsid w:val="00132A69"/>
    <w:rsid w:val="00134BFF"/>
    <w:rsid w:val="00140933"/>
    <w:rsid w:val="00141A2B"/>
    <w:rsid w:val="00144FD7"/>
    <w:rsid w:val="00145CD0"/>
    <w:rsid w:val="00167E0F"/>
    <w:rsid w:val="00180CE5"/>
    <w:rsid w:val="00184F2E"/>
    <w:rsid w:val="0019651D"/>
    <w:rsid w:val="001A060C"/>
    <w:rsid w:val="001C03C0"/>
    <w:rsid w:val="001D6966"/>
    <w:rsid w:val="001F76E2"/>
    <w:rsid w:val="00204481"/>
    <w:rsid w:val="0021382B"/>
    <w:rsid w:val="0021650A"/>
    <w:rsid w:val="00222D37"/>
    <w:rsid w:val="002339C1"/>
    <w:rsid w:val="00240277"/>
    <w:rsid w:val="00250199"/>
    <w:rsid w:val="00261E01"/>
    <w:rsid w:val="00267E36"/>
    <w:rsid w:val="0027645F"/>
    <w:rsid w:val="00284E27"/>
    <w:rsid w:val="00285C35"/>
    <w:rsid w:val="00286AFB"/>
    <w:rsid w:val="002A163C"/>
    <w:rsid w:val="002C0774"/>
    <w:rsid w:val="002C1952"/>
    <w:rsid w:val="002C46C5"/>
    <w:rsid w:val="002C6BB7"/>
    <w:rsid w:val="002E6113"/>
    <w:rsid w:val="002E669A"/>
    <w:rsid w:val="002F720B"/>
    <w:rsid w:val="00316166"/>
    <w:rsid w:val="00334303"/>
    <w:rsid w:val="00340E1B"/>
    <w:rsid w:val="00341AC5"/>
    <w:rsid w:val="003502BB"/>
    <w:rsid w:val="003519A6"/>
    <w:rsid w:val="00352D6D"/>
    <w:rsid w:val="003A37FE"/>
    <w:rsid w:val="003A3E83"/>
    <w:rsid w:val="003B3C8B"/>
    <w:rsid w:val="003C2416"/>
    <w:rsid w:val="003C4E27"/>
    <w:rsid w:val="003C5BFB"/>
    <w:rsid w:val="003E3156"/>
    <w:rsid w:val="003E507B"/>
    <w:rsid w:val="003E6AD4"/>
    <w:rsid w:val="003F18C5"/>
    <w:rsid w:val="003F35EB"/>
    <w:rsid w:val="003F54C0"/>
    <w:rsid w:val="003F7E8F"/>
    <w:rsid w:val="00423AFA"/>
    <w:rsid w:val="00454068"/>
    <w:rsid w:val="00455046"/>
    <w:rsid w:val="00460645"/>
    <w:rsid w:val="00495DE0"/>
    <w:rsid w:val="00496439"/>
    <w:rsid w:val="004D373A"/>
    <w:rsid w:val="004D3C8E"/>
    <w:rsid w:val="005028AB"/>
    <w:rsid w:val="00504E06"/>
    <w:rsid w:val="00517D0F"/>
    <w:rsid w:val="005223B7"/>
    <w:rsid w:val="00532A8E"/>
    <w:rsid w:val="00590F26"/>
    <w:rsid w:val="005B560A"/>
    <w:rsid w:val="005C2601"/>
    <w:rsid w:val="005C38DC"/>
    <w:rsid w:val="005C48CA"/>
    <w:rsid w:val="005C7019"/>
    <w:rsid w:val="005D02A5"/>
    <w:rsid w:val="005D116B"/>
    <w:rsid w:val="005E561A"/>
    <w:rsid w:val="005E6606"/>
    <w:rsid w:val="00612471"/>
    <w:rsid w:val="00621836"/>
    <w:rsid w:val="0063050D"/>
    <w:rsid w:val="00634062"/>
    <w:rsid w:val="0063732E"/>
    <w:rsid w:val="00640E81"/>
    <w:rsid w:val="006435F9"/>
    <w:rsid w:val="00657FD7"/>
    <w:rsid w:val="00682899"/>
    <w:rsid w:val="006A0EF4"/>
    <w:rsid w:val="006A5C6A"/>
    <w:rsid w:val="006A7AED"/>
    <w:rsid w:val="006A7FD3"/>
    <w:rsid w:val="006D4DC3"/>
    <w:rsid w:val="007010AC"/>
    <w:rsid w:val="00720AD8"/>
    <w:rsid w:val="00724A85"/>
    <w:rsid w:val="00725671"/>
    <w:rsid w:val="00730F45"/>
    <w:rsid w:val="00735AB3"/>
    <w:rsid w:val="00741C28"/>
    <w:rsid w:val="0074243A"/>
    <w:rsid w:val="00742D00"/>
    <w:rsid w:val="0074746A"/>
    <w:rsid w:val="007570B0"/>
    <w:rsid w:val="00763830"/>
    <w:rsid w:val="00791CBC"/>
    <w:rsid w:val="00792389"/>
    <w:rsid w:val="007945D1"/>
    <w:rsid w:val="007A293D"/>
    <w:rsid w:val="007D247A"/>
    <w:rsid w:val="007D602E"/>
    <w:rsid w:val="007F1C33"/>
    <w:rsid w:val="008004A9"/>
    <w:rsid w:val="008132FB"/>
    <w:rsid w:val="00813414"/>
    <w:rsid w:val="00817FA8"/>
    <w:rsid w:val="0082212D"/>
    <w:rsid w:val="0084020C"/>
    <w:rsid w:val="008404C3"/>
    <w:rsid w:val="00851D26"/>
    <w:rsid w:val="00857CDF"/>
    <w:rsid w:val="00867BC1"/>
    <w:rsid w:val="008707D3"/>
    <w:rsid w:val="00874F57"/>
    <w:rsid w:val="00896EAD"/>
    <w:rsid w:val="008A7FED"/>
    <w:rsid w:val="008C4D48"/>
    <w:rsid w:val="008E4D7C"/>
    <w:rsid w:val="00903E87"/>
    <w:rsid w:val="0090581A"/>
    <w:rsid w:val="0091203D"/>
    <w:rsid w:val="0091589B"/>
    <w:rsid w:val="00933C41"/>
    <w:rsid w:val="009501B3"/>
    <w:rsid w:val="00956916"/>
    <w:rsid w:val="00960E28"/>
    <w:rsid w:val="00961A91"/>
    <w:rsid w:val="00974EEC"/>
    <w:rsid w:val="00983558"/>
    <w:rsid w:val="00992F18"/>
    <w:rsid w:val="00993B76"/>
    <w:rsid w:val="00996648"/>
    <w:rsid w:val="009A2184"/>
    <w:rsid w:val="009A6704"/>
    <w:rsid w:val="009D2DD8"/>
    <w:rsid w:val="009D3DDC"/>
    <w:rsid w:val="009E2997"/>
    <w:rsid w:val="009E2C01"/>
    <w:rsid w:val="00A026CC"/>
    <w:rsid w:val="00A06F48"/>
    <w:rsid w:val="00A10C4F"/>
    <w:rsid w:val="00A173AA"/>
    <w:rsid w:val="00A179CF"/>
    <w:rsid w:val="00A300E9"/>
    <w:rsid w:val="00A30195"/>
    <w:rsid w:val="00A40C21"/>
    <w:rsid w:val="00A467CA"/>
    <w:rsid w:val="00A520B3"/>
    <w:rsid w:val="00A77529"/>
    <w:rsid w:val="00A87761"/>
    <w:rsid w:val="00A94982"/>
    <w:rsid w:val="00AB4BAF"/>
    <w:rsid w:val="00AB4D34"/>
    <w:rsid w:val="00AC0278"/>
    <w:rsid w:val="00AC6386"/>
    <w:rsid w:val="00AD0566"/>
    <w:rsid w:val="00AD1273"/>
    <w:rsid w:val="00AE3083"/>
    <w:rsid w:val="00AE36CC"/>
    <w:rsid w:val="00AF087B"/>
    <w:rsid w:val="00B00073"/>
    <w:rsid w:val="00B07BFD"/>
    <w:rsid w:val="00B317A0"/>
    <w:rsid w:val="00B32490"/>
    <w:rsid w:val="00B436F9"/>
    <w:rsid w:val="00B50B06"/>
    <w:rsid w:val="00B60D8B"/>
    <w:rsid w:val="00B77E0A"/>
    <w:rsid w:val="00B907DC"/>
    <w:rsid w:val="00B92758"/>
    <w:rsid w:val="00B97C81"/>
    <w:rsid w:val="00BB0321"/>
    <w:rsid w:val="00BB30E2"/>
    <w:rsid w:val="00BB4D6C"/>
    <w:rsid w:val="00BD3B4B"/>
    <w:rsid w:val="00BD67DF"/>
    <w:rsid w:val="00BE3A88"/>
    <w:rsid w:val="00BF6410"/>
    <w:rsid w:val="00BF6817"/>
    <w:rsid w:val="00BF69D3"/>
    <w:rsid w:val="00C02779"/>
    <w:rsid w:val="00C10756"/>
    <w:rsid w:val="00C23783"/>
    <w:rsid w:val="00C37EDB"/>
    <w:rsid w:val="00C5025D"/>
    <w:rsid w:val="00C5070C"/>
    <w:rsid w:val="00C662DD"/>
    <w:rsid w:val="00C72EAA"/>
    <w:rsid w:val="00C86A69"/>
    <w:rsid w:val="00C9458A"/>
    <w:rsid w:val="00CA530C"/>
    <w:rsid w:val="00CC1E53"/>
    <w:rsid w:val="00CC2FBA"/>
    <w:rsid w:val="00CE4353"/>
    <w:rsid w:val="00CE7032"/>
    <w:rsid w:val="00D04739"/>
    <w:rsid w:val="00D0479B"/>
    <w:rsid w:val="00D13561"/>
    <w:rsid w:val="00D726E6"/>
    <w:rsid w:val="00D76980"/>
    <w:rsid w:val="00D93EE8"/>
    <w:rsid w:val="00DA37E9"/>
    <w:rsid w:val="00DB77E4"/>
    <w:rsid w:val="00DC339F"/>
    <w:rsid w:val="00DF3E2B"/>
    <w:rsid w:val="00E168A7"/>
    <w:rsid w:val="00E30D0A"/>
    <w:rsid w:val="00E31ED1"/>
    <w:rsid w:val="00E3382D"/>
    <w:rsid w:val="00E36EF2"/>
    <w:rsid w:val="00E46AD9"/>
    <w:rsid w:val="00E54481"/>
    <w:rsid w:val="00E55FD9"/>
    <w:rsid w:val="00E67A4D"/>
    <w:rsid w:val="00E76BA4"/>
    <w:rsid w:val="00E95BC9"/>
    <w:rsid w:val="00EA107B"/>
    <w:rsid w:val="00EA768C"/>
    <w:rsid w:val="00EB0E4C"/>
    <w:rsid w:val="00ED4272"/>
    <w:rsid w:val="00EE3D37"/>
    <w:rsid w:val="00EE4C34"/>
    <w:rsid w:val="00EF7574"/>
    <w:rsid w:val="00F04749"/>
    <w:rsid w:val="00F1084C"/>
    <w:rsid w:val="00F11069"/>
    <w:rsid w:val="00F27918"/>
    <w:rsid w:val="00F34739"/>
    <w:rsid w:val="00F439C8"/>
    <w:rsid w:val="00F64439"/>
    <w:rsid w:val="00F744AB"/>
    <w:rsid w:val="00F74D1D"/>
    <w:rsid w:val="00F84CB7"/>
    <w:rsid w:val="00FA095C"/>
    <w:rsid w:val="00FC22BE"/>
    <w:rsid w:val="00FC29A5"/>
    <w:rsid w:val="00FC33D6"/>
    <w:rsid w:val="00FC4555"/>
    <w:rsid w:val="00FD70C7"/>
    <w:rsid w:val="00FE799D"/>
    <w:rsid w:val="00FF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6E6"/>
    <w:pPr>
      <w:spacing w:after="240"/>
      <w:jc w:val="both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A5C6A"/>
    <w:pPr>
      <w:keepNext/>
      <w:pBdr>
        <w:bottom w:val="single" w:sz="12" w:space="6" w:color="auto"/>
      </w:pBd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A30195"/>
    <w:pPr>
      <w:keepNext/>
      <w:spacing w:before="360" w:after="120"/>
      <w:outlineLvl w:val="1"/>
    </w:pPr>
    <w:rPr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808B9"/>
    <w:pPr>
      <w:tabs>
        <w:tab w:val="right" w:pos="9105"/>
      </w:tabs>
      <w:overflowPunct w:val="0"/>
      <w:autoSpaceDE w:val="0"/>
      <w:autoSpaceDN w:val="0"/>
      <w:adjustRightInd w:val="0"/>
      <w:jc w:val="center"/>
    </w:pPr>
    <w:rPr>
      <w:rFonts w:eastAsia="Calibri"/>
      <w:b/>
      <w:u w:val="single"/>
      <w:lang w:val="en-GB" w:eastAsia="x-none"/>
    </w:rPr>
  </w:style>
  <w:style w:type="character" w:customStyle="1" w:styleId="TitleChar">
    <w:name w:val="Title Char"/>
    <w:link w:val="Title"/>
    <w:locked/>
    <w:rsid w:val="000808B9"/>
    <w:rPr>
      <w:rFonts w:ascii="Arial" w:eastAsia="Calibri" w:hAnsi="Arial"/>
      <w:b/>
      <w:sz w:val="24"/>
      <w:szCs w:val="24"/>
      <w:u w:val="single"/>
      <w:lang w:val="en-GB" w:eastAsia="x-none" w:bidi="ar-SA"/>
    </w:rPr>
  </w:style>
  <w:style w:type="paragraph" w:styleId="Header">
    <w:name w:val="header"/>
    <w:basedOn w:val="Normal"/>
    <w:rsid w:val="00340E1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40E1B"/>
  </w:style>
  <w:style w:type="paragraph" w:styleId="BalloonText">
    <w:name w:val="Balloon Text"/>
    <w:basedOn w:val="Normal"/>
    <w:semiHidden/>
    <w:rsid w:val="00C027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373A"/>
    <w:pPr>
      <w:ind w:left="720"/>
    </w:pPr>
  </w:style>
  <w:style w:type="paragraph" w:styleId="Footer">
    <w:name w:val="footer"/>
    <w:basedOn w:val="Normal"/>
    <w:link w:val="FooterChar"/>
    <w:rsid w:val="00AB4D3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B4D34"/>
    <w:rPr>
      <w:sz w:val="24"/>
      <w:szCs w:val="24"/>
    </w:rPr>
  </w:style>
  <w:style w:type="paragraph" w:styleId="FootnoteText">
    <w:name w:val="footnote text"/>
    <w:basedOn w:val="Normal"/>
    <w:link w:val="FootnoteTextChar"/>
    <w:rsid w:val="003502B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502BB"/>
  </w:style>
  <w:style w:type="character" w:styleId="FootnoteReference">
    <w:name w:val="footnote reference"/>
    <w:rsid w:val="003502BB"/>
    <w:rPr>
      <w:vertAlign w:val="superscript"/>
    </w:rPr>
  </w:style>
  <w:style w:type="character" w:styleId="CommentReference">
    <w:name w:val="annotation reference"/>
    <w:rsid w:val="003C4E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4E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C4E27"/>
  </w:style>
  <w:style w:type="paragraph" w:styleId="CommentSubject">
    <w:name w:val="annotation subject"/>
    <w:basedOn w:val="CommentText"/>
    <w:next w:val="CommentText"/>
    <w:link w:val="CommentSubjectChar"/>
    <w:rsid w:val="003C4E27"/>
    <w:rPr>
      <w:b/>
      <w:bCs/>
    </w:rPr>
  </w:style>
  <w:style w:type="character" w:customStyle="1" w:styleId="CommentSubjectChar">
    <w:name w:val="Comment Subject Char"/>
    <w:link w:val="CommentSubject"/>
    <w:rsid w:val="003C4E27"/>
    <w:rPr>
      <w:b/>
      <w:bCs/>
    </w:rPr>
  </w:style>
  <w:style w:type="paragraph" w:customStyle="1" w:styleId="NewSectionHeading">
    <w:name w:val="New Section Heading"/>
    <w:basedOn w:val="Normal"/>
    <w:next w:val="Normal"/>
    <w:rsid w:val="000223C4"/>
    <w:pPr>
      <w:keepNext/>
      <w:keepLines/>
      <w:widowControl w:val="0"/>
      <w:ind w:left="1100" w:hanging="1100"/>
      <w:outlineLvl w:val="4"/>
    </w:pPr>
    <w:rPr>
      <w:rFonts w:ascii="Helvetica" w:hAnsi="Helvetica"/>
      <w:b/>
    </w:rPr>
  </w:style>
  <w:style w:type="paragraph" w:customStyle="1" w:styleId="Subsection">
    <w:name w:val="Subsection"/>
    <w:basedOn w:val="Normal"/>
    <w:rsid w:val="000223C4"/>
    <w:pPr>
      <w:widowControl w:val="0"/>
      <w:tabs>
        <w:tab w:val="right" w:pos="902"/>
      </w:tabs>
      <w:ind w:left="1100" w:hanging="1100"/>
    </w:pPr>
    <w:rPr>
      <w:rFonts w:ascii="Helvetica" w:hAnsi="Helvetica"/>
    </w:rPr>
  </w:style>
  <w:style w:type="paragraph" w:customStyle="1" w:styleId="Paragraph">
    <w:name w:val="Paragraph"/>
    <w:basedOn w:val="Normal"/>
    <w:rsid w:val="000223C4"/>
    <w:pPr>
      <w:widowControl w:val="0"/>
      <w:ind w:left="1667" w:hanging="567"/>
    </w:pPr>
    <w:rPr>
      <w:rFonts w:ascii="Helvetica" w:hAnsi="Helvetica"/>
    </w:rPr>
  </w:style>
  <w:style w:type="paragraph" w:customStyle="1" w:styleId="BottomLine">
    <w:name w:val="Bottom Line"/>
    <w:basedOn w:val="Normal"/>
    <w:rsid w:val="00A30195"/>
    <w:pPr>
      <w:pBdr>
        <w:top w:val="single" w:sz="12" w:space="1" w:color="auto"/>
      </w:pBdr>
    </w:pPr>
    <w:rPr>
      <w:szCs w:val="20"/>
    </w:rPr>
  </w:style>
  <w:style w:type="character" w:customStyle="1" w:styleId="Heading2Char">
    <w:name w:val="Heading 2 Char"/>
    <w:basedOn w:val="DefaultParagraphFont"/>
    <w:link w:val="Heading2"/>
    <w:rsid w:val="00A30195"/>
    <w:rPr>
      <w:rFonts w:ascii="Arial" w:hAnsi="Arial"/>
      <w:b/>
      <w:bCs/>
      <w:iCs/>
      <w:sz w:val="28"/>
      <w:szCs w:val="28"/>
    </w:rPr>
  </w:style>
  <w:style w:type="character" w:styleId="Hyperlink">
    <w:name w:val="Hyperlink"/>
    <w:basedOn w:val="DefaultParagraphFont"/>
    <w:rsid w:val="00EE4C3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6A5C6A"/>
    <w:rPr>
      <w:rFonts w:ascii="Arial" w:hAnsi="Arial"/>
      <w:b/>
      <w:bCs/>
      <w:kern w:val="32"/>
      <w:sz w:val="32"/>
      <w:szCs w:val="32"/>
    </w:rPr>
  </w:style>
  <w:style w:type="paragraph" w:customStyle="1" w:styleId="Default">
    <w:name w:val="Default"/>
    <w:rsid w:val="002A16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entreItalics">
    <w:name w:val="Centre Italics"/>
    <w:basedOn w:val="Normal"/>
    <w:rsid w:val="00EE3D37"/>
    <w:pPr>
      <w:tabs>
        <w:tab w:val="left" w:pos="720"/>
        <w:tab w:val="left" w:pos="1440"/>
      </w:tabs>
      <w:spacing w:after="0"/>
      <w:ind w:right="17"/>
      <w:jc w:val="center"/>
    </w:pPr>
    <w:rPr>
      <w:rFonts w:ascii="Times New Roman" w:hAnsi="Times New Roman"/>
      <w:i/>
      <w:iCs/>
      <w:sz w:val="26"/>
      <w:szCs w:val="20"/>
      <w:lang w:val="en-GB"/>
    </w:rPr>
  </w:style>
  <w:style w:type="paragraph" w:styleId="ListNumber">
    <w:name w:val="List Number"/>
    <w:basedOn w:val="Normal"/>
    <w:next w:val="Normal"/>
    <w:rsid w:val="00EE3D37"/>
    <w:pPr>
      <w:tabs>
        <w:tab w:val="num" w:pos="720"/>
      </w:tabs>
      <w:spacing w:after="260" w:line="280" w:lineRule="exact"/>
      <w:ind w:left="357" w:hanging="357"/>
    </w:pPr>
    <w:rPr>
      <w:rFonts w:ascii="Times New Roman" w:hAnsi="Times New Roman"/>
      <w:sz w:val="26"/>
      <w:szCs w:val="20"/>
      <w:lang w:eastAsia="en-US"/>
    </w:rPr>
  </w:style>
  <w:style w:type="paragraph" w:styleId="Revision">
    <w:name w:val="Revision"/>
    <w:hidden/>
    <w:uiPriority w:val="99"/>
    <w:semiHidden/>
    <w:rsid w:val="007D247A"/>
    <w:rPr>
      <w:rFonts w:ascii="Arial" w:hAnsi="Arial"/>
      <w:sz w:val="24"/>
      <w:szCs w:val="24"/>
    </w:rPr>
  </w:style>
  <w:style w:type="paragraph" w:customStyle="1" w:styleId="Body">
    <w:name w:val="Body"/>
    <w:rsid w:val="00261E0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6E6"/>
    <w:pPr>
      <w:spacing w:after="240"/>
      <w:jc w:val="both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A5C6A"/>
    <w:pPr>
      <w:keepNext/>
      <w:pBdr>
        <w:bottom w:val="single" w:sz="12" w:space="6" w:color="auto"/>
      </w:pBd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A30195"/>
    <w:pPr>
      <w:keepNext/>
      <w:spacing w:before="360" w:after="120"/>
      <w:outlineLvl w:val="1"/>
    </w:pPr>
    <w:rPr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808B9"/>
    <w:pPr>
      <w:tabs>
        <w:tab w:val="right" w:pos="9105"/>
      </w:tabs>
      <w:overflowPunct w:val="0"/>
      <w:autoSpaceDE w:val="0"/>
      <w:autoSpaceDN w:val="0"/>
      <w:adjustRightInd w:val="0"/>
      <w:jc w:val="center"/>
    </w:pPr>
    <w:rPr>
      <w:rFonts w:eastAsia="Calibri"/>
      <w:b/>
      <w:u w:val="single"/>
      <w:lang w:val="en-GB" w:eastAsia="x-none"/>
    </w:rPr>
  </w:style>
  <w:style w:type="character" w:customStyle="1" w:styleId="TitleChar">
    <w:name w:val="Title Char"/>
    <w:link w:val="Title"/>
    <w:locked/>
    <w:rsid w:val="000808B9"/>
    <w:rPr>
      <w:rFonts w:ascii="Arial" w:eastAsia="Calibri" w:hAnsi="Arial"/>
      <w:b/>
      <w:sz w:val="24"/>
      <w:szCs w:val="24"/>
      <w:u w:val="single"/>
      <w:lang w:val="en-GB" w:eastAsia="x-none" w:bidi="ar-SA"/>
    </w:rPr>
  </w:style>
  <w:style w:type="paragraph" w:styleId="Header">
    <w:name w:val="header"/>
    <w:basedOn w:val="Normal"/>
    <w:rsid w:val="00340E1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40E1B"/>
  </w:style>
  <w:style w:type="paragraph" w:styleId="BalloonText">
    <w:name w:val="Balloon Text"/>
    <w:basedOn w:val="Normal"/>
    <w:semiHidden/>
    <w:rsid w:val="00C027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373A"/>
    <w:pPr>
      <w:ind w:left="720"/>
    </w:pPr>
  </w:style>
  <w:style w:type="paragraph" w:styleId="Footer">
    <w:name w:val="footer"/>
    <w:basedOn w:val="Normal"/>
    <w:link w:val="FooterChar"/>
    <w:rsid w:val="00AB4D3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B4D34"/>
    <w:rPr>
      <w:sz w:val="24"/>
      <w:szCs w:val="24"/>
    </w:rPr>
  </w:style>
  <w:style w:type="paragraph" w:styleId="FootnoteText">
    <w:name w:val="footnote text"/>
    <w:basedOn w:val="Normal"/>
    <w:link w:val="FootnoteTextChar"/>
    <w:rsid w:val="003502B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502BB"/>
  </w:style>
  <w:style w:type="character" w:styleId="FootnoteReference">
    <w:name w:val="footnote reference"/>
    <w:rsid w:val="003502BB"/>
    <w:rPr>
      <w:vertAlign w:val="superscript"/>
    </w:rPr>
  </w:style>
  <w:style w:type="character" w:styleId="CommentReference">
    <w:name w:val="annotation reference"/>
    <w:rsid w:val="003C4E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4E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C4E27"/>
  </w:style>
  <w:style w:type="paragraph" w:styleId="CommentSubject">
    <w:name w:val="annotation subject"/>
    <w:basedOn w:val="CommentText"/>
    <w:next w:val="CommentText"/>
    <w:link w:val="CommentSubjectChar"/>
    <w:rsid w:val="003C4E27"/>
    <w:rPr>
      <w:b/>
      <w:bCs/>
    </w:rPr>
  </w:style>
  <w:style w:type="character" w:customStyle="1" w:styleId="CommentSubjectChar">
    <w:name w:val="Comment Subject Char"/>
    <w:link w:val="CommentSubject"/>
    <w:rsid w:val="003C4E27"/>
    <w:rPr>
      <w:b/>
      <w:bCs/>
    </w:rPr>
  </w:style>
  <w:style w:type="paragraph" w:customStyle="1" w:styleId="NewSectionHeading">
    <w:name w:val="New Section Heading"/>
    <w:basedOn w:val="Normal"/>
    <w:next w:val="Normal"/>
    <w:rsid w:val="000223C4"/>
    <w:pPr>
      <w:keepNext/>
      <w:keepLines/>
      <w:widowControl w:val="0"/>
      <w:ind w:left="1100" w:hanging="1100"/>
      <w:outlineLvl w:val="4"/>
    </w:pPr>
    <w:rPr>
      <w:rFonts w:ascii="Helvetica" w:hAnsi="Helvetica"/>
      <w:b/>
    </w:rPr>
  </w:style>
  <w:style w:type="paragraph" w:customStyle="1" w:styleId="Subsection">
    <w:name w:val="Subsection"/>
    <w:basedOn w:val="Normal"/>
    <w:rsid w:val="000223C4"/>
    <w:pPr>
      <w:widowControl w:val="0"/>
      <w:tabs>
        <w:tab w:val="right" w:pos="902"/>
      </w:tabs>
      <w:ind w:left="1100" w:hanging="1100"/>
    </w:pPr>
    <w:rPr>
      <w:rFonts w:ascii="Helvetica" w:hAnsi="Helvetica"/>
    </w:rPr>
  </w:style>
  <w:style w:type="paragraph" w:customStyle="1" w:styleId="Paragraph">
    <w:name w:val="Paragraph"/>
    <w:basedOn w:val="Normal"/>
    <w:rsid w:val="000223C4"/>
    <w:pPr>
      <w:widowControl w:val="0"/>
      <w:ind w:left="1667" w:hanging="567"/>
    </w:pPr>
    <w:rPr>
      <w:rFonts w:ascii="Helvetica" w:hAnsi="Helvetica"/>
    </w:rPr>
  </w:style>
  <w:style w:type="paragraph" w:customStyle="1" w:styleId="BottomLine">
    <w:name w:val="Bottom Line"/>
    <w:basedOn w:val="Normal"/>
    <w:rsid w:val="00A30195"/>
    <w:pPr>
      <w:pBdr>
        <w:top w:val="single" w:sz="12" w:space="1" w:color="auto"/>
      </w:pBdr>
    </w:pPr>
    <w:rPr>
      <w:szCs w:val="20"/>
    </w:rPr>
  </w:style>
  <w:style w:type="character" w:customStyle="1" w:styleId="Heading2Char">
    <w:name w:val="Heading 2 Char"/>
    <w:basedOn w:val="DefaultParagraphFont"/>
    <w:link w:val="Heading2"/>
    <w:rsid w:val="00A30195"/>
    <w:rPr>
      <w:rFonts w:ascii="Arial" w:hAnsi="Arial"/>
      <w:b/>
      <w:bCs/>
      <w:iCs/>
      <w:sz w:val="28"/>
      <w:szCs w:val="28"/>
    </w:rPr>
  </w:style>
  <w:style w:type="character" w:styleId="Hyperlink">
    <w:name w:val="Hyperlink"/>
    <w:basedOn w:val="DefaultParagraphFont"/>
    <w:rsid w:val="00EE4C3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6A5C6A"/>
    <w:rPr>
      <w:rFonts w:ascii="Arial" w:hAnsi="Arial"/>
      <w:b/>
      <w:bCs/>
      <w:kern w:val="32"/>
      <w:sz w:val="32"/>
      <w:szCs w:val="32"/>
    </w:rPr>
  </w:style>
  <w:style w:type="paragraph" w:customStyle="1" w:styleId="Default">
    <w:name w:val="Default"/>
    <w:rsid w:val="002A16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entreItalics">
    <w:name w:val="Centre Italics"/>
    <w:basedOn w:val="Normal"/>
    <w:rsid w:val="00EE3D37"/>
    <w:pPr>
      <w:tabs>
        <w:tab w:val="left" w:pos="720"/>
        <w:tab w:val="left" w:pos="1440"/>
      </w:tabs>
      <w:spacing w:after="0"/>
      <w:ind w:right="17"/>
      <w:jc w:val="center"/>
    </w:pPr>
    <w:rPr>
      <w:rFonts w:ascii="Times New Roman" w:hAnsi="Times New Roman"/>
      <w:i/>
      <w:iCs/>
      <w:sz w:val="26"/>
      <w:szCs w:val="20"/>
      <w:lang w:val="en-GB"/>
    </w:rPr>
  </w:style>
  <w:style w:type="paragraph" w:styleId="ListNumber">
    <w:name w:val="List Number"/>
    <w:basedOn w:val="Normal"/>
    <w:next w:val="Normal"/>
    <w:rsid w:val="00EE3D37"/>
    <w:pPr>
      <w:tabs>
        <w:tab w:val="num" w:pos="720"/>
      </w:tabs>
      <w:spacing w:after="260" w:line="280" w:lineRule="exact"/>
      <w:ind w:left="357" w:hanging="357"/>
    </w:pPr>
    <w:rPr>
      <w:rFonts w:ascii="Times New Roman" w:hAnsi="Times New Roman"/>
      <w:sz w:val="26"/>
      <w:szCs w:val="20"/>
      <w:lang w:eastAsia="en-US"/>
    </w:rPr>
  </w:style>
  <w:style w:type="paragraph" w:styleId="Revision">
    <w:name w:val="Revision"/>
    <w:hidden/>
    <w:uiPriority w:val="99"/>
    <w:semiHidden/>
    <w:rsid w:val="007D247A"/>
    <w:rPr>
      <w:rFonts w:ascii="Arial" w:hAnsi="Arial"/>
      <w:sz w:val="24"/>
      <w:szCs w:val="24"/>
    </w:rPr>
  </w:style>
  <w:style w:type="paragraph" w:customStyle="1" w:styleId="Body">
    <w:name w:val="Body"/>
    <w:rsid w:val="00261E0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2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5DCF3-6B62-4D43-84FE-DFBF1F4C0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</Company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 C v William Hill</dc:title>
  <dc:creator/>
  <cp:lastModifiedBy>Marlene Woods</cp:lastModifiedBy>
  <cp:revision>6</cp:revision>
  <cp:lastPrinted>2016-09-07T00:04:00Z</cp:lastPrinted>
  <dcterms:created xsi:type="dcterms:W3CDTF">2016-09-08T05:33:00Z</dcterms:created>
  <dcterms:modified xsi:type="dcterms:W3CDTF">2016-10-16T23:22:00Z</dcterms:modified>
</cp:coreProperties>
</file>