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2D36F" w14:textId="77777777" w:rsidR="003B38E2" w:rsidRPr="00C26AA1" w:rsidRDefault="003B38E2" w:rsidP="00770B78">
      <w:pPr>
        <w:keepNext/>
        <w:pBdr>
          <w:bottom w:val="single" w:sz="12" w:space="6" w:color="auto"/>
        </w:pBdr>
        <w:spacing w:after="120" w:line="360" w:lineRule="auto"/>
        <w:jc w:val="center"/>
        <w:outlineLvl w:val="0"/>
        <w:rPr>
          <w:rFonts w:ascii="Arial" w:hAnsi="Arial"/>
          <w:b/>
          <w:bCs/>
          <w:kern w:val="32"/>
          <w:sz w:val="32"/>
          <w:szCs w:val="32"/>
        </w:rPr>
      </w:pPr>
      <w:r w:rsidRPr="00C26AA1">
        <w:rPr>
          <w:rFonts w:ascii="Arial" w:hAnsi="Arial"/>
          <w:b/>
          <w:bCs/>
          <w:kern w:val="32"/>
          <w:sz w:val="32"/>
          <w:szCs w:val="32"/>
        </w:rPr>
        <w:t>Reasons for Decision</w:t>
      </w:r>
    </w:p>
    <w:p w14:paraId="71DEE592" w14:textId="46A91088" w:rsidR="003B38E2" w:rsidRPr="005F725E" w:rsidRDefault="003B38E2" w:rsidP="003B38E2">
      <w:pPr>
        <w:overflowPunct w:val="0"/>
        <w:autoSpaceDE w:val="0"/>
        <w:autoSpaceDN w:val="0"/>
        <w:adjustRightInd w:val="0"/>
        <w:spacing w:after="200"/>
        <w:ind w:left="2835" w:hanging="2835"/>
        <w:outlineLvl w:val="0"/>
        <w:rPr>
          <w:rFonts w:ascii="Arial" w:hAnsi="Arial" w:cs="Arial"/>
          <w:lang w:val="en-GB"/>
        </w:rPr>
      </w:pPr>
      <w:r w:rsidRPr="00CE4353">
        <w:rPr>
          <w:rFonts w:ascii="Arial" w:hAnsi="Arial"/>
          <w:b/>
          <w:szCs w:val="20"/>
        </w:rPr>
        <w:t>Licensee</w:t>
      </w:r>
      <w:r w:rsidRPr="00C05A58">
        <w:rPr>
          <w:rFonts w:ascii="Arial" w:hAnsi="Arial" w:cs="Arial"/>
          <w:b/>
          <w:lang w:val="en-GB"/>
        </w:rPr>
        <w:t>:</w:t>
      </w:r>
      <w:r w:rsidRPr="00C05A58">
        <w:rPr>
          <w:rFonts w:ascii="Arial" w:hAnsi="Arial" w:cs="Arial"/>
          <w:b/>
          <w:lang w:val="en-GB"/>
        </w:rPr>
        <w:tab/>
      </w:r>
      <w:r w:rsidR="00EF555D" w:rsidRPr="00EF555D">
        <w:rPr>
          <w:rFonts w:ascii="Arial" w:hAnsi="Arial" w:cs="Arial"/>
          <w:lang w:val="en-GB"/>
        </w:rPr>
        <w:t>TopBetta</w:t>
      </w:r>
      <w:r w:rsidR="00463916">
        <w:rPr>
          <w:rFonts w:ascii="Arial" w:hAnsi="Arial" w:cs="Arial"/>
          <w:lang w:val="en-GB"/>
        </w:rPr>
        <w:t xml:space="preserve"> Pty Ltd</w:t>
      </w:r>
    </w:p>
    <w:p w14:paraId="0F1A14B8" w14:textId="728A87D0" w:rsidR="003B38E2" w:rsidRPr="00EF555D" w:rsidRDefault="003B38E2" w:rsidP="003B38E2">
      <w:pPr>
        <w:spacing w:after="200"/>
        <w:ind w:left="2835" w:hanging="2835"/>
        <w:rPr>
          <w:rFonts w:ascii="Arial" w:hAnsi="Arial" w:cs="Arial"/>
          <w:lang w:val="en-GB"/>
        </w:rPr>
      </w:pPr>
      <w:r w:rsidRPr="00CE4353">
        <w:rPr>
          <w:rFonts w:ascii="Arial" w:hAnsi="Arial"/>
          <w:b/>
          <w:szCs w:val="20"/>
        </w:rPr>
        <w:t>Proceedings</w:t>
      </w:r>
      <w:r w:rsidRPr="00C05A58">
        <w:rPr>
          <w:rFonts w:ascii="Arial" w:hAnsi="Arial" w:cs="Arial"/>
          <w:b/>
          <w:lang w:val="en-GB"/>
        </w:rPr>
        <w:t>:</w:t>
      </w:r>
      <w:r w:rsidRPr="00C05A58">
        <w:rPr>
          <w:rFonts w:ascii="Arial" w:hAnsi="Arial" w:cs="Arial"/>
          <w:b/>
          <w:lang w:val="en-GB"/>
        </w:rPr>
        <w:tab/>
      </w:r>
      <w:r w:rsidR="008E5F56" w:rsidRPr="00EF555D">
        <w:rPr>
          <w:rFonts w:ascii="Arial" w:hAnsi="Arial" w:cs="Arial"/>
        </w:rPr>
        <w:t>Pursuant to Section</w:t>
      </w:r>
      <w:r w:rsidR="003E4F8E" w:rsidRPr="00EF555D">
        <w:rPr>
          <w:rFonts w:ascii="Arial" w:hAnsi="Arial" w:cs="Arial"/>
        </w:rPr>
        <w:t xml:space="preserve"> </w:t>
      </w:r>
      <w:r w:rsidR="004676E6">
        <w:rPr>
          <w:rFonts w:ascii="Arial" w:hAnsi="Arial" w:cs="Arial"/>
        </w:rPr>
        <w:t>80</w:t>
      </w:r>
      <w:r w:rsidR="00486381">
        <w:rPr>
          <w:rFonts w:ascii="Arial" w:hAnsi="Arial" w:cs="Arial"/>
        </w:rPr>
        <w:t>(1</w:t>
      </w:r>
      <w:proofErr w:type="gramStart"/>
      <w:r w:rsidR="00486381">
        <w:rPr>
          <w:rFonts w:ascii="Arial" w:hAnsi="Arial" w:cs="Arial"/>
        </w:rPr>
        <w:t>)</w:t>
      </w:r>
      <w:r w:rsidR="00A73ACE">
        <w:rPr>
          <w:rFonts w:ascii="Arial" w:hAnsi="Arial" w:cs="Arial"/>
        </w:rPr>
        <w:t>(</w:t>
      </w:r>
      <w:proofErr w:type="gramEnd"/>
      <w:r w:rsidR="00486381">
        <w:rPr>
          <w:rFonts w:ascii="Arial" w:hAnsi="Arial" w:cs="Arial"/>
        </w:rPr>
        <w:t>d</w:t>
      </w:r>
      <w:r w:rsidR="00A73ACE">
        <w:rPr>
          <w:rFonts w:ascii="Arial" w:hAnsi="Arial" w:cs="Arial"/>
        </w:rPr>
        <w:t>)</w:t>
      </w:r>
      <w:r w:rsidR="008E5F56" w:rsidRPr="00EF555D">
        <w:rPr>
          <w:rFonts w:ascii="Arial" w:hAnsi="Arial" w:cs="Arial"/>
        </w:rPr>
        <w:t xml:space="preserve"> of the </w:t>
      </w:r>
      <w:r w:rsidR="008E5F56" w:rsidRPr="00EF555D">
        <w:rPr>
          <w:rFonts w:ascii="Arial" w:hAnsi="Arial" w:cs="Arial"/>
          <w:i/>
        </w:rPr>
        <w:t>Racing and Betting Act</w:t>
      </w:r>
      <w:r w:rsidR="008E5F56" w:rsidRPr="00EF555D">
        <w:rPr>
          <w:rFonts w:ascii="Arial" w:hAnsi="Arial" w:cs="Arial"/>
        </w:rPr>
        <w:t xml:space="preserve"> –</w:t>
      </w:r>
      <w:r w:rsidR="000716C2" w:rsidRPr="00EF555D">
        <w:rPr>
          <w:rFonts w:ascii="Arial" w:hAnsi="Arial" w:cs="Arial"/>
        </w:rPr>
        <w:t xml:space="preserve"> </w:t>
      </w:r>
      <w:r w:rsidR="000716C2" w:rsidRPr="00EF555D">
        <w:rPr>
          <w:rFonts w:ascii="Arial" w:hAnsi="Arial" w:cs="Arial"/>
        </w:rPr>
        <w:br/>
      </w:r>
      <w:r w:rsidR="00486381">
        <w:rPr>
          <w:rFonts w:ascii="Arial" w:hAnsi="Arial" w:cs="Arial"/>
        </w:rPr>
        <w:t>Failed to comply with a con</w:t>
      </w:r>
      <w:bookmarkStart w:id="0" w:name="_GoBack"/>
      <w:bookmarkEnd w:id="0"/>
      <w:r w:rsidR="00486381">
        <w:rPr>
          <w:rFonts w:ascii="Arial" w:hAnsi="Arial" w:cs="Arial"/>
        </w:rPr>
        <w:t>dition of licence (</w:t>
      </w:r>
      <w:r w:rsidR="00A73ACE">
        <w:rPr>
          <w:rFonts w:ascii="Arial" w:hAnsi="Arial" w:cs="Arial"/>
        </w:rPr>
        <w:t>failure</w:t>
      </w:r>
      <w:r w:rsidR="004676E6">
        <w:rPr>
          <w:rFonts w:ascii="Arial" w:hAnsi="Arial" w:cs="Arial"/>
        </w:rPr>
        <w:t xml:space="preserve"> to record a telephone conversation</w:t>
      </w:r>
      <w:r w:rsidR="00486381">
        <w:rPr>
          <w:rFonts w:ascii="Arial" w:hAnsi="Arial" w:cs="Arial"/>
        </w:rPr>
        <w:t>)</w:t>
      </w:r>
      <w:r w:rsidR="004676E6">
        <w:rPr>
          <w:rFonts w:ascii="Arial" w:hAnsi="Arial" w:cs="Arial"/>
        </w:rPr>
        <w:t>.</w:t>
      </w:r>
    </w:p>
    <w:p w14:paraId="769981ED" w14:textId="2CD51523" w:rsidR="003E4F8E" w:rsidRPr="00EF555D" w:rsidRDefault="003B38E2" w:rsidP="008E5F56">
      <w:pPr>
        <w:ind w:left="2835" w:hanging="2835"/>
        <w:rPr>
          <w:rFonts w:ascii="Arial" w:hAnsi="Arial" w:cs="Arial"/>
          <w:lang w:val="en-GB"/>
        </w:rPr>
      </w:pPr>
      <w:r w:rsidRPr="00EF555D">
        <w:rPr>
          <w:rFonts w:ascii="Arial" w:hAnsi="Arial"/>
          <w:b/>
          <w:szCs w:val="20"/>
        </w:rPr>
        <w:t>Heard Before</w:t>
      </w:r>
      <w:r w:rsidRPr="00EF555D">
        <w:rPr>
          <w:rFonts w:ascii="Arial" w:hAnsi="Arial" w:cs="Arial"/>
          <w:b/>
          <w:lang w:val="en-GB"/>
        </w:rPr>
        <w:t>:</w:t>
      </w:r>
      <w:r w:rsidRPr="00EF555D">
        <w:rPr>
          <w:rFonts w:ascii="Arial" w:hAnsi="Arial" w:cs="Arial"/>
          <w:b/>
          <w:lang w:val="en-GB"/>
        </w:rPr>
        <w:tab/>
      </w:r>
      <w:r w:rsidR="004676E6">
        <w:rPr>
          <w:rFonts w:ascii="Arial" w:hAnsi="Arial" w:cs="Arial"/>
          <w:lang w:val="en-GB"/>
        </w:rPr>
        <w:t>Andrew Maloney</w:t>
      </w:r>
      <w:r w:rsidR="000716C2" w:rsidRPr="00EF555D">
        <w:rPr>
          <w:rFonts w:ascii="Arial" w:hAnsi="Arial" w:cs="Arial"/>
          <w:lang w:val="en-GB"/>
        </w:rPr>
        <w:t xml:space="preserve"> (Presiding Member)</w:t>
      </w:r>
    </w:p>
    <w:p w14:paraId="2A515365" w14:textId="77777777" w:rsidR="00463916" w:rsidRDefault="00DB64C1" w:rsidP="008E5F56">
      <w:pPr>
        <w:ind w:left="2835" w:hanging="2835"/>
        <w:rPr>
          <w:rFonts w:ascii="Arial" w:hAnsi="Arial" w:cs="Arial"/>
          <w:b/>
        </w:rPr>
      </w:pPr>
      <w:r w:rsidRPr="00EF555D">
        <w:rPr>
          <w:rFonts w:ascii="Arial" w:hAnsi="Arial" w:cs="Arial"/>
          <w:b/>
        </w:rPr>
        <w:t>(</w:t>
      </w:r>
      <w:proofErr w:type="gramStart"/>
      <w:r w:rsidRPr="00EF555D">
        <w:rPr>
          <w:rFonts w:ascii="Arial" w:hAnsi="Arial" w:cs="Arial"/>
          <w:b/>
        </w:rPr>
        <w:t>on</w:t>
      </w:r>
      <w:proofErr w:type="gramEnd"/>
      <w:r w:rsidRPr="00EF555D">
        <w:rPr>
          <w:rFonts w:ascii="Arial" w:hAnsi="Arial" w:cs="Arial"/>
          <w:b/>
        </w:rPr>
        <w:t xml:space="preserve"> papers)</w:t>
      </w:r>
      <w:r w:rsidR="003E4F8E" w:rsidRPr="00EF555D">
        <w:rPr>
          <w:rFonts w:ascii="Arial" w:hAnsi="Arial" w:cs="Arial"/>
          <w:b/>
        </w:rPr>
        <w:tab/>
      </w:r>
    </w:p>
    <w:p w14:paraId="0375A850" w14:textId="0CF90483" w:rsidR="005F725E" w:rsidRPr="00EF555D" w:rsidRDefault="003E4F8E" w:rsidP="008E5F56">
      <w:pPr>
        <w:ind w:left="2835" w:hanging="2835"/>
        <w:rPr>
          <w:rFonts w:ascii="Arial" w:hAnsi="Arial" w:cs="Arial"/>
        </w:rPr>
      </w:pPr>
      <w:r w:rsidRPr="00EF555D">
        <w:rPr>
          <w:rFonts w:ascii="Arial" w:hAnsi="Arial" w:cs="Arial"/>
        </w:rPr>
        <w:tab/>
      </w:r>
      <w:r w:rsidR="00DB64C1" w:rsidRPr="00EF555D">
        <w:rPr>
          <w:rFonts w:ascii="Arial" w:hAnsi="Arial" w:cs="Arial"/>
          <w:b/>
        </w:rPr>
        <w:tab/>
      </w:r>
    </w:p>
    <w:p w14:paraId="53C6B3F7" w14:textId="0E7B7950" w:rsidR="003B38E2" w:rsidRPr="005F725E" w:rsidRDefault="003B38E2" w:rsidP="003B38E2">
      <w:pPr>
        <w:spacing w:after="200"/>
        <w:ind w:left="2835" w:hanging="2835"/>
        <w:rPr>
          <w:rFonts w:ascii="Arial" w:hAnsi="Arial" w:cs="Arial"/>
        </w:rPr>
      </w:pPr>
      <w:r w:rsidRPr="00EF555D">
        <w:rPr>
          <w:rFonts w:ascii="Arial" w:hAnsi="Arial" w:cs="Arial"/>
          <w:b/>
        </w:rPr>
        <w:t xml:space="preserve">Date of </w:t>
      </w:r>
      <w:r w:rsidRPr="00EF555D">
        <w:rPr>
          <w:rFonts w:ascii="Arial" w:hAnsi="Arial"/>
          <w:b/>
          <w:szCs w:val="20"/>
        </w:rPr>
        <w:t>Decision</w:t>
      </w:r>
      <w:r w:rsidRPr="00EF555D">
        <w:rPr>
          <w:rFonts w:ascii="Arial" w:hAnsi="Arial" w:cs="Arial"/>
          <w:b/>
        </w:rPr>
        <w:t>:</w:t>
      </w:r>
      <w:r w:rsidRPr="00EF555D">
        <w:rPr>
          <w:rFonts w:ascii="Arial" w:hAnsi="Arial" w:cs="Arial"/>
          <w:b/>
        </w:rPr>
        <w:tab/>
      </w:r>
      <w:r w:rsidR="00463916">
        <w:rPr>
          <w:rFonts w:ascii="Arial" w:hAnsi="Arial" w:cs="Arial"/>
        </w:rPr>
        <w:t>14 May 2018</w:t>
      </w:r>
    </w:p>
    <w:p w14:paraId="08F2FFB2" w14:textId="77777777" w:rsidR="003B38E2" w:rsidRPr="00A30195" w:rsidRDefault="003B38E2" w:rsidP="003B38E2">
      <w:pPr>
        <w:pStyle w:val="BottomLine"/>
      </w:pPr>
    </w:p>
    <w:p w14:paraId="6D4817E4" w14:textId="77777777" w:rsidR="0012027A" w:rsidRPr="008E5F56" w:rsidRDefault="008E5F56" w:rsidP="00313A54">
      <w:pPr>
        <w:pStyle w:val="Heading2"/>
        <w:spacing w:before="280" w:line="360" w:lineRule="auto"/>
        <w:rPr>
          <w:rFonts w:cs="Arial"/>
        </w:rPr>
      </w:pPr>
      <w:r w:rsidRPr="008E5F56">
        <w:rPr>
          <w:rFonts w:cs="Arial"/>
        </w:rPr>
        <w:t>Background</w:t>
      </w:r>
    </w:p>
    <w:p w14:paraId="40F8587E" w14:textId="4DF0F8AE" w:rsidR="00EF555D" w:rsidRPr="00D9775A" w:rsidRDefault="007E727D" w:rsidP="00463916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75A">
        <w:rPr>
          <w:rFonts w:ascii="Arial" w:hAnsi="Arial" w:cs="Arial"/>
        </w:rPr>
        <w:t>On 17 March 2017, Mr Caine Gemmell lodged a gambling dispute against</w:t>
      </w:r>
      <w:r w:rsidR="00D9775A">
        <w:rPr>
          <w:rFonts w:ascii="Arial" w:hAnsi="Arial" w:cs="Arial"/>
        </w:rPr>
        <w:t xml:space="preserve"> </w:t>
      </w:r>
      <w:r w:rsidRPr="00D9775A">
        <w:rPr>
          <w:rFonts w:ascii="Arial" w:hAnsi="Arial" w:cs="Arial"/>
        </w:rPr>
        <w:t>TopBetta submitting that the bookmaker had failed to close his account despite</w:t>
      </w:r>
      <w:r w:rsidR="00D9775A">
        <w:rPr>
          <w:rFonts w:ascii="Arial" w:hAnsi="Arial" w:cs="Arial"/>
        </w:rPr>
        <w:t xml:space="preserve"> </w:t>
      </w:r>
      <w:r w:rsidRPr="00D9775A">
        <w:rPr>
          <w:rFonts w:ascii="Arial" w:hAnsi="Arial" w:cs="Arial"/>
        </w:rPr>
        <w:t>being advised that he was a problem gambler.</w:t>
      </w:r>
    </w:p>
    <w:p w14:paraId="31174C0D" w14:textId="77777777" w:rsidR="00EF555D" w:rsidRDefault="00EF555D" w:rsidP="0046391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2AB2672" w14:textId="64E55B6B" w:rsidR="00EF555D" w:rsidRPr="00D9775A" w:rsidRDefault="007E727D" w:rsidP="00463916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75A">
        <w:rPr>
          <w:rFonts w:ascii="Arial" w:hAnsi="Arial" w:cs="Arial"/>
        </w:rPr>
        <w:t xml:space="preserve">The matter was resolved by TopBetta </w:t>
      </w:r>
      <w:r w:rsidRPr="00D9775A">
        <w:rPr>
          <w:rFonts w:ascii="ArialMT" w:hAnsi="ArialMT" w:cs="ArialMT"/>
        </w:rPr>
        <w:t>closing the client’s account, refunding all</w:t>
      </w:r>
      <w:r w:rsidR="00D9775A">
        <w:rPr>
          <w:rFonts w:ascii="ArialMT" w:hAnsi="ArialMT" w:cs="ArialMT"/>
        </w:rPr>
        <w:t xml:space="preserve"> </w:t>
      </w:r>
      <w:r w:rsidRPr="00D9775A">
        <w:rPr>
          <w:rFonts w:ascii="Arial" w:hAnsi="Arial" w:cs="Arial"/>
        </w:rPr>
        <w:t>deposits (made subsequent to the request to close the account) and counselling</w:t>
      </w:r>
      <w:r w:rsidR="00D9775A">
        <w:rPr>
          <w:rFonts w:ascii="Arial" w:hAnsi="Arial" w:cs="Arial"/>
        </w:rPr>
        <w:t xml:space="preserve"> </w:t>
      </w:r>
      <w:r w:rsidRPr="00D9775A">
        <w:rPr>
          <w:rFonts w:ascii="Arial" w:hAnsi="Arial" w:cs="Arial"/>
        </w:rPr>
        <w:t>the telephone operator in relation to the matter.</w:t>
      </w:r>
    </w:p>
    <w:p w14:paraId="2F6A0BA2" w14:textId="77777777" w:rsidR="00EF555D" w:rsidRDefault="00EF555D" w:rsidP="0046391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5860E67" w14:textId="5E803F9A" w:rsidR="007E727D" w:rsidRPr="00D9775A" w:rsidRDefault="007E727D" w:rsidP="00463916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75A">
        <w:rPr>
          <w:rFonts w:ascii="Arial" w:hAnsi="Arial" w:cs="Arial"/>
        </w:rPr>
        <w:t>The Commission was subsequently provided a brief at its April meeting advising</w:t>
      </w:r>
      <w:r w:rsidR="00D9775A">
        <w:rPr>
          <w:rFonts w:ascii="Arial" w:hAnsi="Arial" w:cs="Arial"/>
        </w:rPr>
        <w:t xml:space="preserve"> </w:t>
      </w:r>
      <w:r w:rsidRPr="00D9775A">
        <w:rPr>
          <w:rFonts w:ascii="Arial" w:hAnsi="Arial" w:cs="Arial"/>
        </w:rPr>
        <w:t>that TopBetta had breached the self-exclusion provisions of the NT Code of</w:t>
      </w:r>
      <w:r w:rsidR="00D9775A">
        <w:rPr>
          <w:rFonts w:ascii="Arial" w:hAnsi="Arial" w:cs="Arial"/>
        </w:rPr>
        <w:t xml:space="preserve"> </w:t>
      </w:r>
      <w:r w:rsidRPr="00D9775A">
        <w:rPr>
          <w:rFonts w:ascii="Arial" w:hAnsi="Arial" w:cs="Arial"/>
        </w:rPr>
        <w:t>Practice for Responsible Online Gambling 2016 (the Code) and had also failed to</w:t>
      </w:r>
      <w:r w:rsidR="00D9775A">
        <w:rPr>
          <w:rFonts w:ascii="Arial" w:hAnsi="Arial" w:cs="Arial"/>
        </w:rPr>
        <w:t xml:space="preserve"> </w:t>
      </w:r>
      <w:r w:rsidRPr="00D9775A">
        <w:rPr>
          <w:rFonts w:ascii="Arial" w:hAnsi="Arial" w:cs="Arial"/>
        </w:rPr>
        <w:t>record telephone conversations with the customer (Attachment A refers).</w:t>
      </w:r>
    </w:p>
    <w:p w14:paraId="688A9C11" w14:textId="77777777" w:rsidR="00EF555D" w:rsidRDefault="00EF555D" w:rsidP="0046391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5FE4D56" w14:textId="2F389994" w:rsidR="007E727D" w:rsidRPr="00D9775A" w:rsidRDefault="007E727D" w:rsidP="00463916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75A">
        <w:rPr>
          <w:rFonts w:ascii="Arial" w:hAnsi="Arial" w:cs="Arial"/>
        </w:rPr>
        <w:t>On 23 May 2017, the Commission issued TopBetta a show cause letter as to why</w:t>
      </w:r>
      <w:r w:rsidR="00EF555D" w:rsidRPr="00D9775A">
        <w:rPr>
          <w:rFonts w:ascii="Arial" w:hAnsi="Arial" w:cs="Arial"/>
        </w:rPr>
        <w:t xml:space="preserve"> </w:t>
      </w:r>
      <w:r w:rsidRPr="00D9775A">
        <w:rPr>
          <w:rFonts w:ascii="Arial" w:hAnsi="Arial" w:cs="Arial"/>
        </w:rPr>
        <w:t xml:space="preserve">it should not be issued a penalty, pursuant to section 80(d) of the </w:t>
      </w:r>
      <w:r w:rsidRPr="00D9775A">
        <w:rPr>
          <w:rFonts w:ascii="Arial" w:hAnsi="Arial" w:cs="Arial"/>
          <w:i/>
          <w:iCs/>
        </w:rPr>
        <w:t>Racing and</w:t>
      </w:r>
      <w:r w:rsidR="00EF555D" w:rsidRPr="00D9775A">
        <w:rPr>
          <w:rFonts w:ascii="Arial" w:hAnsi="Arial" w:cs="Arial"/>
          <w:i/>
          <w:iCs/>
        </w:rPr>
        <w:t xml:space="preserve"> Betting Act.</w:t>
      </w:r>
    </w:p>
    <w:p w14:paraId="3EE952D4" w14:textId="77777777" w:rsidR="00EF555D" w:rsidRDefault="00EF555D" w:rsidP="0046391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B90432C" w14:textId="21CFF84C" w:rsidR="00EF555D" w:rsidRDefault="00EF555D" w:rsidP="00463916">
      <w:pPr>
        <w:pStyle w:val="Heading2"/>
        <w:spacing w:before="280" w:line="360" w:lineRule="auto"/>
        <w:rPr>
          <w:rFonts w:cs="Arial"/>
        </w:rPr>
      </w:pPr>
      <w:r>
        <w:rPr>
          <w:rFonts w:cs="Arial"/>
        </w:rPr>
        <w:t>Consideration of the Issues</w:t>
      </w:r>
    </w:p>
    <w:p w14:paraId="29B77146" w14:textId="17B2CABC" w:rsidR="00EF555D" w:rsidRPr="00D9775A" w:rsidRDefault="00EF555D" w:rsidP="00463916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75A">
        <w:rPr>
          <w:rFonts w:ascii="Arial" w:hAnsi="Arial" w:cs="Arial"/>
        </w:rPr>
        <w:t>On 13 June 2017, TopBetta</w:t>
      </w:r>
      <w:r w:rsidRPr="00D9775A">
        <w:rPr>
          <w:rFonts w:ascii="ArialMT" w:hAnsi="ArialMT" w:cs="ArialMT"/>
        </w:rPr>
        <w:t xml:space="preserve">’s legal counsel, </w:t>
      </w:r>
      <w:r w:rsidRPr="00D9775A">
        <w:rPr>
          <w:rFonts w:ascii="Arial" w:hAnsi="Arial" w:cs="Arial"/>
        </w:rPr>
        <w:t>Mr Jamie Nettleton, Partner,</w:t>
      </w:r>
      <w:r w:rsidR="00D9775A">
        <w:rPr>
          <w:rFonts w:ascii="Arial" w:hAnsi="Arial" w:cs="Arial"/>
        </w:rPr>
        <w:t xml:space="preserve"> </w:t>
      </w:r>
      <w:r w:rsidRPr="00D9775A">
        <w:rPr>
          <w:rFonts w:ascii="Arial" w:hAnsi="Arial" w:cs="Arial"/>
        </w:rPr>
        <w:t>Addisons, responded to the Commission (Attachment C refers). The following</w:t>
      </w:r>
      <w:r w:rsidR="00D9775A">
        <w:rPr>
          <w:rFonts w:ascii="Arial" w:hAnsi="Arial" w:cs="Arial"/>
        </w:rPr>
        <w:t xml:space="preserve"> </w:t>
      </w:r>
      <w:r w:rsidRPr="00D9775A">
        <w:rPr>
          <w:rFonts w:ascii="Arial" w:hAnsi="Arial" w:cs="Arial"/>
        </w:rPr>
        <w:t>matters in relation to the two breaches alleged were canvassed in the</w:t>
      </w:r>
      <w:r w:rsidR="00D9775A">
        <w:rPr>
          <w:rFonts w:ascii="Arial" w:hAnsi="Arial" w:cs="Arial"/>
        </w:rPr>
        <w:t xml:space="preserve"> </w:t>
      </w:r>
      <w:r w:rsidRPr="00D9775A">
        <w:rPr>
          <w:rFonts w:ascii="Arial" w:hAnsi="Arial" w:cs="Arial"/>
        </w:rPr>
        <w:t>correspondence on TopBetta</w:t>
      </w:r>
      <w:r w:rsidRPr="00D9775A">
        <w:rPr>
          <w:rFonts w:ascii="ArialMT" w:hAnsi="ArialMT" w:cs="ArialMT"/>
        </w:rPr>
        <w:t>’s behalf:</w:t>
      </w:r>
    </w:p>
    <w:p w14:paraId="41184F69" w14:textId="77777777" w:rsidR="00D9775A" w:rsidRDefault="00D9775A" w:rsidP="0046391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1AF57F2" w14:textId="77777777" w:rsidR="00D9775A" w:rsidRDefault="00EF555D" w:rsidP="00463916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75A">
        <w:rPr>
          <w:rFonts w:ascii="Arial" w:hAnsi="Arial" w:cs="Arial"/>
        </w:rPr>
        <w:t>Response to Self-Exclusion Request</w:t>
      </w:r>
      <w:r w:rsidR="00D9775A">
        <w:rPr>
          <w:rFonts w:ascii="Arial" w:hAnsi="Arial" w:cs="Arial"/>
        </w:rPr>
        <w:t xml:space="preserve"> </w:t>
      </w:r>
      <w:r w:rsidRPr="00D9775A">
        <w:rPr>
          <w:rFonts w:ascii="Arial" w:hAnsi="Arial" w:cs="Arial"/>
        </w:rPr>
        <w:t>Mr Nettleton stated that TopBetta</w:t>
      </w:r>
      <w:r w:rsidRPr="00D9775A">
        <w:rPr>
          <w:rFonts w:ascii="ArialMT" w:hAnsi="ArialMT" w:cs="ArialMT"/>
        </w:rPr>
        <w:t xml:space="preserve">’s failure to close Mr </w:t>
      </w:r>
      <w:proofErr w:type="spellStart"/>
      <w:r w:rsidRPr="00D9775A">
        <w:rPr>
          <w:rFonts w:ascii="ArialMT" w:hAnsi="ArialMT" w:cs="ArialMT"/>
        </w:rPr>
        <w:t>Gemmell’s</w:t>
      </w:r>
      <w:proofErr w:type="spellEnd"/>
      <w:r w:rsidRPr="00D9775A">
        <w:rPr>
          <w:rFonts w:ascii="ArialMT" w:hAnsi="ArialMT" w:cs="ArialMT"/>
        </w:rPr>
        <w:t xml:space="preserve"> account was </w:t>
      </w:r>
      <w:r w:rsidRPr="00D9775A">
        <w:rPr>
          <w:rFonts w:ascii="Arial-ItalicMT" w:hAnsi="Arial-ItalicMT" w:cs="Arial-ItalicMT"/>
          <w:i/>
          <w:iCs/>
        </w:rPr>
        <w:t>‘an</w:t>
      </w:r>
      <w:r w:rsidR="00D9775A">
        <w:rPr>
          <w:rFonts w:ascii="Arial-ItalicMT" w:hAnsi="Arial-ItalicMT" w:cs="Arial-ItalicMT"/>
          <w:i/>
          <w:iCs/>
        </w:rPr>
        <w:t xml:space="preserve"> </w:t>
      </w:r>
      <w:r w:rsidRPr="00D9775A">
        <w:rPr>
          <w:rFonts w:ascii="Arial" w:hAnsi="Arial" w:cs="Arial"/>
          <w:i/>
          <w:iCs/>
        </w:rPr>
        <w:t xml:space="preserve">operational </w:t>
      </w:r>
      <w:r w:rsidRPr="00D9775A">
        <w:rPr>
          <w:rFonts w:ascii="Arial-ItalicMT" w:hAnsi="Arial-ItalicMT" w:cs="Arial-ItalicMT"/>
          <w:i/>
          <w:iCs/>
        </w:rPr>
        <w:t xml:space="preserve">error’ </w:t>
      </w:r>
      <w:r w:rsidRPr="00D9775A">
        <w:rPr>
          <w:rFonts w:ascii="Arial" w:hAnsi="Arial" w:cs="Arial"/>
        </w:rPr>
        <w:t>and noted that TopBetta had since taken steps to address the</w:t>
      </w:r>
      <w:r w:rsidR="00D9775A">
        <w:rPr>
          <w:rFonts w:ascii="Arial" w:hAnsi="Arial" w:cs="Arial"/>
        </w:rPr>
        <w:t xml:space="preserve"> </w:t>
      </w:r>
      <w:r w:rsidRPr="00D9775A">
        <w:rPr>
          <w:rFonts w:ascii="Arial" w:hAnsi="Arial" w:cs="Arial"/>
        </w:rPr>
        <w:t>issue arising including:</w:t>
      </w:r>
    </w:p>
    <w:p w14:paraId="6B684E78" w14:textId="77777777" w:rsidR="00D9775A" w:rsidRPr="00D9775A" w:rsidRDefault="00D9775A" w:rsidP="00463916">
      <w:pPr>
        <w:pStyle w:val="ListParagraph"/>
        <w:jc w:val="both"/>
        <w:rPr>
          <w:rFonts w:ascii="Arial" w:hAnsi="Arial" w:cs="Arial"/>
        </w:rPr>
      </w:pPr>
    </w:p>
    <w:p w14:paraId="23ECA597" w14:textId="71A6646F" w:rsidR="00EF555D" w:rsidRDefault="00EF555D" w:rsidP="00463916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75A">
        <w:rPr>
          <w:rFonts w:ascii="Arial" w:hAnsi="Arial" w:cs="Arial"/>
        </w:rPr>
        <w:t>Revision training for staff concentrated on internal procedures for self</w:t>
      </w:r>
      <w:r w:rsidR="00D9775A">
        <w:rPr>
          <w:rFonts w:ascii="Arial" w:hAnsi="Arial" w:cs="Arial"/>
        </w:rPr>
        <w:t>-</w:t>
      </w:r>
      <w:r w:rsidRPr="00D9775A">
        <w:rPr>
          <w:rFonts w:ascii="Arial" w:hAnsi="Arial" w:cs="Arial"/>
        </w:rPr>
        <w:t>exclusion</w:t>
      </w:r>
      <w:r w:rsidR="00D9775A">
        <w:rPr>
          <w:rFonts w:ascii="Arial" w:hAnsi="Arial" w:cs="Arial"/>
        </w:rPr>
        <w:t xml:space="preserve"> </w:t>
      </w:r>
      <w:r w:rsidRPr="00D9775A">
        <w:rPr>
          <w:rFonts w:ascii="Arial" w:hAnsi="Arial" w:cs="Arial"/>
        </w:rPr>
        <w:t>and the importance of pre-commitment limits; and</w:t>
      </w:r>
      <w:r w:rsidR="00D9775A">
        <w:rPr>
          <w:rFonts w:ascii="Arial" w:hAnsi="Arial" w:cs="Arial"/>
        </w:rPr>
        <w:t xml:space="preserve"> </w:t>
      </w:r>
      <w:r w:rsidRPr="00D9775A">
        <w:rPr>
          <w:rFonts w:ascii="Arial" w:hAnsi="Arial" w:cs="Arial"/>
        </w:rPr>
        <w:t>TopBetta's responsible gambling obligations under the NT Code of Practice.</w:t>
      </w:r>
    </w:p>
    <w:p w14:paraId="71EBD639" w14:textId="77777777" w:rsidR="001968AA" w:rsidRPr="001968AA" w:rsidRDefault="001968AA" w:rsidP="001968AA">
      <w:pPr>
        <w:pStyle w:val="ListParagraph"/>
        <w:rPr>
          <w:rFonts w:ascii="Arial" w:hAnsi="Arial" w:cs="Arial"/>
        </w:rPr>
      </w:pPr>
    </w:p>
    <w:p w14:paraId="1AA1325C" w14:textId="77777777" w:rsidR="002434C7" w:rsidRDefault="00EF555D" w:rsidP="00463916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9775A">
        <w:rPr>
          <w:rFonts w:ascii="Arial" w:hAnsi="Arial" w:cs="Arial"/>
        </w:rPr>
        <w:t>It was noted that TopBetta intends to repeat this training every 6 months and</w:t>
      </w:r>
      <w:r w:rsidR="00D9775A">
        <w:rPr>
          <w:rFonts w:ascii="Arial" w:hAnsi="Arial" w:cs="Arial"/>
        </w:rPr>
        <w:t xml:space="preserve"> </w:t>
      </w:r>
      <w:r w:rsidRPr="00D9775A">
        <w:rPr>
          <w:rFonts w:ascii="Arial" w:hAnsi="Arial" w:cs="Arial"/>
        </w:rPr>
        <w:t>implement additional procedures to ensure the integrity of its self-exclusion</w:t>
      </w:r>
      <w:r w:rsidR="00D9775A">
        <w:rPr>
          <w:rFonts w:ascii="Arial" w:hAnsi="Arial" w:cs="Arial"/>
        </w:rPr>
        <w:t xml:space="preserve"> </w:t>
      </w:r>
      <w:r w:rsidRPr="00D9775A">
        <w:rPr>
          <w:rFonts w:ascii="Arial" w:hAnsi="Arial" w:cs="Arial"/>
        </w:rPr>
        <w:lastRenderedPageBreak/>
        <w:t>procedures, including:</w:t>
      </w:r>
      <w:r w:rsidR="00D9775A">
        <w:rPr>
          <w:rFonts w:ascii="Arial" w:hAnsi="Arial" w:cs="Arial"/>
        </w:rPr>
        <w:t xml:space="preserve"> </w:t>
      </w:r>
      <w:r w:rsidRPr="00D9775A">
        <w:rPr>
          <w:rFonts w:ascii="Arial" w:hAnsi="Arial" w:cs="Arial"/>
        </w:rPr>
        <w:t>A requirement that the customer services officer responsible for end-of day</w:t>
      </w:r>
      <w:r w:rsidR="00D9775A">
        <w:rPr>
          <w:rFonts w:ascii="Arial" w:hAnsi="Arial" w:cs="Arial"/>
        </w:rPr>
        <w:t xml:space="preserve"> </w:t>
      </w:r>
      <w:r w:rsidRPr="00D9775A">
        <w:rPr>
          <w:rFonts w:ascii="Arial" w:hAnsi="Arial" w:cs="Arial"/>
        </w:rPr>
        <w:t>processes reviews the "self-exclusion spreadsheet" (noting any self</w:t>
      </w:r>
      <w:r w:rsidR="000F4C7D">
        <w:rPr>
          <w:rFonts w:ascii="Arial" w:hAnsi="Arial" w:cs="Arial"/>
        </w:rPr>
        <w:t>-</w:t>
      </w:r>
      <w:r w:rsidRPr="00D9775A">
        <w:rPr>
          <w:rFonts w:ascii="Arial" w:hAnsi="Arial" w:cs="Arial"/>
        </w:rPr>
        <w:t>exclusions</w:t>
      </w:r>
      <w:r w:rsidR="00D9775A">
        <w:rPr>
          <w:rFonts w:ascii="Arial" w:hAnsi="Arial" w:cs="Arial"/>
        </w:rPr>
        <w:t xml:space="preserve"> </w:t>
      </w:r>
      <w:r w:rsidRPr="00D9775A">
        <w:rPr>
          <w:rFonts w:ascii="Arial" w:hAnsi="Arial" w:cs="Arial"/>
        </w:rPr>
        <w:t>for that day) with a view to ensuring that all relevant self-exclusion</w:t>
      </w:r>
      <w:r w:rsidR="00D9775A">
        <w:rPr>
          <w:rFonts w:ascii="Arial" w:hAnsi="Arial" w:cs="Arial"/>
        </w:rPr>
        <w:t xml:space="preserve"> </w:t>
      </w:r>
      <w:r w:rsidRPr="00D9775A">
        <w:rPr>
          <w:rFonts w:ascii="Arial" w:hAnsi="Arial" w:cs="Arial"/>
        </w:rPr>
        <w:t>flags have been actioned; and</w:t>
      </w:r>
    </w:p>
    <w:p w14:paraId="0F4FCEFD" w14:textId="77777777" w:rsidR="001968AA" w:rsidRDefault="001968AA" w:rsidP="001968AA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B48C7E1" w14:textId="77777777" w:rsidR="002434C7" w:rsidRDefault="00EF555D" w:rsidP="00463916">
      <w:pPr>
        <w:pStyle w:val="ListParagraph"/>
        <w:numPr>
          <w:ilvl w:val="1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34C7">
        <w:rPr>
          <w:rFonts w:ascii="Arial" w:hAnsi="Arial" w:cs="Arial"/>
        </w:rPr>
        <w:t>The engagement of a third party to provide a daily exceptions report</w:t>
      </w:r>
      <w:r w:rsidR="002434C7">
        <w:rPr>
          <w:rFonts w:ascii="Arial" w:hAnsi="Arial" w:cs="Arial"/>
        </w:rPr>
        <w:t xml:space="preserve"> </w:t>
      </w:r>
      <w:r w:rsidRPr="002434C7">
        <w:rPr>
          <w:rFonts w:ascii="Arial" w:hAnsi="Arial" w:cs="Arial"/>
        </w:rPr>
        <w:t>identifying any accounts on TopBetta's customer database matching the</w:t>
      </w:r>
      <w:r w:rsidR="002434C7">
        <w:rPr>
          <w:rFonts w:ascii="Arial" w:hAnsi="Arial" w:cs="Arial"/>
        </w:rPr>
        <w:t xml:space="preserve"> </w:t>
      </w:r>
      <w:r w:rsidRPr="002434C7">
        <w:rPr>
          <w:rFonts w:ascii="Arial" w:hAnsi="Arial" w:cs="Arial"/>
        </w:rPr>
        <w:t>surname and date of birth of all self-excluded customers processed on that</w:t>
      </w:r>
      <w:r w:rsidR="002434C7">
        <w:rPr>
          <w:rFonts w:ascii="Arial" w:hAnsi="Arial" w:cs="Arial"/>
        </w:rPr>
        <w:t xml:space="preserve"> </w:t>
      </w:r>
      <w:r w:rsidRPr="002434C7">
        <w:rPr>
          <w:rFonts w:ascii="Arial" w:hAnsi="Arial" w:cs="Arial"/>
        </w:rPr>
        <w:t>particular day. This is to ensure that all accounts linked to self-excluded</w:t>
      </w:r>
      <w:r w:rsidR="002434C7">
        <w:rPr>
          <w:rFonts w:ascii="Arial" w:hAnsi="Arial" w:cs="Arial"/>
        </w:rPr>
        <w:t xml:space="preserve"> </w:t>
      </w:r>
      <w:r w:rsidRPr="002434C7">
        <w:rPr>
          <w:rFonts w:ascii="Arial" w:hAnsi="Arial" w:cs="Arial"/>
        </w:rPr>
        <w:t>customers have been identified, removed from marketing mailing lists and</w:t>
      </w:r>
      <w:r w:rsidR="002434C7">
        <w:rPr>
          <w:rFonts w:ascii="Arial" w:hAnsi="Arial" w:cs="Arial"/>
        </w:rPr>
        <w:t xml:space="preserve"> </w:t>
      </w:r>
      <w:r w:rsidRPr="002434C7">
        <w:rPr>
          <w:rFonts w:ascii="Arial" w:hAnsi="Arial" w:cs="Arial"/>
        </w:rPr>
        <w:t>closed promptly.</w:t>
      </w:r>
    </w:p>
    <w:p w14:paraId="03C46CCC" w14:textId="77777777" w:rsidR="001968AA" w:rsidRDefault="001968AA" w:rsidP="001968AA">
      <w:pPr>
        <w:pStyle w:val="ListParagraph"/>
        <w:autoSpaceDE w:val="0"/>
        <w:autoSpaceDN w:val="0"/>
        <w:adjustRightInd w:val="0"/>
        <w:ind w:left="1440"/>
        <w:jc w:val="both"/>
        <w:rPr>
          <w:rFonts w:ascii="Arial" w:hAnsi="Arial" w:cs="Arial"/>
        </w:rPr>
      </w:pPr>
    </w:p>
    <w:p w14:paraId="7851D337" w14:textId="77777777" w:rsidR="002434C7" w:rsidRDefault="00EF555D" w:rsidP="00463916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34C7">
        <w:rPr>
          <w:rFonts w:ascii="Arial" w:hAnsi="Arial" w:cs="Arial"/>
        </w:rPr>
        <w:t>Mr Nettleton reported that the employee who had caused the breach had been</w:t>
      </w:r>
      <w:r w:rsidR="002434C7">
        <w:rPr>
          <w:rFonts w:ascii="Arial" w:hAnsi="Arial" w:cs="Arial"/>
        </w:rPr>
        <w:t xml:space="preserve"> </w:t>
      </w:r>
      <w:r w:rsidRPr="002434C7">
        <w:rPr>
          <w:rFonts w:ascii="Arial" w:hAnsi="Arial" w:cs="Arial"/>
        </w:rPr>
        <w:t>counselled and that all customer service officers had already undertaken the</w:t>
      </w:r>
      <w:r w:rsidR="002434C7">
        <w:rPr>
          <w:rFonts w:ascii="Arial" w:hAnsi="Arial" w:cs="Arial"/>
        </w:rPr>
        <w:t xml:space="preserve"> </w:t>
      </w:r>
      <w:r w:rsidRPr="002434C7">
        <w:rPr>
          <w:rFonts w:ascii="Arial" w:hAnsi="Arial" w:cs="Arial"/>
        </w:rPr>
        <w:t xml:space="preserve">revision training. </w:t>
      </w:r>
    </w:p>
    <w:p w14:paraId="674A0AB7" w14:textId="77777777" w:rsidR="002434C7" w:rsidRDefault="002434C7" w:rsidP="00463916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0194F6E" w14:textId="61E44AB1" w:rsidR="00EF555D" w:rsidRPr="002434C7" w:rsidRDefault="00EF555D" w:rsidP="00463916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34C7">
        <w:rPr>
          <w:rFonts w:ascii="Arial" w:hAnsi="Arial" w:cs="Arial"/>
        </w:rPr>
        <w:t>Further, TopBetta had appointed a new Customer Services</w:t>
      </w:r>
      <w:r w:rsidR="002434C7">
        <w:rPr>
          <w:rFonts w:ascii="Arial" w:hAnsi="Arial" w:cs="Arial"/>
        </w:rPr>
        <w:t xml:space="preserve"> </w:t>
      </w:r>
      <w:r w:rsidRPr="002434C7">
        <w:rPr>
          <w:rFonts w:ascii="Arial" w:hAnsi="Arial" w:cs="Arial"/>
        </w:rPr>
        <w:t>Supervisor who has extensive team leader experience and who will have oversight</w:t>
      </w:r>
      <w:r w:rsidR="002434C7">
        <w:rPr>
          <w:rFonts w:ascii="Arial" w:hAnsi="Arial" w:cs="Arial"/>
        </w:rPr>
        <w:t xml:space="preserve"> </w:t>
      </w:r>
      <w:r w:rsidRPr="002434C7">
        <w:rPr>
          <w:rFonts w:ascii="Arial" w:hAnsi="Arial" w:cs="Arial"/>
        </w:rPr>
        <w:t>of self-exclusion procedures and responses.</w:t>
      </w:r>
    </w:p>
    <w:p w14:paraId="62A2F63C" w14:textId="77777777" w:rsidR="002434C7" w:rsidRDefault="002434C7" w:rsidP="00463916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2754411" w14:textId="32DF8A8C" w:rsidR="00EF555D" w:rsidRPr="002434C7" w:rsidRDefault="00EF555D" w:rsidP="00463916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34C7">
        <w:rPr>
          <w:rFonts w:ascii="Arial" w:hAnsi="Arial" w:cs="Arial"/>
        </w:rPr>
        <w:t>Phone recordings</w:t>
      </w:r>
      <w:r w:rsidR="002434C7">
        <w:rPr>
          <w:rFonts w:ascii="Arial" w:hAnsi="Arial" w:cs="Arial"/>
        </w:rPr>
        <w:t xml:space="preserve"> - </w:t>
      </w:r>
      <w:r w:rsidRPr="002434C7">
        <w:rPr>
          <w:rFonts w:ascii="Arial" w:hAnsi="Arial" w:cs="Arial"/>
        </w:rPr>
        <w:t>Mr Nettleton reported that TopBetta acknowledged that there was a failure to locate</w:t>
      </w:r>
      <w:r w:rsidR="002434C7">
        <w:rPr>
          <w:rFonts w:ascii="Arial" w:hAnsi="Arial" w:cs="Arial"/>
        </w:rPr>
        <w:t xml:space="preserve"> </w:t>
      </w:r>
      <w:r w:rsidRPr="002434C7">
        <w:rPr>
          <w:rFonts w:ascii="Arial" w:hAnsi="Arial" w:cs="Arial"/>
        </w:rPr>
        <w:t>a recording of the conversation with Mr Gemmell and that this represents a failure</w:t>
      </w:r>
      <w:r w:rsidR="002434C7">
        <w:rPr>
          <w:rFonts w:ascii="Arial" w:hAnsi="Arial" w:cs="Arial"/>
        </w:rPr>
        <w:t xml:space="preserve"> </w:t>
      </w:r>
      <w:r w:rsidRPr="002434C7">
        <w:rPr>
          <w:rFonts w:ascii="Arial" w:hAnsi="Arial" w:cs="Arial"/>
        </w:rPr>
        <w:t>in its systems. However, Mr Nettleton contended that the fault lies with its third</w:t>
      </w:r>
      <w:r w:rsidR="002434C7">
        <w:rPr>
          <w:rFonts w:ascii="Arial" w:hAnsi="Arial" w:cs="Arial"/>
        </w:rPr>
        <w:t xml:space="preserve"> </w:t>
      </w:r>
      <w:r w:rsidRPr="002434C7">
        <w:rPr>
          <w:rFonts w:ascii="Arial" w:hAnsi="Arial" w:cs="Arial"/>
        </w:rPr>
        <w:t>party telephone provider.</w:t>
      </w:r>
      <w:r w:rsidR="002434C7">
        <w:rPr>
          <w:rFonts w:ascii="Arial" w:hAnsi="Arial" w:cs="Arial"/>
        </w:rPr>
        <w:t xml:space="preserve"> </w:t>
      </w:r>
      <w:r w:rsidRPr="002434C7">
        <w:rPr>
          <w:rFonts w:ascii="Arial" w:hAnsi="Arial" w:cs="Arial"/>
        </w:rPr>
        <w:t>He advised that TopBetta is currently reviewing the telephone recording service</w:t>
      </w:r>
      <w:r w:rsidR="002434C7">
        <w:rPr>
          <w:rFonts w:ascii="Arial" w:hAnsi="Arial" w:cs="Arial"/>
        </w:rPr>
        <w:t xml:space="preserve"> </w:t>
      </w:r>
      <w:r w:rsidRPr="002434C7">
        <w:rPr>
          <w:rFonts w:ascii="Arial" w:hAnsi="Arial" w:cs="Arial"/>
        </w:rPr>
        <w:t>and are considering whether to appoint an alternate service provider.</w:t>
      </w:r>
    </w:p>
    <w:p w14:paraId="0F327AEB" w14:textId="77777777" w:rsidR="00803403" w:rsidRPr="008E5F56" w:rsidRDefault="00803403" w:rsidP="00463916">
      <w:pPr>
        <w:pStyle w:val="Heading2"/>
        <w:spacing w:before="480" w:line="360" w:lineRule="auto"/>
        <w:rPr>
          <w:rFonts w:cs="Arial"/>
        </w:rPr>
      </w:pPr>
      <w:r>
        <w:rPr>
          <w:rFonts w:cs="Arial"/>
        </w:rPr>
        <w:t>Decision</w:t>
      </w:r>
    </w:p>
    <w:p w14:paraId="62A086A5" w14:textId="0FA209B6" w:rsidR="00EF555D" w:rsidRPr="002434C7" w:rsidRDefault="00EF555D" w:rsidP="00463916">
      <w:pPr>
        <w:pStyle w:val="ListParagraph"/>
        <w:numPr>
          <w:ilvl w:val="0"/>
          <w:numId w:val="33"/>
        </w:numPr>
        <w:ind w:right="295"/>
        <w:jc w:val="both"/>
        <w:rPr>
          <w:rFonts w:ascii="Arial" w:hAnsi="Arial" w:cs="Arial"/>
          <w:iCs/>
          <w:sz w:val="22"/>
          <w:szCs w:val="22"/>
        </w:rPr>
      </w:pPr>
      <w:r w:rsidRPr="002434C7">
        <w:rPr>
          <w:rFonts w:ascii="Arial" w:hAnsi="Arial" w:cs="Arial"/>
          <w:iCs/>
        </w:rPr>
        <w:t xml:space="preserve">The Commission determined to reprimand TopBetta for failing to record a telephone conversation with Mr Gemmell and direct them to ensure the rectification measures have been implemented in full. </w:t>
      </w:r>
    </w:p>
    <w:p w14:paraId="435A5304" w14:textId="77777777" w:rsidR="00EF555D" w:rsidRPr="00EF555D" w:rsidRDefault="00EF555D" w:rsidP="00463916">
      <w:pPr>
        <w:ind w:right="295"/>
        <w:jc w:val="both"/>
        <w:rPr>
          <w:rFonts w:ascii="Arial" w:hAnsi="Arial" w:cs="Arial"/>
          <w:iCs/>
        </w:rPr>
      </w:pPr>
    </w:p>
    <w:p w14:paraId="44D2FABF" w14:textId="2DC237F8" w:rsidR="002434C7" w:rsidRPr="002434C7" w:rsidRDefault="00EF555D" w:rsidP="00463916">
      <w:pPr>
        <w:pStyle w:val="ListParagraph"/>
        <w:numPr>
          <w:ilvl w:val="0"/>
          <w:numId w:val="33"/>
        </w:numPr>
        <w:ind w:right="295"/>
        <w:jc w:val="both"/>
        <w:rPr>
          <w:rFonts w:ascii="Arial" w:hAnsi="Arial" w:cs="Arial"/>
          <w:iCs/>
        </w:rPr>
      </w:pPr>
      <w:r w:rsidRPr="002434C7">
        <w:rPr>
          <w:rFonts w:ascii="Arial" w:hAnsi="Arial" w:cs="Arial"/>
          <w:iCs/>
        </w:rPr>
        <w:t>Further, the Commission determined to issue TopBetta a fine for not excluding the self-excluder. Consideration was given to suspending their licence due to the serious nature of the</w:t>
      </w:r>
      <w:r w:rsidRPr="002434C7">
        <w:rPr>
          <w:i/>
          <w:iCs/>
        </w:rPr>
        <w:t xml:space="preserve"> </w:t>
      </w:r>
      <w:r w:rsidRPr="002434C7">
        <w:rPr>
          <w:rFonts w:ascii="Arial" w:hAnsi="Arial" w:cs="Arial"/>
          <w:iCs/>
        </w:rPr>
        <w:t xml:space="preserve">breach, however the Commission took into account this being their first breach and the steps taken to rectify the issue. </w:t>
      </w:r>
    </w:p>
    <w:p w14:paraId="7101BC83" w14:textId="77777777" w:rsidR="002434C7" w:rsidRDefault="002434C7" w:rsidP="00463916">
      <w:pPr>
        <w:ind w:right="295"/>
        <w:jc w:val="both"/>
        <w:rPr>
          <w:rFonts w:ascii="Arial" w:hAnsi="Arial" w:cs="Arial"/>
          <w:iCs/>
        </w:rPr>
      </w:pPr>
    </w:p>
    <w:p w14:paraId="7B2F8994" w14:textId="6E41A30B" w:rsidR="00EF555D" w:rsidRDefault="00EF555D" w:rsidP="00463916">
      <w:pPr>
        <w:pStyle w:val="ListParagraph"/>
        <w:numPr>
          <w:ilvl w:val="0"/>
          <w:numId w:val="33"/>
        </w:numPr>
        <w:ind w:right="295"/>
        <w:jc w:val="both"/>
        <w:rPr>
          <w:rFonts w:ascii="Arial" w:hAnsi="Arial" w:cs="Arial"/>
          <w:iCs/>
        </w:rPr>
      </w:pPr>
      <w:r w:rsidRPr="002434C7">
        <w:rPr>
          <w:rFonts w:ascii="Arial" w:hAnsi="Arial" w:cs="Arial"/>
          <w:iCs/>
        </w:rPr>
        <w:t>A penalty of 1/3 of the normal amount will be imposed, being 51 penalty units / $7,854.00.</w:t>
      </w:r>
    </w:p>
    <w:p w14:paraId="201E2A92" w14:textId="77777777" w:rsidR="009C0BBD" w:rsidRPr="009C0BBD" w:rsidRDefault="009C0BBD" w:rsidP="009C0BBD">
      <w:pPr>
        <w:pStyle w:val="ListParagraph"/>
        <w:rPr>
          <w:rFonts w:ascii="Arial" w:hAnsi="Arial" w:cs="Arial"/>
          <w:iCs/>
        </w:rPr>
      </w:pPr>
    </w:p>
    <w:p w14:paraId="08F0FCC8" w14:textId="43F45351" w:rsidR="009C0BBD" w:rsidRPr="002434C7" w:rsidRDefault="009C0BBD" w:rsidP="00463916">
      <w:pPr>
        <w:pStyle w:val="ListParagraph"/>
        <w:numPr>
          <w:ilvl w:val="0"/>
          <w:numId w:val="33"/>
        </w:numPr>
        <w:ind w:right="295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The amount is to be paid in full within 30 days from the date of the decision.</w:t>
      </w:r>
    </w:p>
    <w:p w14:paraId="69BDFDC1" w14:textId="77777777" w:rsidR="00EF555D" w:rsidRDefault="00EF555D" w:rsidP="00463916">
      <w:pPr>
        <w:ind w:right="295"/>
        <w:jc w:val="both"/>
        <w:rPr>
          <w:b/>
          <w:bCs/>
          <w:i/>
          <w:iCs/>
          <w:color w:val="FF0000"/>
        </w:rPr>
      </w:pPr>
    </w:p>
    <w:p w14:paraId="0F2D1FC6" w14:textId="77777777" w:rsidR="009C0BBD" w:rsidRDefault="009C0BBD" w:rsidP="00463916">
      <w:pPr>
        <w:ind w:right="295"/>
        <w:jc w:val="both"/>
        <w:rPr>
          <w:b/>
          <w:bCs/>
          <w:i/>
          <w:iCs/>
          <w:color w:val="FF0000"/>
        </w:rPr>
      </w:pPr>
    </w:p>
    <w:p w14:paraId="22ED17DD" w14:textId="7707928F" w:rsidR="00463916" w:rsidRDefault="004676E6" w:rsidP="004676E6">
      <w:pPr>
        <w:spacing w:line="36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88E754D" wp14:editId="29D5A683">
            <wp:extent cx="2083982" cy="5537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 Signatu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959" cy="567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C123E" w14:textId="330AC234" w:rsidR="002C6BB7" w:rsidRPr="00EF555D" w:rsidRDefault="00EF555D" w:rsidP="00463916">
      <w:pPr>
        <w:spacing w:line="240" w:lineRule="atLeast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Andrew Maloney</w:t>
      </w:r>
    </w:p>
    <w:p w14:paraId="3F64AB97" w14:textId="4C76B0FF" w:rsidR="002C6BB7" w:rsidRPr="00EF555D" w:rsidRDefault="00A3148D" w:rsidP="00463916">
      <w:pPr>
        <w:ind w:left="426" w:hanging="426"/>
        <w:jc w:val="both"/>
        <w:rPr>
          <w:rFonts w:ascii="Arial" w:hAnsi="Arial" w:cs="Arial"/>
        </w:rPr>
      </w:pPr>
      <w:r w:rsidRPr="00EF555D">
        <w:rPr>
          <w:rFonts w:ascii="Arial" w:hAnsi="Arial" w:cs="Arial"/>
        </w:rPr>
        <w:t>Presiding Member</w:t>
      </w:r>
    </w:p>
    <w:p w14:paraId="14179C3F" w14:textId="77777777" w:rsidR="008E5F56" w:rsidRPr="00EF555D" w:rsidRDefault="008E5F56" w:rsidP="00463916">
      <w:pPr>
        <w:spacing w:line="240" w:lineRule="atLeast"/>
        <w:jc w:val="both"/>
        <w:rPr>
          <w:rFonts w:ascii="Arial" w:hAnsi="Arial" w:cs="Arial"/>
        </w:rPr>
      </w:pPr>
      <w:r w:rsidRPr="00EF555D">
        <w:rPr>
          <w:rFonts w:ascii="Arial" w:hAnsi="Arial" w:cs="Arial"/>
        </w:rPr>
        <w:t>Racing Commission</w:t>
      </w:r>
    </w:p>
    <w:p w14:paraId="68D1CEF0" w14:textId="77777777" w:rsidR="008E5F56" w:rsidRPr="00EF555D" w:rsidRDefault="008E5F56" w:rsidP="00463916">
      <w:pPr>
        <w:spacing w:line="240" w:lineRule="atLeast"/>
        <w:ind w:left="426" w:hanging="426"/>
        <w:jc w:val="both"/>
        <w:rPr>
          <w:rFonts w:ascii="Arial" w:hAnsi="Arial" w:cs="Arial"/>
        </w:rPr>
      </w:pPr>
    </w:p>
    <w:p w14:paraId="53FCB3EA" w14:textId="66BAAF89" w:rsidR="008707D3" w:rsidRPr="008E5F56" w:rsidRDefault="00463916" w:rsidP="00463916">
      <w:pPr>
        <w:spacing w:line="240" w:lineRule="atLeas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14 May 2018</w:t>
      </w:r>
    </w:p>
    <w:sectPr w:rsidR="008707D3" w:rsidRPr="008E5F56" w:rsidSect="004413FA">
      <w:headerReference w:type="even" r:id="rId9"/>
      <w:headerReference w:type="default" r:id="rId10"/>
      <w:headerReference w:type="first" r:id="rId11"/>
      <w:pgSz w:w="11906" w:h="16838" w:code="9"/>
      <w:pgMar w:top="1276" w:right="1134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2E0D4" w14:textId="77777777" w:rsidR="00F71CD0" w:rsidRDefault="00F71CD0">
      <w:r>
        <w:separator/>
      </w:r>
    </w:p>
  </w:endnote>
  <w:endnote w:type="continuationSeparator" w:id="0">
    <w:p w14:paraId="0735F8CF" w14:textId="77777777" w:rsidR="00F71CD0" w:rsidRDefault="00F7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5C073" w14:textId="77777777" w:rsidR="00F71CD0" w:rsidRDefault="00F71CD0">
      <w:r>
        <w:separator/>
      </w:r>
    </w:p>
  </w:footnote>
  <w:footnote w:type="continuationSeparator" w:id="0">
    <w:p w14:paraId="7BE281A3" w14:textId="77777777" w:rsidR="00F71CD0" w:rsidRDefault="00F71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AE145" w14:textId="77777777" w:rsidR="00C5025D" w:rsidRDefault="00C5025D" w:rsidP="00F2791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B0E54A" w14:textId="77777777" w:rsidR="00C5025D" w:rsidRDefault="00C5025D" w:rsidP="00340E1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75147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DA0E9B" w14:textId="77777777" w:rsidR="00614B00" w:rsidRDefault="00614B00">
        <w:pPr>
          <w:pStyle w:val="Header"/>
          <w:jc w:val="right"/>
        </w:pPr>
        <w:r w:rsidRPr="00614B00">
          <w:rPr>
            <w:rFonts w:ascii="Arial" w:hAnsi="Arial" w:cs="Arial"/>
          </w:rPr>
          <w:fldChar w:fldCharType="begin"/>
        </w:r>
        <w:r w:rsidRPr="00614B00">
          <w:rPr>
            <w:rFonts w:ascii="Arial" w:hAnsi="Arial" w:cs="Arial"/>
          </w:rPr>
          <w:instrText xml:space="preserve"> PAGE   \* MERGEFORMAT </w:instrText>
        </w:r>
        <w:r w:rsidRPr="00614B00">
          <w:rPr>
            <w:rFonts w:ascii="Arial" w:hAnsi="Arial" w:cs="Arial"/>
          </w:rPr>
          <w:fldChar w:fldCharType="separate"/>
        </w:r>
        <w:r w:rsidR="00486381">
          <w:rPr>
            <w:rFonts w:ascii="Arial" w:hAnsi="Arial" w:cs="Arial"/>
            <w:noProof/>
          </w:rPr>
          <w:t>2</w:t>
        </w:r>
        <w:r w:rsidRPr="00614B00">
          <w:rPr>
            <w:rFonts w:ascii="Arial" w:hAnsi="Arial" w:cs="Arial"/>
            <w:noProof/>
          </w:rPr>
          <w:fldChar w:fldCharType="end"/>
        </w:r>
      </w:p>
    </w:sdtContent>
  </w:sdt>
  <w:p w14:paraId="216F19D1" w14:textId="77777777" w:rsidR="00C5025D" w:rsidRDefault="00C5025D" w:rsidP="00340E1B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E868B" w14:textId="77777777" w:rsidR="008E5F56" w:rsidRDefault="008E5F56" w:rsidP="003B38E2">
    <w:pPr>
      <w:jc w:val="center"/>
      <w:rPr>
        <w:rFonts w:ascii="Arial" w:hAnsi="Arial"/>
        <w:b/>
        <w:sz w:val="32"/>
      </w:rPr>
    </w:pPr>
  </w:p>
  <w:p w14:paraId="0C9C7225" w14:textId="77777777" w:rsidR="003B38E2" w:rsidRDefault="003B38E2" w:rsidP="003B38E2">
    <w:pPr>
      <w:jc w:val="center"/>
    </w:pPr>
    <w:r w:rsidRPr="00C26AA1">
      <w:rPr>
        <w:rFonts w:ascii="Arial" w:hAnsi="Arial"/>
        <w:b/>
        <w:sz w:val="32"/>
      </w:rPr>
      <w:t xml:space="preserve">NORTHERN TERRITORY </w:t>
    </w:r>
    <w:r w:rsidR="003F0044">
      <w:rPr>
        <w:rFonts w:ascii="Arial" w:hAnsi="Arial"/>
        <w:b/>
        <w:sz w:val="32"/>
      </w:rPr>
      <w:t>RACING</w:t>
    </w:r>
    <w:r w:rsidRPr="00C26AA1">
      <w:rPr>
        <w:rFonts w:ascii="Arial" w:hAnsi="Arial"/>
        <w:b/>
        <w:sz w:val="32"/>
      </w:rPr>
      <w:t xml:space="preserve"> COMMISSION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6350"/>
    <w:multiLevelType w:val="hybridMultilevel"/>
    <w:tmpl w:val="9C2E376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92568"/>
    <w:multiLevelType w:val="hybridMultilevel"/>
    <w:tmpl w:val="32C2C904"/>
    <w:lvl w:ilvl="0" w:tplc="07467D5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2B97"/>
    <w:multiLevelType w:val="hybridMultilevel"/>
    <w:tmpl w:val="DF36DC2A"/>
    <w:lvl w:ilvl="0" w:tplc="EFB47C52">
      <w:start w:val="1"/>
      <w:numFmt w:val="decimal"/>
      <w:lvlText w:val="(%1)"/>
      <w:lvlJc w:val="left"/>
      <w:pPr>
        <w:ind w:left="1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80" w:hanging="360"/>
      </w:pPr>
    </w:lvl>
    <w:lvl w:ilvl="2" w:tplc="0C09001B" w:tentative="1">
      <w:start w:val="1"/>
      <w:numFmt w:val="lowerRoman"/>
      <w:lvlText w:val="%3."/>
      <w:lvlJc w:val="right"/>
      <w:pPr>
        <w:ind w:left="2900" w:hanging="180"/>
      </w:pPr>
    </w:lvl>
    <w:lvl w:ilvl="3" w:tplc="0C09000F" w:tentative="1">
      <w:start w:val="1"/>
      <w:numFmt w:val="decimal"/>
      <w:lvlText w:val="%4."/>
      <w:lvlJc w:val="left"/>
      <w:pPr>
        <w:ind w:left="3620" w:hanging="360"/>
      </w:pPr>
    </w:lvl>
    <w:lvl w:ilvl="4" w:tplc="0C090019" w:tentative="1">
      <w:start w:val="1"/>
      <w:numFmt w:val="lowerLetter"/>
      <w:lvlText w:val="%5."/>
      <w:lvlJc w:val="left"/>
      <w:pPr>
        <w:ind w:left="4340" w:hanging="360"/>
      </w:pPr>
    </w:lvl>
    <w:lvl w:ilvl="5" w:tplc="0C09001B" w:tentative="1">
      <w:start w:val="1"/>
      <w:numFmt w:val="lowerRoman"/>
      <w:lvlText w:val="%6."/>
      <w:lvlJc w:val="right"/>
      <w:pPr>
        <w:ind w:left="5060" w:hanging="180"/>
      </w:pPr>
    </w:lvl>
    <w:lvl w:ilvl="6" w:tplc="0C09000F" w:tentative="1">
      <w:start w:val="1"/>
      <w:numFmt w:val="decimal"/>
      <w:lvlText w:val="%7."/>
      <w:lvlJc w:val="left"/>
      <w:pPr>
        <w:ind w:left="5780" w:hanging="360"/>
      </w:pPr>
    </w:lvl>
    <w:lvl w:ilvl="7" w:tplc="0C090019" w:tentative="1">
      <w:start w:val="1"/>
      <w:numFmt w:val="lowerLetter"/>
      <w:lvlText w:val="%8."/>
      <w:lvlJc w:val="left"/>
      <w:pPr>
        <w:ind w:left="6500" w:hanging="360"/>
      </w:pPr>
    </w:lvl>
    <w:lvl w:ilvl="8" w:tplc="0C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 w15:restartNumberingAfterBreak="0">
    <w:nsid w:val="07B60C72"/>
    <w:multiLevelType w:val="hybridMultilevel"/>
    <w:tmpl w:val="BDD63DB4"/>
    <w:lvl w:ilvl="0" w:tplc="71B6E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F3D7E"/>
    <w:multiLevelType w:val="hybridMultilevel"/>
    <w:tmpl w:val="7210647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3259AA"/>
    <w:multiLevelType w:val="hybridMultilevel"/>
    <w:tmpl w:val="602260F4"/>
    <w:lvl w:ilvl="0" w:tplc="CE3EAE42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71127"/>
    <w:multiLevelType w:val="hybridMultilevel"/>
    <w:tmpl w:val="8820A5F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806903"/>
    <w:multiLevelType w:val="hybridMultilevel"/>
    <w:tmpl w:val="9DD0A7FA"/>
    <w:lvl w:ilvl="0" w:tplc="7B48F9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D827DE"/>
    <w:multiLevelType w:val="hybridMultilevel"/>
    <w:tmpl w:val="4E7C3FF0"/>
    <w:lvl w:ilvl="0" w:tplc="45FE9B0C">
      <w:start w:val="1"/>
      <w:numFmt w:val="decimal"/>
      <w:lvlText w:val="%1."/>
      <w:lvlJc w:val="left"/>
      <w:pPr>
        <w:ind w:left="152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872" w:hanging="360"/>
      </w:pPr>
    </w:lvl>
    <w:lvl w:ilvl="2" w:tplc="0C09001B">
      <w:start w:val="1"/>
      <w:numFmt w:val="lowerRoman"/>
      <w:lvlText w:val="%3."/>
      <w:lvlJc w:val="right"/>
      <w:pPr>
        <w:ind w:left="1592" w:hanging="180"/>
      </w:pPr>
    </w:lvl>
    <w:lvl w:ilvl="3" w:tplc="0C09000F">
      <w:start w:val="1"/>
      <w:numFmt w:val="decimal"/>
      <w:lvlText w:val="%4."/>
      <w:lvlJc w:val="left"/>
      <w:pPr>
        <w:ind w:left="2312" w:hanging="360"/>
      </w:pPr>
    </w:lvl>
    <w:lvl w:ilvl="4" w:tplc="0C090019">
      <w:start w:val="1"/>
      <w:numFmt w:val="lowerLetter"/>
      <w:lvlText w:val="%5."/>
      <w:lvlJc w:val="left"/>
      <w:pPr>
        <w:ind w:left="3032" w:hanging="360"/>
      </w:pPr>
    </w:lvl>
    <w:lvl w:ilvl="5" w:tplc="0C09001B">
      <w:start w:val="1"/>
      <w:numFmt w:val="lowerRoman"/>
      <w:lvlText w:val="%6."/>
      <w:lvlJc w:val="right"/>
      <w:pPr>
        <w:ind w:left="3752" w:hanging="180"/>
      </w:pPr>
    </w:lvl>
    <w:lvl w:ilvl="6" w:tplc="0C09000F">
      <w:start w:val="1"/>
      <w:numFmt w:val="decimal"/>
      <w:lvlText w:val="%7."/>
      <w:lvlJc w:val="left"/>
      <w:pPr>
        <w:ind w:left="4472" w:hanging="360"/>
      </w:pPr>
    </w:lvl>
    <w:lvl w:ilvl="7" w:tplc="0C090019">
      <w:start w:val="1"/>
      <w:numFmt w:val="lowerLetter"/>
      <w:lvlText w:val="%8."/>
      <w:lvlJc w:val="left"/>
      <w:pPr>
        <w:ind w:left="5192" w:hanging="360"/>
      </w:pPr>
    </w:lvl>
    <w:lvl w:ilvl="8" w:tplc="0C09001B">
      <w:start w:val="1"/>
      <w:numFmt w:val="lowerRoman"/>
      <w:lvlText w:val="%9."/>
      <w:lvlJc w:val="right"/>
      <w:pPr>
        <w:ind w:left="5912" w:hanging="180"/>
      </w:pPr>
    </w:lvl>
  </w:abstractNum>
  <w:abstractNum w:abstractNumId="9" w15:restartNumberingAfterBreak="0">
    <w:nsid w:val="1E5D1582"/>
    <w:multiLevelType w:val="hybridMultilevel"/>
    <w:tmpl w:val="81DA0F00"/>
    <w:lvl w:ilvl="0" w:tplc="0C09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A34989"/>
    <w:multiLevelType w:val="hybridMultilevel"/>
    <w:tmpl w:val="7C24DD40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2505B"/>
    <w:multiLevelType w:val="hybridMultilevel"/>
    <w:tmpl w:val="C554BB1A"/>
    <w:lvl w:ilvl="0" w:tplc="A6F0D4F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467B9"/>
    <w:multiLevelType w:val="hybridMultilevel"/>
    <w:tmpl w:val="D5BE7660"/>
    <w:lvl w:ilvl="0" w:tplc="3D403FC4">
      <w:start w:val="17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35" w:hanging="360"/>
      </w:pPr>
    </w:lvl>
    <w:lvl w:ilvl="2" w:tplc="0C09001B" w:tentative="1">
      <w:start w:val="1"/>
      <w:numFmt w:val="lowerRoman"/>
      <w:lvlText w:val="%3."/>
      <w:lvlJc w:val="right"/>
      <w:pPr>
        <w:ind w:left="2355" w:hanging="180"/>
      </w:pPr>
    </w:lvl>
    <w:lvl w:ilvl="3" w:tplc="0C09000F" w:tentative="1">
      <w:start w:val="1"/>
      <w:numFmt w:val="decimal"/>
      <w:lvlText w:val="%4."/>
      <w:lvlJc w:val="left"/>
      <w:pPr>
        <w:ind w:left="3075" w:hanging="360"/>
      </w:pPr>
    </w:lvl>
    <w:lvl w:ilvl="4" w:tplc="0C090019" w:tentative="1">
      <w:start w:val="1"/>
      <w:numFmt w:val="lowerLetter"/>
      <w:lvlText w:val="%5."/>
      <w:lvlJc w:val="left"/>
      <w:pPr>
        <w:ind w:left="3795" w:hanging="360"/>
      </w:pPr>
    </w:lvl>
    <w:lvl w:ilvl="5" w:tplc="0C09001B" w:tentative="1">
      <w:start w:val="1"/>
      <w:numFmt w:val="lowerRoman"/>
      <w:lvlText w:val="%6."/>
      <w:lvlJc w:val="right"/>
      <w:pPr>
        <w:ind w:left="4515" w:hanging="180"/>
      </w:pPr>
    </w:lvl>
    <w:lvl w:ilvl="6" w:tplc="0C09000F" w:tentative="1">
      <w:start w:val="1"/>
      <w:numFmt w:val="decimal"/>
      <w:lvlText w:val="%7."/>
      <w:lvlJc w:val="left"/>
      <w:pPr>
        <w:ind w:left="5235" w:hanging="360"/>
      </w:pPr>
    </w:lvl>
    <w:lvl w:ilvl="7" w:tplc="0C090019" w:tentative="1">
      <w:start w:val="1"/>
      <w:numFmt w:val="lowerLetter"/>
      <w:lvlText w:val="%8."/>
      <w:lvlJc w:val="left"/>
      <w:pPr>
        <w:ind w:left="5955" w:hanging="360"/>
      </w:pPr>
    </w:lvl>
    <w:lvl w:ilvl="8" w:tplc="0C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3BC83A9D"/>
    <w:multiLevelType w:val="hybridMultilevel"/>
    <w:tmpl w:val="2FC8701A"/>
    <w:lvl w:ilvl="0" w:tplc="2A64AC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D1F43"/>
    <w:multiLevelType w:val="hybridMultilevel"/>
    <w:tmpl w:val="478E83FA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4B019D"/>
    <w:multiLevelType w:val="hybridMultilevel"/>
    <w:tmpl w:val="C554BB1A"/>
    <w:lvl w:ilvl="0" w:tplc="A6F0D4F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E72A1"/>
    <w:multiLevelType w:val="hybridMultilevel"/>
    <w:tmpl w:val="DA9E8DA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FA16E2"/>
    <w:multiLevelType w:val="hybridMultilevel"/>
    <w:tmpl w:val="D8749682"/>
    <w:lvl w:ilvl="0" w:tplc="0C090011">
      <w:start w:val="4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50753"/>
    <w:multiLevelType w:val="hybridMultilevel"/>
    <w:tmpl w:val="17D25A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10F8F"/>
    <w:multiLevelType w:val="hybridMultilevel"/>
    <w:tmpl w:val="263E8C1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5C7018"/>
    <w:multiLevelType w:val="hybridMultilevel"/>
    <w:tmpl w:val="3F2262A8"/>
    <w:lvl w:ilvl="0" w:tplc="0960F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D5D62"/>
    <w:multiLevelType w:val="hybridMultilevel"/>
    <w:tmpl w:val="1B3066C8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16B42D2"/>
    <w:multiLevelType w:val="hybridMultilevel"/>
    <w:tmpl w:val="A610384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A745E"/>
    <w:multiLevelType w:val="hybridMultilevel"/>
    <w:tmpl w:val="20BC0E46"/>
    <w:lvl w:ilvl="0" w:tplc="0960F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F0135"/>
    <w:multiLevelType w:val="hybridMultilevel"/>
    <w:tmpl w:val="FA88EF8A"/>
    <w:lvl w:ilvl="0" w:tplc="0C09000F">
      <w:start w:val="1"/>
      <w:numFmt w:val="decimal"/>
      <w:lvlText w:val="%1."/>
      <w:lvlJc w:val="left"/>
      <w:pPr>
        <w:ind w:left="1287" w:hanging="360"/>
      </w:p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D5C5BAF"/>
    <w:multiLevelType w:val="hybridMultilevel"/>
    <w:tmpl w:val="3F2262A8"/>
    <w:lvl w:ilvl="0" w:tplc="0960F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F3DD0"/>
    <w:multiLevelType w:val="hybridMultilevel"/>
    <w:tmpl w:val="0C043C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64946"/>
    <w:multiLevelType w:val="hybridMultilevel"/>
    <w:tmpl w:val="284C514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4342C"/>
    <w:multiLevelType w:val="hybridMultilevel"/>
    <w:tmpl w:val="0AF84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219F4"/>
    <w:multiLevelType w:val="hybridMultilevel"/>
    <w:tmpl w:val="C554BB1A"/>
    <w:lvl w:ilvl="0" w:tplc="A6F0D4F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4670D"/>
    <w:multiLevelType w:val="hybridMultilevel"/>
    <w:tmpl w:val="BAF4DAC8"/>
    <w:lvl w:ilvl="0" w:tplc="6568A53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A6D7104"/>
    <w:multiLevelType w:val="hybridMultilevel"/>
    <w:tmpl w:val="2E8AF216"/>
    <w:lvl w:ilvl="0" w:tplc="BC7A16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C4B90"/>
    <w:multiLevelType w:val="hybridMultilevel"/>
    <w:tmpl w:val="602260F4"/>
    <w:lvl w:ilvl="0" w:tplc="CE3EAE42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7"/>
  </w:num>
  <w:num w:numId="5">
    <w:abstractNumId w:val="22"/>
  </w:num>
  <w:num w:numId="6">
    <w:abstractNumId w:val="27"/>
  </w:num>
  <w:num w:numId="7">
    <w:abstractNumId w:val="18"/>
  </w:num>
  <w:num w:numId="8">
    <w:abstractNumId w:val="0"/>
  </w:num>
  <w:num w:numId="9">
    <w:abstractNumId w:val="30"/>
  </w:num>
  <w:num w:numId="10">
    <w:abstractNumId w:val="17"/>
  </w:num>
  <w:num w:numId="11">
    <w:abstractNumId w:val="2"/>
  </w:num>
  <w:num w:numId="12">
    <w:abstractNumId w:val="4"/>
  </w:num>
  <w:num w:numId="13">
    <w:abstractNumId w:val="16"/>
  </w:num>
  <w:num w:numId="14">
    <w:abstractNumId w:val="19"/>
  </w:num>
  <w:num w:numId="15">
    <w:abstractNumId w:val="1"/>
  </w:num>
  <w:num w:numId="16">
    <w:abstractNumId w:val="13"/>
  </w:num>
  <w:num w:numId="17">
    <w:abstractNumId w:val="5"/>
  </w:num>
  <w:num w:numId="18">
    <w:abstractNumId w:val="6"/>
  </w:num>
  <w:num w:numId="19">
    <w:abstractNumId w:val="21"/>
  </w:num>
  <w:num w:numId="20">
    <w:abstractNumId w:val="26"/>
  </w:num>
  <w:num w:numId="21">
    <w:abstractNumId w:val="10"/>
  </w:num>
  <w:num w:numId="22">
    <w:abstractNumId w:val="32"/>
  </w:num>
  <w:num w:numId="23">
    <w:abstractNumId w:val="31"/>
  </w:num>
  <w:num w:numId="24">
    <w:abstractNumId w:val="29"/>
  </w:num>
  <w:num w:numId="25">
    <w:abstractNumId w:val="15"/>
  </w:num>
  <w:num w:numId="26">
    <w:abstractNumId w:val="11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</w:num>
  <w:num w:numId="30">
    <w:abstractNumId w:val="23"/>
  </w:num>
  <w:num w:numId="31">
    <w:abstractNumId w:val="25"/>
  </w:num>
  <w:num w:numId="32">
    <w:abstractNumId w:val="2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5E"/>
    <w:rsid w:val="00000D37"/>
    <w:rsid w:val="000020F8"/>
    <w:rsid w:val="000048F3"/>
    <w:rsid w:val="00020858"/>
    <w:rsid w:val="00035446"/>
    <w:rsid w:val="00043F15"/>
    <w:rsid w:val="00055A44"/>
    <w:rsid w:val="00060698"/>
    <w:rsid w:val="0006656F"/>
    <w:rsid w:val="000716C2"/>
    <w:rsid w:val="000808B9"/>
    <w:rsid w:val="00082CE5"/>
    <w:rsid w:val="00091732"/>
    <w:rsid w:val="000A71E5"/>
    <w:rsid w:val="000E1540"/>
    <w:rsid w:val="000F4C7D"/>
    <w:rsid w:val="00102517"/>
    <w:rsid w:val="001106D6"/>
    <w:rsid w:val="0012027A"/>
    <w:rsid w:val="00126EF4"/>
    <w:rsid w:val="0012714B"/>
    <w:rsid w:val="001304C4"/>
    <w:rsid w:val="00140933"/>
    <w:rsid w:val="001444A8"/>
    <w:rsid w:val="00180CE5"/>
    <w:rsid w:val="00184F2E"/>
    <w:rsid w:val="00192903"/>
    <w:rsid w:val="001968AA"/>
    <w:rsid w:val="001C03C0"/>
    <w:rsid w:val="001D6307"/>
    <w:rsid w:val="001D6966"/>
    <w:rsid w:val="001F335D"/>
    <w:rsid w:val="00203D7E"/>
    <w:rsid w:val="00204481"/>
    <w:rsid w:val="00206E6E"/>
    <w:rsid w:val="002339C1"/>
    <w:rsid w:val="002434C7"/>
    <w:rsid w:val="00254409"/>
    <w:rsid w:val="00254D9A"/>
    <w:rsid w:val="00262155"/>
    <w:rsid w:val="00277AE9"/>
    <w:rsid w:val="002A25AA"/>
    <w:rsid w:val="002B6BBF"/>
    <w:rsid w:val="002C0774"/>
    <w:rsid w:val="002C46C5"/>
    <w:rsid w:val="002C6BB7"/>
    <w:rsid w:val="002E6113"/>
    <w:rsid w:val="002F03D5"/>
    <w:rsid w:val="002F0E22"/>
    <w:rsid w:val="002F720B"/>
    <w:rsid w:val="00311798"/>
    <w:rsid w:val="00313A54"/>
    <w:rsid w:val="00320DA3"/>
    <w:rsid w:val="00334303"/>
    <w:rsid w:val="00340E1B"/>
    <w:rsid w:val="00341AC5"/>
    <w:rsid w:val="003502BB"/>
    <w:rsid w:val="00352D6D"/>
    <w:rsid w:val="00355742"/>
    <w:rsid w:val="00357B7A"/>
    <w:rsid w:val="0039542A"/>
    <w:rsid w:val="003A37FE"/>
    <w:rsid w:val="003A3E83"/>
    <w:rsid w:val="003B38E2"/>
    <w:rsid w:val="003B3C8B"/>
    <w:rsid w:val="003C2416"/>
    <w:rsid w:val="003C4E27"/>
    <w:rsid w:val="003E4F8E"/>
    <w:rsid w:val="003E507B"/>
    <w:rsid w:val="003F0044"/>
    <w:rsid w:val="003F35EB"/>
    <w:rsid w:val="003F7E8F"/>
    <w:rsid w:val="004028ED"/>
    <w:rsid w:val="00403E6D"/>
    <w:rsid w:val="004124E8"/>
    <w:rsid w:val="00423AFA"/>
    <w:rsid w:val="0042631D"/>
    <w:rsid w:val="004413FA"/>
    <w:rsid w:val="00454068"/>
    <w:rsid w:val="00463916"/>
    <w:rsid w:val="004676E6"/>
    <w:rsid w:val="004717FF"/>
    <w:rsid w:val="00480975"/>
    <w:rsid w:val="00486381"/>
    <w:rsid w:val="004B422E"/>
    <w:rsid w:val="004D373A"/>
    <w:rsid w:val="004F33F5"/>
    <w:rsid w:val="00511172"/>
    <w:rsid w:val="00517D0F"/>
    <w:rsid w:val="005223B7"/>
    <w:rsid w:val="00530C3A"/>
    <w:rsid w:val="00532A8E"/>
    <w:rsid w:val="00550AC8"/>
    <w:rsid w:val="005717A0"/>
    <w:rsid w:val="005A5E6A"/>
    <w:rsid w:val="005C38DC"/>
    <w:rsid w:val="005C403D"/>
    <w:rsid w:val="005D116B"/>
    <w:rsid w:val="005D5F2F"/>
    <w:rsid w:val="005F1D75"/>
    <w:rsid w:val="005F725E"/>
    <w:rsid w:val="00612471"/>
    <w:rsid w:val="00614B00"/>
    <w:rsid w:val="00615992"/>
    <w:rsid w:val="00624E09"/>
    <w:rsid w:val="0063050D"/>
    <w:rsid w:val="00633D51"/>
    <w:rsid w:val="00634062"/>
    <w:rsid w:val="00682899"/>
    <w:rsid w:val="00682C3C"/>
    <w:rsid w:val="006A7AED"/>
    <w:rsid w:val="006D06D6"/>
    <w:rsid w:val="007010AC"/>
    <w:rsid w:val="007046C6"/>
    <w:rsid w:val="00712274"/>
    <w:rsid w:val="00712415"/>
    <w:rsid w:val="00720AD8"/>
    <w:rsid w:val="00735AB3"/>
    <w:rsid w:val="00741C28"/>
    <w:rsid w:val="00742D00"/>
    <w:rsid w:val="007635FA"/>
    <w:rsid w:val="00763830"/>
    <w:rsid w:val="00770B78"/>
    <w:rsid w:val="00792389"/>
    <w:rsid w:val="007B0F27"/>
    <w:rsid w:val="007C19FD"/>
    <w:rsid w:val="007D15A0"/>
    <w:rsid w:val="007E7020"/>
    <w:rsid w:val="007E727D"/>
    <w:rsid w:val="00803403"/>
    <w:rsid w:val="008132FB"/>
    <w:rsid w:val="00817FA8"/>
    <w:rsid w:val="00821B56"/>
    <w:rsid w:val="00824D04"/>
    <w:rsid w:val="00851D26"/>
    <w:rsid w:val="00861250"/>
    <w:rsid w:val="008707D3"/>
    <w:rsid w:val="0089368F"/>
    <w:rsid w:val="008968EA"/>
    <w:rsid w:val="008C2A93"/>
    <w:rsid w:val="008D5E6F"/>
    <w:rsid w:val="008D711D"/>
    <w:rsid w:val="008E1DAA"/>
    <w:rsid w:val="008E4D7C"/>
    <w:rsid w:val="008E5F56"/>
    <w:rsid w:val="008F3193"/>
    <w:rsid w:val="00903E87"/>
    <w:rsid w:val="00933C41"/>
    <w:rsid w:val="00956916"/>
    <w:rsid w:val="00961A91"/>
    <w:rsid w:val="00974EEC"/>
    <w:rsid w:val="00990D5A"/>
    <w:rsid w:val="00992F18"/>
    <w:rsid w:val="00993B76"/>
    <w:rsid w:val="009A20E6"/>
    <w:rsid w:val="009A2184"/>
    <w:rsid w:val="009A6124"/>
    <w:rsid w:val="009C0BBD"/>
    <w:rsid w:val="009E2C01"/>
    <w:rsid w:val="009E7B70"/>
    <w:rsid w:val="00A07D57"/>
    <w:rsid w:val="00A10C4F"/>
    <w:rsid w:val="00A179CF"/>
    <w:rsid w:val="00A300E9"/>
    <w:rsid w:val="00A3148D"/>
    <w:rsid w:val="00A467CA"/>
    <w:rsid w:val="00A520B3"/>
    <w:rsid w:val="00A73ACE"/>
    <w:rsid w:val="00A85362"/>
    <w:rsid w:val="00A86E47"/>
    <w:rsid w:val="00A94982"/>
    <w:rsid w:val="00AA05C2"/>
    <w:rsid w:val="00AA19E5"/>
    <w:rsid w:val="00AA1AD2"/>
    <w:rsid w:val="00AB4D34"/>
    <w:rsid w:val="00AC6516"/>
    <w:rsid w:val="00AD0566"/>
    <w:rsid w:val="00AD7B16"/>
    <w:rsid w:val="00AE3ED6"/>
    <w:rsid w:val="00AF4879"/>
    <w:rsid w:val="00B00073"/>
    <w:rsid w:val="00B04326"/>
    <w:rsid w:val="00B502C4"/>
    <w:rsid w:val="00B50B06"/>
    <w:rsid w:val="00B60D8B"/>
    <w:rsid w:val="00B760BD"/>
    <w:rsid w:val="00B92758"/>
    <w:rsid w:val="00BC79A2"/>
    <w:rsid w:val="00BD3B4B"/>
    <w:rsid w:val="00BD67DF"/>
    <w:rsid w:val="00BE3A88"/>
    <w:rsid w:val="00C02779"/>
    <w:rsid w:val="00C300AF"/>
    <w:rsid w:val="00C32F2B"/>
    <w:rsid w:val="00C5025D"/>
    <w:rsid w:val="00C5070C"/>
    <w:rsid w:val="00C735CA"/>
    <w:rsid w:val="00C817B3"/>
    <w:rsid w:val="00C82C03"/>
    <w:rsid w:val="00C90498"/>
    <w:rsid w:val="00C921AB"/>
    <w:rsid w:val="00CA530C"/>
    <w:rsid w:val="00CA53CE"/>
    <w:rsid w:val="00CB1FB5"/>
    <w:rsid w:val="00CB49CF"/>
    <w:rsid w:val="00CC1E53"/>
    <w:rsid w:val="00CE6D02"/>
    <w:rsid w:val="00CF2AE7"/>
    <w:rsid w:val="00CF3964"/>
    <w:rsid w:val="00CF6AE3"/>
    <w:rsid w:val="00D01945"/>
    <w:rsid w:val="00D043E4"/>
    <w:rsid w:val="00D07B98"/>
    <w:rsid w:val="00D1617A"/>
    <w:rsid w:val="00D54C0A"/>
    <w:rsid w:val="00D76980"/>
    <w:rsid w:val="00D81BCB"/>
    <w:rsid w:val="00D9775A"/>
    <w:rsid w:val="00DA37E9"/>
    <w:rsid w:val="00DB64C1"/>
    <w:rsid w:val="00DB77E4"/>
    <w:rsid w:val="00DC6365"/>
    <w:rsid w:val="00DE0C6D"/>
    <w:rsid w:val="00E0130B"/>
    <w:rsid w:val="00E023C4"/>
    <w:rsid w:val="00E05510"/>
    <w:rsid w:val="00E05D93"/>
    <w:rsid w:val="00E30D0A"/>
    <w:rsid w:val="00E64F46"/>
    <w:rsid w:val="00E70BF8"/>
    <w:rsid w:val="00E735FB"/>
    <w:rsid w:val="00E95BC9"/>
    <w:rsid w:val="00EA2275"/>
    <w:rsid w:val="00EA606F"/>
    <w:rsid w:val="00EA65EF"/>
    <w:rsid w:val="00EB0E4C"/>
    <w:rsid w:val="00ED6AC5"/>
    <w:rsid w:val="00EF3278"/>
    <w:rsid w:val="00EF555D"/>
    <w:rsid w:val="00EF7574"/>
    <w:rsid w:val="00F0254E"/>
    <w:rsid w:val="00F06E17"/>
    <w:rsid w:val="00F11069"/>
    <w:rsid w:val="00F27918"/>
    <w:rsid w:val="00F71CD0"/>
    <w:rsid w:val="00F74D1D"/>
    <w:rsid w:val="00F914E2"/>
    <w:rsid w:val="00F94AEF"/>
    <w:rsid w:val="00F94C5D"/>
    <w:rsid w:val="00FA095C"/>
    <w:rsid w:val="00FA3B90"/>
    <w:rsid w:val="00FB7BF2"/>
    <w:rsid w:val="00FC22BE"/>
    <w:rsid w:val="00FC33D6"/>
    <w:rsid w:val="00FD1314"/>
    <w:rsid w:val="00FD5796"/>
    <w:rsid w:val="00FD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A4FBBB2"/>
  <w15:docId w15:val="{48B8AFC1-4733-4601-9AC0-85A00DEE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3B38E2"/>
    <w:pPr>
      <w:keepNext/>
      <w:spacing w:before="360" w:after="120"/>
      <w:jc w:val="both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A53CE"/>
    <w:pPr>
      <w:keepNext/>
      <w:spacing w:before="360" w:after="1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808B9"/>
    <w:pPr>
      <w:tabs>
        <w:tab w:val="right" w:pos="9105"/>
      </w:tabs>
      <w:overflowPunct w:val="0"/>
      <w:autoSpaceDE w:val="0"/>
      <w:autoSpaceDN w:val="0"/>
      <w:adjustRightInd w:val="0"/>
      <w:jc w:val="center"/>
    </w:pPr>
    <w:rPr>
      <w:rFonts w:ascii="Arial" w:eastAsia="Calibri" w:hAnsi="Arial"/>
      <w:b/>
      <w:u w:val="single"/>
      <w:lang w:val="en-GB" w:eastAsia="x-none"/>
    </w:rPr>
  </w:style>
  <w:style w:type="character" w:customStyle="1" w:styleId="TitleChar">
    <w:name w:val="Title Char"/>
    <w:link w:val="Title"/>
    <w:locked/>
    <w:rsid w:val="000808B9"/>
    <w:rPr>
      <w:rFonts w:ascii="Arial" w:eastAsia="Calibri" w:hAnsi="Arial"/>
      <w:b/>
      <w:sz w:val="24"/>
      <w:szCs w:val="24"/>
      <w:u w:val="single"/>
      <w:lang w:val="en-GB" w:eastAsia="x-none" w:bidi="ar-SA"/>
    </w:rPr>
  </w:style>
  <w:style w:type="paragraph" w:styleId="Header">
    <w:name w:val="header"/>
    <w:basedOn w:val="Normal"/>
    <w:link w:val="HeaderChar"/>
    <w:uiPriority w:val="99"/>
    <w:rsid w:val="00340E1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40E1B"/>
  </w:style>
  <w:style w:type="paragraph" w:styleId="BalloonText">
    <w:name w:val="Balloon Text"/>
    <w:basedOn w:val="Normal"/>
    <w:semiHidden/>
    <w:rsid w:val="00C02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373A"/>
    <w:pPr>
      <w:ind w:left="720"/>
    </w:pPr>
  </w:style>
  <w:style w:type="paragraph" w:styleId="Footer">
    <w:name w:val="footer"/>
    <w:basedOn w:val="Normal"/>
    <w:link w:val="FooterChar"/>
    <w:rsid w:val="00AB4D3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B4D34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3502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502BB"/>
  </w:style>
  <w:style w:type="character" w:styleId="FootnoteReference">
    <w:name w:val="footnote reference"/>
    <w:uiPriority w:val="99"/>
    <w:rsid w:val="003502BB"/>
    <w:rPr>
      <w:vertAlign w:val="superscript"/>
    </w:rPr>
  </w:style>
  <w:style w:type="character" w:styleId="CommentReference">
    <w:name w:val="annotation reference"/>
    <w:rsid w:val="003C4E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4E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4E27"/>
  </w:style>
  <w:style w:type="paragraph" w:styleId="CommentSubject">
    <w:name w:val="annotation subject"/>
    <w:basedOn w:val="CommentText"/>
    <w:next w:val="CommentText"/>
    <w:link w:val="CommentSubjectChar"/>
    <w:rsid w:val="003C4E27"/>
    <w:rPr>
      <w:b/>
      <w:bCs/>
    </w:rPr>
  </w:style>
  <w:style w:type="character" w:customStyle="1" w:styleId="CommentSubjectChar">
    <w:name w:val="Comment Subject Char"/>
    <w:link w:val="CommentSubject"/>
    <w:rsid w:val="003C4E27"/>
    <w:rPr>
      <w:b/>
      <w:bCs/>
    </w:rPr>
  </w:style>
  <w:style w:type="paragraph" w:customStyle="1" w:styleId="NewSectionHeading">
    <w:name w:val="New Section Heading"/>
    <w:basedOn w:val="Normal"/>
    <w:next w:val="Normal"/>
    <w:rsid w:val="00682C3C"/>
    <w:pPr>
      <w:keepNext/>
      <w:keepLines/>
      <w:widowControl w:val="0"/>
      <w:spacing w:after="240"/>
      <w:ind w:left="1100" w:hanging="1100"/>
      <w:outlineLvl w:val="4"/>
    </w:pPr>
    <w:rPr>
      <w:rFonts w:ascii="Helvetica" w:hAnsi="Helvetica"/>
      <w:b/>
    </w:rPr>
  </w:style>
  <w:style w:type="paragraph" w:customStyle="1" w:styleId="Subsection">
    <w:name w:val="Subsection"/>
    <w:basedOn w:val="Normal"/>
    <w:link w:val="SubsectionChar"/>
    <w:rsid w:val="00682C3C"/>
    <w:pPr>
      <w:widowControl w:val="0"/>
      <w:tabs>
        <w:tab w:val="right" w:pos="902"/>
      </w:tabs>
      <w:spacing w:after="240"/>
      <w:ind w:left="1100" w:hanging="1100"/>
      <w:jc w:val="both"/>
    </w:pPr>
    <w:rPr>
      <w:rFonts w:ascii="Helvetica" w:hAnsi="Helvetica"/>
    </w:rPr>
  </w:style>
  <w:style w:type="paragraph" w:customStyle="1" w:styleId="Paragraph">
    <w:name w:val="Paragraph"/>
    <w:basedOn w:val="Normal"/>
    <w:rsid w:val="00682C3C"/>
    <w:pPr>
      <w:widowControl w:val="0"/>
      <w:spacing w:after="240"/>
      <w:ind w:left="1667" w:hanging="567"/>
      <w:jc w:val="both"/>
    </w:pPr>
    <w:rPr>
      <w:rFonts w:ascii="Helvetica" w:hAnsi="Helvetica"/>
    </w:rPr>
  </w:style>
  <w:style w:type="paragraph" w:styleId="NoSpacing">
    <w:name w:val="No Spacing"/>
    <w:uiPriority w:val="1"/>
    <w:qFormat/>
    <w:rsid w:val="00D54C0A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B38E2"/>
    <w:rPr>
      <w:rFonts w:ascii="Arial" w:hAnsi="Arial"/>
      <w:b/>
      <w:bCs/>
      <w:iCs/>
      <w:sz w:val="28"/>
      <w:szCs w:val="28"/>
    </w:rPr>
  </w:style>
  <w:style w:type="paragraph" w:customStyle="1" w:styleId="BottomLine">
    <w:name w:val="Bottom Line"/>
    <w:basedOn w:val="Normal"/>
    <w:rsid w:val="003B38E2"/>
    <w:pPr>
      <w:pBdr>
        <w:top w:val="single" w:sz="12" w:space="1" w:color="auto"/>
      </w:pBdr>
      <w:jc w:val="both"/>
    </w:pPr>
    <w:rPr>
      <w:rFonts w:ascii="Arial" w:hAnsi="Arial"/>
      <w:szCs w:val="20"/>
    </w:rPr>
  </w:style>
  <w:style w:type="character" w:customStyle="1" w:styleId="Heading3Char">
    <w:name w:val="Heading 3 Char"/>
    <w:basedOn w:val="DefaultParagraphFont"/>
    <w:link w:val="Heading3"/>
    <w:rsid w:val="00CA53CE"/>
    <w:rPr>
      <w:rFonts w:ascii="Arial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5F72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614B0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2027A"/>
    <w:pPr>
      <w:spacing w:after="120"/>
    </w:pPr>
    <w:rPr>
      <w:rFonts w:ascii="Arial" w:eastAsiaTheme="minorHAns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2027A"/>
    <w:rPr>
      <w:rFonts w:ascii="Arial" w:eastAsiaTheme="minorHAnsi" w:hAnsi="Arial" w:cs="Arial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2027A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2027A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ubsectionChar">
    <w:name w:val="Subsection Char"/>
    <w:basedOn w:val="DefaultParagraphFont"/>
    <w:link w:val="Subsection"/>
    <w:locked/>
    <w:rsid w:val="0012027A"/>
    <w:rPr>
      <w:rFonts w:ascii="Helvetica" w:hAnsi="Helvetica"/>
      <w:sz w:val="24"/>
      <w:szCs w:val="24"/>
    </w:rPr>
  </w:style>
  <w:style w:type="paragraph" w:customStyle="1" w:styleId="cunumber3">
    <w:name w:val="cunumber3"/>
    <w:basedOn w:val="Normal"/>
    <w:rsid w:val="0012027A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E906E-D668-4940-AA38-058CE793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TSmart</dc:creator>
  <cp:lastModifiedBy>Louise Ranger</cp:lastModifiedBy>
  <cp:revision>10</cp:revision>
  <cp:lastPrinted>2018-05-14T00:44:00Z</cp:lastPrinted>
  <dcterms:created xsi:type="dcterms:W3CDTF">2018-05-13T23:10:00Z</dcterms:created>
  <dcterms:modified xsi:type="dcterms:W3CDTF">2018-05-14T00:57:00Z</dcterms:modified>
</cp:coreProperties>
</file>