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D3" w:rsidRDefault="003E53D3" w:rsidP="00E30632">
      <w:pPr>
        <w:pStyle w:val="Title"/>
        <w:spacing w:after="0" w:line="360" w:lineRule="auto"/>
        <w:jc w:val="center"/>
        <w:rPr>
          <w:bCs/>
        </w:rPr>
      </w:pPr>
    </w:p>
    <w:p w:rsidR="00F161FF" w:rsidRDefault="003E53D3" w:rsidP="00E30632">
      <w:pPr>
        <w:pStyle w:val="Title"/>
        <w:spacing w:after="0" w:line="360" w:lineRule="auto"/>
        <w:jc w:val="center"/>
        <w:rPr>
          <w:bCs/>
        </w:rPr>
      </w:pPr>
      <w:r>
        <w:rPr>
          <w:bCs/>
        </w:rPr>
        <w:t>D</w:t>
      </w:r>
      <w:r w:rsidR="00DD72D2">
        <w:rPr>
          <w:bCs/>
        </w:rPr>
        <w:t>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rsidR="00F161FF" w:rsidRPr="00DD72D2" w:rsidRDefault="00DD72D2" w:rsidP="00DD72D2">
      <w:pPr>
        <w:tabs>
          <w:tab w:val="left" w:pos="2835"/>
        </w:tabs>
        <w:spacing w:before="240" w:after="240"/>
      </w:pPr>
      <w:r>
        <w:rPr>
          <w:b/>
        </w:rPr>
        <w:t>MATTER:</w:t>
      </w:r>
      <w:r>
        <w:rPr>
          <w:b/>
        </w:rPr>
        <w:tab/>
      </w:r>
      <w:r w:rsidR="006B2C78">
        <w:rPr>
          <w:b/>
        </w:rPr>
        <w:t>Grant of a Liquor Licence</w:t>
      </w:r>
    </w:p>
    <w:p w:rsidR="0052306C" w:rsidRPr="00DD72D2" w:rsidRDefault="0052306C" w:rsidP="0052306C">
      <w:pPr>
        <w:tabs>
          <w:tab w:val="left" w:pos="2835"/>
        </w:tabs>
        <w:spacing w:before="240" w:after="240"/>
        <w:rPr>
          <w:b/>
        </w:rPr>
      </w:pPr>
      <w:r>
        <w:rPr>
          <w:b/>
        </w:rPr>
        <w:t>LICENSEE</w:t>
      </w:r>
      <w:r w:rsidRPr="00DD72D2">
        <w:rPr>
          <w:b/>
        </w:rPr>
        <w:t>:</w:t>
      </w:r>
      <w:r w:rsidRPr="00DD72D2">
        <w:rPr>
          <w:b/>
        </w:rPr>
        <w:tab/>
      </w:r>
      <w:r>
        <w:rPr>
          <w:b/>
        </w:rPr>
        <w:t>Dtown Group Pty Ltd</w:t>
      </w:r>
    </w:p>
    <w:p w:rsidR="00F161FF" w:rsidRPr="00DD72D2" w:rsidRDefault="00DD72D2" w:rsidP="00DD72D2">
      <w:pPr>
        <w:tabs>
          <w:tab w:val="left" w:pos="2835"/>
        </w:tabs>
        <w:spacing w:before="240" w:after="240"/>
        <w:rPr>
          <w:b/>
        </w:rPr>
      </w:pPr>
      <w:r w:rsidRPr="00DD72D2">
        <w:rPr>
          <w:b/>
        </w:rPr>
        <w:t>PREMISES:</w:t>
      </w:r>
      <w:r w:rsidRPr="00DD72D2">
        <w:rPr>
          <w:b/>
        </w:rPr>
        <w:tab/>
      </w:r>
      <w:r w:rsidR="006B2C78">
        <w:rPr>
          <w:b/>
        </w:rPr>
        <w:t>Besser Kitchen &amp; Brew Bar</w:t>
      </w:r>
    </w:p>
    <w:p w:rsidR="00F161FF" w:rsidRPr="00DD72D2" w:rsidRDefault="006B2C78" w:rsidP="00DD72D2">
      <w:pPr>
        <w:tabs>
          <w:tab w:val="left" w:pos="2835"/>
        </w:tabs>
        <w:spacing w:before="240" w:after="240"/>
        <w:rPr>
          <w:b/>
        </w:rPr>
      </w:pPr>
      <w:r>
        <w:rPr>
          <w:b/>
        </w:rPr>
        <w:t>NOMINEE</w:t>
      </w:r>
      <w:r w:rsidR="00DD72D2" w:rsidRPr="00DD72D2">
        <w:rPr>
          <w:b/>
        </w:rPr>
        <w:t>:</w:t>
      </w:r>
      <w:r w:rsidR="00DD72D2" w:rsidRPr="00DD72D2">
        <w:rPr>
          <w:b/>
        </w:rPr>
        <w:tab/>
      </w:r>
      <w:r>
        <w:rPr>
          <w:b/>
        </w:rPr>
        <w:t>Lisa Mary Heames</w:t>
      </w:r>
    </w:p>
    <w:p w:rsidR="00F161FF" w:rsidRPr="00DD72D2" w:rsidRDefault="00DD72D2" w:rsidP="00DD72D2">
      <w:pPr>
        <w:tabs>
          <w:tab w:val="left" w:pos="2835"/>
        </w:tabs>
        <w:spacing w:before="240" w:after="240"/>
        <w:rPr>
          <w:b/>
        </w:rPr>
      </w:pPr>
      <w:r w:rsidRPr="00DD72D2">
        <w:rPr>
          <w:b/>
        </w:rPr>
        <w:t>OBJECTORS:</w:t>
      </w:r>
      <w:r w:rsidRPr="00DD72D2">
        <w:rPr>
          <w:b/>
        </w:rPr>
        <w:tab/>
      </w:r>
      <w:r w:rsidR="006B2C78">
        <w:rPr>
          <w:b/>
        </w:rPr>
        <w:t>Nil</w:t>
      </w:r>
    </w:p>
    <w:p w:rsidR="00DD72D2" w:rsidRPr="00DD72D2" w:rsidRDefault="00DD72D2" w:rsidP="00DD72D2">
      <w:pPr>
        <w:tabs>
          <w:tab w:val="left" w:pos="2835"/>
        </w:tabs>
        <w:spacing w:before="240" w:after="240"/>
        <w:rPr>
          <w:b/>
        </w:rPr>
      </w:pPr>
      <w:r w:rsidRPr="00DD72D2">
        <w:rPr>
          <w:b/>
        </w:rPr>
        <w:t>LEGISLATION:</w:t>
      </w:r>
      <w:r w:rsidRPr="00DD72D2">
        <w:rPr>
          <w:b/>
        </w:rPr>
        <w:tab/>
      </w:r>
      <w:r w:rsidR="006B2C78" w:rsidRPr="00EB2C95">
        <w:rPr>
          <w:b/>
          <w:i/>
        </w:rPr>
        <w:t xml:space="preserve">Liquor </w:t>
      </w:r>
      <w:r w:rsidR="00EB2C95" w:rsidRPr="00EB2C95">
        <w:rPr>
          <w:b/>
          <w:i/>
        </w:rPr>
        <w:t xml:space="preserve">Act </w:t>
      </w:r>
      <w:r w:rsidR="00EB2C95">
        <w:rPr>
          <w:b/>
        </w:rPr>
        <w:t>Section 26</w:t>
      </w:r>
    </w:p>
    <w:p w:rsidR="00DD72D2" w:rsidRDefault="00DD72D2" w:rsidP="00DD72D2">
      <w:pPr>
        <w:tabs>
          <w:tab w:val="left" w:pos="2835"/>
        </w:tabs>
        <w:spacing w:before="240" w:after="240"/>
      </w:pPr>
      <w:r w:rsidRPr="00DD72D2">
        <w:rPr>
          <w:b/>
        </w:rPr>
        <w:t>DECISION OF:</w:t>
      </w:r>
      <w:r>
        <w:tab/>
      </w:r>
      <w:r w:rsidR="00FA6635" w:rsidRPr="00FA6635">
        <w:rPr>
          <w:b/>
        </w:rPr>
        <w:t xml:space="preserve">Delegate of the </w:t>
      </w:r>
      <w:r w:rsidR="00EB2C95" w:rsidRPr="00EB2C95">
        <w:rPr>
          <w:b/>
        </w:rPr>
        <w:t xml:space="preserve">Deputy </w:t>
      </w:r>
      <w:r w:rsidR="00FA6635">
        <w:rPr>
          <w:b/>
        </w:rPr>
        <w:t>Director-General</w:t>
      </w:r>
    </w:p>
    <w:p w:rsidR="00DD72D2" w:rsidRPr="00DD72D2" w:rsidRDefault="00331134" w:rsidP="00DD72D2">
      <w:pPr>
        <w:tabs>
          <w:tab w:val="left" w:pos="2835"/>
        </w:tabs>
        <w:spacing w:before="240" w:after="0"/>
        <w:rPr>
          <w:b/>
        </w:rPr>
      </w:pPr>
      <w:r>
        <w:rPr>
          <w:b/>
        </w:rPr>
        <w:t>DATE OF DECISION:</w:t>
      </w:r>
      <w:r>
        <w:rPr>
          <w:b/>
        </w:rPr>
        <w:tab/>
      </w:r>
      <w:r w:rsidR="00FA6635">
        <w:rPr>
          <w:b/>
        </w:rPr>
        <w:t xml:space="preserve">10 </w:t>
      </w:r>
      <w:r>
        <w:rPr>
          <w:b/>
        </w:rPr>
        <w:t>Novem</w:t>
      </w:r>
      <w:r w:rsidR="00EB2C95">
        <w:rPr>
          <w:b/>
        </w:rPr>
        <w:t xml:space="preserve">ber 2016 </w:t>
      </w:r>
    </w:p>
    <w:p w:rsidR="00F161FF" w:rsidRPr="00F161FF" w:rsidRDefault="00F161FF" w:rsidP="00F161FF">
      <w:pPr>
        <w:pBdr>
          <w:bottom w:val="single" w:sz="4" w:space="1" w:color="auto"/>
        </w:pBdr>
        <w:rPr>
          <w:b/>
        </w:rPr>
      </w:pPr>
    </w:p>
    <w:p w:rsidR="00F161FF" w:rsidRPr="00DD72D2" w:rsidRDefault="00DD72D2" w:rsidP="00DD72D2">
      <w:pPr>
        <w:pStyle w:val="Heading2"/>
        <w:spacing w:after="240"/>
      </w:pPr>
      <w:bookmarkStart w:id="0" w:name="TypeHere"/>
      <w:bookmarkEnd w:id="0"/>
      <w:r w:rsidRPr="00DD72D2">
        <w:t>BACKGROUND</w:t>
      </w:r>
    </w:p>
    <w:p w:rsidR="00EB2C95" w:rsidRPr="004443D0"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 xml:space="preserve">Pursuant to section 26 of the </w:t>
      </w:r>
      <w:r w:rsidRPr="004443D0">
        <w:rPr>
          <w:rFonts w:cs="Arial"/>
          <w:i/>
          <w:sz w:val="24"/>
          <w:szCs w:val="24"/>
        </w:rPr>
        <w:t>Liquor Act</w:t>
      </w:r>
      <w:r w:rsidRPr="004443D0">
        <w:rPr>
          <w:rFonts w:cs="Arial"/>
          <w:sz w:val="24"/>
          <w:szCs w:val="24"/>
        </w:rPr>
        <w:t xml:space="preserve"> (the Act), </w:t>
      </w:r>
      <w:r w:rsidR="004443D0" w:rsidRPr="004443D0">
        <w:rPr>
          <w:rFonts w:cs="Arial"/>
          <w:sz w:val="24"/>
          <w:szCs w:val="24"/>
        </w:rPr>
        <w:t>Dtown</w:t>
      </w:r>
      <w:r w:rsidRPr="004443D0">
        <w:rPr>
          <w:rFonts w:cs="Arial"/>
          <w:sz w:val="24"/>
          <w:szCs w:val="24"/>
        </w:rPr>
        <w:t xml:space="preserve"> Group Pty Ltd applied to the Director-General of Licensing for the grant of a “Restaurant” liquor licence, for the premises known as “</w:t>
      </w:r>
      <w:r w:rsidR="004443D0" w:rsidRPr="004443D0">
        <w:rPr>
          <w:rFonts w:cs="Arial"/>
          <w:sz w:val="24"/>
          <w:szCs w:val="24"/>
        </w:rPr>
        <w:t>Besser Kitchen &amp; Brew Bar</w:t>
      </w:r>
      <w:r w:rsidRPr="004443D0">
        <w:rPr>
          <w:rFonts w:cs="Arial"/>
          <w:sz w:val="24"/>
          <w:szCs w:val="24"/>
        </w:rPr>
        <w:t xml:space="preserve">”, located at </w:t>
      </w:r>
      <w:r w:rsidR="004443D0" w:rsidRPr="004443D0">
        <w:rPr>
          <w:rFonts w:cs="Arial"/>
          <w:sz w:val="24"/>
          <w:szCs w:val="24"/>
        </w:rPr>
        <w:t xml:space="preserve">Shop 6, 116-120 Coonawarra Road, Winnellie, NT 0820. </w:t>
      </w:r>
    </w:p>
    <w:p w:rsidR="00DD72D2" w:rsidRPr="004443D0" w:rsidRDefault="00DD72D2" w:rsidP="00EB2C95">
      <w:pPr>
        <w:pStyle w:val="ListParagraph"/>
        <w:spacing w:after="240"/>
        <w:ind w:left="567"/>
        <w:contextualSpacing w:val="0"/>
      </w:pPr>
    </w:p>
    <w:p w:rsidR="00F161FF" w:rsidRPr="00DD72D2" w:rsidRDefault="00DD72D2" w:rsidP="00DD72D2">
      <w:pPr>
        <w:pStyle w:val="Heading2"/>
        <w:spacing w:after="240"/>
      </w:pPr>
      <w:r w:rsidRPr="00DD72D2">
        <w:t>CURRENT SITUATION</w:t>
      </w:r>
    </w:p>
    <w:p w:rsidR="00EB2C95" w:rsidRPr="004443D0"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 xml:space="preserve">The applicant provided a submission regarding the relevant criteria referred to in section 6(2) of the Act identifying the operations of the proposed business.  The applicant submitted the information provided demonstrates the grant of the licence will be in the public interest. </w:t>
      </w:r>
    </w:p>
    <w:p w:rsidR="00EB2C95" w:rsidRPr="004443D0" w:rsidRDefault="00EB2C95" w:rsidP="00EB2C95">
      <w:pPr>
        <w:pStyle w:val="ListParagraph"/>
        <w:jc w:val="both"/>
        <w:rPr>
          <w:rFonts w:cs="Arial"/>
          <w:sz w:val="24"/>
          <w:szCs w:val="24"/>
        </w:rPr>
      </w:pPr>
    </w:p>
    <w:p w:rsidR="00EB2C95"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 xml:space="preserve">The proposed applicant has provided an affidavit pursuant to section 26A of the Act, identifying the directors of the company, being </w:t>
      </w:r>
      <w:r w:rsidR="004E6CA3">
        <w:rPr>
          <w:rFonts w:cs="Arial"/>
          <w:sz w:val="24"/>
          <w:szCs w:val="24"/>
        </w:rPr>
        <w:t>Ms Lisa Mary Heames</w:t>
      </w:r>
      <w:r w:rsidRPr="004443D0">
        <w:rPr>
          <w:rFonts w:cs="Arial"/>
          <w:sz w:val="24"/>
          <w:szCs w:val="24"/>
        </w:rPr>
        <w:t>,</w:t>
      </w:r>
      <w:r w:rsidR="004E6CA3">
        <w:rPr>
          <w:rFonts w:cs="Arial"/>
          <w:sz w:val="24"/>
          <w:szCs w:val="24"/>
        </w:rPr>
        <w:t xml:space="preserve"> Mr </w:t>
      </w:r>
      <w:r w:rsidRPr="004443D0">
        <w:rPr>
          <w:rFonts w:cs="Arial"/>
          <w:sz w:val="24"/>
          <w:szCs w:val="24"/>
        </w:rPr>
        <w:t xml:space="preserve">Adam </w:t>
      </w:r>
      <w:r w:rsidR="004E6CA3">
        <w:rPr>
          <w:rFonts w:cs="Arial"/>
          <w:sz w:val="24"/>
          <w:szCs w:val="24"/>
        </w:rPr>
        <w:t>Gregory Mann</w:t>
      </w:r>
      <w:r w:rsidRPr="004443D0">
        <w:rPr>
          <w:rFonts w:cs="Arial"/>
          <w:sz w:val="24"/>
          <w:szCs w:val="24"/>
        </w:rPr>
        <w:t xml:space="preserve"> </w:t>
      </w:r>
      <w:r w:rsidR="004E6CA3">
        <w:rPr>
          <w:rFonts w:cs="Arial"/>
          <w:sz w:val="24"/>
          <w:szCs w:val="24"/>
        </w:rPr>
        <w:t>and Mrs Dannielle Lee Mann</w:t>
      </w:r>
      <w:r w:rsidRPr="004443D0">
        <w:rPr>
          <w:rFonts w:cs="Arial"/>
          <w:sz w:val="24"/>
          <w:szCs w:val="24"/>
        </w:rPr>
        <w:t xml:space="preserve"> as the only persons or entities to have influence over the liquor licence.</w:t>
      </w:r>
    </w:p>
    <w:p w:rsidR="00824A25" w:rsidRDefault="00824A25">
      <w:pPr>
        <w:spacing w:after="0"/>
        <w:rPr>
          <w:rFonts w:cs="Arial"/>
          <w:sz w:val="24"/>
          <w:szCs w:val="24"/>
        </w:rPr>
      </w:pPr>
      <w:r>
        <w:rPr>
          <w:rFonts w:cs="Arial"/>
          <w:sz w:val="24"/>
          <w:szCs w:val="24"/>
        </w:rPr>
        <w:br w:type="page"/>
      </w:r>
    </w:p>
    <w:p w:rsidR="00EB2C95" w:rsidRPr="00A62945" w:rsidRDefault="00EB2C95" w:rsidP="00A62945">
      <w:pPr>
        <w:pStyle w:val="ListParagraph"/>
        <w:numPr>
          <w:ilvl w:val="0"/>
          <w:numId w:val="2"/>
        </w:numPr>
        <w:spacing w:after="200" w:line="276" w:lineRule="auto"/>
        <w:jc w:val="both"/>
        <w:rPr>
          <w:rFonts w:cs="Arial"/>
          <w:sz w:val="24"/>
          <w:szCs w:val="24"/>
        </w:rPr>
      </w:pPr>
      <w:r w:rsidRPr="00A62945">
        <w:rPr>
          <w:rFonts w:cs="Arial"/>
          <w:sz w:val="24"/>
          <w:szCs w:val="24"/>
        </w:rPr>
        <w:t xml:space="preserve">The business proposed to be conducted will be in the nature of a </w:t>
      </w:r>
      <w:r w:rsidR="00AF04AF" w:rsidRPr="00A62945">
        <w:rPr>
          <w:rFonts w:cs="Arial"/>
          <w:sz w:val="24"/>
          <w:szCs w:val="24"/>
        </w:rPr>
        <w:t>café</w:t>
      </w:r>
      <w:r w:rsidRPr="00A62945">
        <w:rPr>
          <w:rFonts w:cs="Arial"/>
          <w:sz w:val="24"/>
          <w:szCs w:val="24"/>
        </w:rPr>
        <w:t xml:space="preserve"> where alcohol will be ancillary to a meal.  The sale of liquor is proposed to be sold from 11:00 hrs until 23:59 hrs seven days a week</w:t>
      </w:r>
      <w:r w:rsidR="00AF04AF" w:rsidRPr="00A62945">
        <w:rPr>
          <w:rFonts w:cs="Arial"/>
          <w:sz w:val="24"/>
          <w:szCs w:val="24"/>
        </w:rPr>
        <w:t xml:space="preserve"> not</w:t>
      </w:r>
      <w:r w:rsidRPr="00A62945">
        <w:rPr>
          <w:rFonts w:cs="Arial"/>
          <w:sz w:val="24"/>
          <w:szCs w:val="24"/>
        </w:rPr>
        <w:t xml:space="preserve"> including Good Friday and Christmas Day.  </w:t>
      </w:r>
      <w:r w:rsidR="00A62945" w:rsidRPr="00A62945">
        <w:rPr>
          <w:rFonts w:eastAsia="Times New Roman" w:cs="Arial"/>
          <w:sz w:val="24"/>
          <w:szCs w:val="24"/>
          <w:lang w:eastAsia="en-AU"/>
        </w:rPr>
        <w:t>The sale of liquor is to be ancillary to a meal.  The proposed liquor trading hours are longer than the actual café opening hours at the moment but the extended hours will provide the licensee opportunities to undertake evening functions, corporate bookings and expand the business into the future.</w:t>
      </w:r>
      <w:bookmarkStart w:id="1" w:name="_GoBack"/>
      <w:bookmarkEnd w:id="1"/>
    </w:p>
    <w:p w:rsidR="001A58D4" w:rsidRDefault="001A58D4" w:rsidP="001A58D4">
      <w:pPr>
        <w:pStyle w:val="ListParagraph"/>
        <w:spacing w:after="0"/>
        <w:ind w:left="360"/>
        <w:jc w:val="both"/>
        <w:rPr>
          <w:rFonts w:cs="Arial"/>
          <w:sz w:val="24"/>
          <w:szCs w:val="24"/>
        </w:rPr>
      </w:pPr>
    </w:p>
    <w:p w:rsidR="00EB2C95" w:rsidRPr="004443D0" w:rsidRDefault="00EB2C95" w:rsidP="00EB2C95">
      <w:pPr>
        <w:pStyle w:val="ListParagraph"/>
        <w:numPr>
          <w:ilvl w:val="0"/>
          <w:numId w:val="2"/>
        </w:numPr>
        <w:spacing w:after="0"/>
        <w:jc w:val="both"/>
        <w:rPr>
          <w:rFonts w:cs="Arial"/>
          <w:sz w:val="24"/>
          <w:szCs w:val="24"/>
        </w:rPr>
      </w:pPr>
      <w:r w:rsidRPr="004443D0">
        <w:rPr>
          <w:rFonts w:cs="Arial"/>
          <w:sz w:val="24"/>
          <w:szCs w:val="24"/>
        </w:rPr>
        <w:t>The applicant will be the proposed Licensee for the premises.</w:t>
      </w:r>
    </w:p>
    <w:p w:rsidR="00EB2C95" w:rsidRPr="004443D0" w:rsidRDefault="00EB2C95" w:rsidP="00EB2C95">
      <w:pPr>
        <w:pStyle w:val="ListParagraph"/>
        <w:jc w:val="both"/>
        <w:rPr>
          <w:rFonts w:cs="Arial"/>
          <w:sz w:val="24"/>
          <w:szCs w:val="24"/>
        </w:rPr>
      </w:pPr>
    </w:p>
    <w:p w:rsidR="00EB2C95" w:rsidRPr="004443D0" w:rsidRDefault="00EB2C95" w:rsidP="00EB2C95">
      <w:pPr>
        <w:pStyle w:val="ListParagraph"/>
        <w:numPr>
          <w:ilvl w:val="0"/>
          <w:numId w:val="2"/>
        </w:numPr>
        <w:spacing w:after="0"/>
        <w:jc w:val="both"/>
        <w:rPr>
          <w:rFonts w:cs="Arial"/>
          <w:sz w:val="24"/>
          <w:szCs w:val="24"/>
        </w:rPr>
      </w:pPr>
      <w:r w:rsidRPr="004443D0">
        <w:rPr>
          <w:rFonts w:cs="Arial"/>
          <w:sz w:val="24"/>
          <w:szCs w:val="24"/>
        </w:rPr>
        <w:t>The trading name “</w:t>
      </w:r>
      <w:r w:rsidR="00AF04AF">
        <w:rPr>
          <w:rFonts w:cs="Arial"/>
          <w:sz w:val="24"/>
          <w:szCs w:val="24"/>
        </w:rPr>
        <w:t>Besser Kitchen &amp; Brew Bar</w:t>
      </w:r>
      <w:r w:rsidRPr="004443D0">
        <w:rPr>
          <w:rFonts w:cs="Arial"/>
          <w:sz w:val="24"/>
          <w:szCs w:val="24"/>
        </w:rPr>
        <w:t>” is a registered business name held by the applicant.</w:t>
      </w:r>
    </w:p>
    <w:p w:rsidR="00EB2C95" w:rsidRPr="004443D0" w:rsidRDefault="00EB2C95" w:rsidP="00EB2C95">
      <w:pPr>
        <w:pStyle w:val="ListParagraph"/>
        <w:jc w:val="both"/>
        <w:rPr>
          <w:rFonts w:cs="Arial"/>
          <w:sz w:val="24"/>
          <w:szCs w:val="24"/>
        </w:rPr>
      </w:pPr>
    </w:p>
    <w:p w:rsidR="00EB2C95" w:rsidRPr="004443D0" w:rsidRDefault="00AF04AF" w:rsidP="00EB2C95">
      <w:pPr>
        <w:pStyle w:val="ListParagraph"/>
        <w:numPr>
          <w:ilvl w:val="0"/>
          <w:numId w:val="2"/>
        </w:numPr>
        <w:spacing w:after="0"/>
        <w:jc w:val="both"/>
        <w:rPr>
          <w:rFonts w:cs="Arial"/>
          <w:sz w:val="24"/>
          <w:szCs w:val="24"/>
        </w:rPr>
      </w:pPr>
      <w:r>
        <w:rPr>
          <w:rFonts w:cs="Arial"/>
          <w:sz w:val="24"/>
          <w:szCs w:val="24"/>
        </w:rPr>
        <w:t>Ms Lisa Mary Heames</w:t>
      </w:r>
      <w:r w:rsidR="00EB2C95" w:rsidRPr="004443D0">
        <w:rPr>
          <w:rFonts w:cs="Arial"/>
          <w:sz w:val="24"/>
          <w:szCs w:val="24"/>
        </w:rPr>
        <w:t xml:space="preserve"> will be nominee; </w:t>
      </w:r>
      <w:r>
        <w:rPr>
          <w:rFonts w:cs="Arial"/>
          <w:sz w:val="24"/>
          <w:szCs w:val="24"/>
        </w:rPr>
        <w:t>Ms Heames</w:t>
      </w:r>
      <w:r w:rsidR="00EB2C95" w:rsidRPr="004443D0">
        <w:rPr>
          <w:rFonts w:cs="Arial"/>
          <w:sz w:val="24"/>
          <w:szCs w:val="24"/>
        </w:rPr>
        <w:t xml:space="preserve"> has supplied the Director-General with Responsible Service of Alcohol certificates, photo identification, referee reports attesting to good character and work ethics and undertaken the necessary criminal history checks of all relevant directors of </w:t>
      </w:r>
      <w:r>
        <w:rPr>
          <w:rFonts w:cs="Arial"/>
          <w:sz w:val="24"/>
          <w:szCs w:val="24"/>
        </w:rPr>
        <w:t>Dtown</w:t>
      </w:r>
      <w:r w:rsidR="00EB2C95" w:rsidRPr="004443D0">
        <w:rPr>
          <w:rFonts w:cs="Arial"/>
          <w:sz w:val="24"/>
          <w:szCs w:val="24"/>
        </w:rPr>
        <w:t xml:space="preserve"> Group Pty Ltd.   No matters arise from the probity examination of the applicant that would prevent them being granted a liquor licence.</w:t>
      </w:r>
    </w:p>
    <w:p w:rsidR="00EB2C95" w:rsidRPr="004443D0" w:rsidRDefault="00EB2C95" w:rsidP="00EB2C95">
      <w:pPr>
        <w:pStyle w:val="ListParagraph"/>
        <w:jc w:val="both"/>
        <w:rPr>
          <w:rFonts w:cs="Arial"/>
          <w:sz w:val="24"/>
          <w:szCs w:val="24"/>
        </w:rPr>
      </w:pPr>
    </w:p>
    <w:p w:rsidR="00EB2C95" w:rsidRPr="004443D0" w:rsidRDefault="00EB2C95" w:rsidP="00EB2C95">
      <w:pPr>
        <w:pStyle w:val="ListParagraph"/>
        <w:numPr>
          <w:ilvl w:val="0"/>
          <w:numId w:val="2"/>
        </w:numPr>
        <w:spacing w:after="0"/>
        <w:jc w:val="both"/>
        <w:rPr>
          <w:rFonts w:cs="Arial"/>
          <w:sz w:val="24"/>
          <w:szCs w:val="24"/>
        </w:rPr>
      </w:pPr>
      <w:r w:rsidRPr="004443D0">
        <w:rPr>
          <w:rFonts w:cs="Arial"/>
          <w:sz w:val="24"/>
          <w:szCs w:val="24"/>
        </w:rPr>
        <w:t xml:space="preserve">The application was advertised in the Northern Territory News in the correct format on </w:t>
      </w:r>
      <w:r w:rsidR="00AF04AF">
        <w:rPr>
          <w:rFonts w:cs="Arial"/>
          <w:sz w:val="24"/>
          <w:szCs w:val="24"/>
        </w:rPr>
        <w:t>Friday</w:t>
      </w:r>
      <w:r w:rsidRPr="004443D0">
        <w:rPr>
          <w:rFonts w:cs="Arial"/>
          <w:sz w:val="24"/>
          <w:szCs w:val="24"/>
        </w:rPr>
        <w:t xml:space="preserve">, 2 </w:t>
      </w:r>
      <w:r w:rsidR="00AF04AF">
        <w:rPr>
          <w:rFonts w:cs="Arial"/>
          <w:sz w:val="24"/>
          <w:szCs w:val="24"/>
        </w:rPr>
        <w:t>September</w:t>
      </w:r>
      <w:r w:rsidRPr="004443D0">
        <w:rPr>
          <w:rFonts w:cs="Arial"/>
          <w:sz w:val="24"/>
          <w:szCs w:val="24"/>
        </w:rPr>
        <w:t xml:space="preserve"> 2016 and </w:t>
      </w:r>
      <w:r w:rsidR="00AF04AF">
        <w:rPr>
          <w:rFonts w:cs="Arial"/>
          <w:sz w:val="24"/>
          <w:szCs w:val="24"/>
        </w:rPr>
        <w:t>Wednesday</w:t>
      </w:r>
      <w:r w:rsidRPr="004443D0">
        <w:rPr>
          <w:rFonts w:cs="Arial"/>
          <w:sz w:val="24"/>
          <w:szCs w:val="24"/>
        </w:rPr>
        <w:t xml:space="preserve">, </w:t>
      </w:r>
      <w:r w:rsidR="00AF04AF">
        <w:rPr>
          <w:rFonts w:cs="Arial"/>
          <w:sz w:val="24"/>
          <w:szCs w:val="24"/>
        </w:rPr>
        <w:t>7</w:t>
      </w:r>
      <w:r w:rsidRPr="004443D0">
        <w:rPr>
          <w:rFonts w:cs="Arial"/>
          <w:sz w:val="24"/>
          <w:szCs w:val="24"/>
        </w:rPr>
        <w:t xml:space="preserve"> </w:t>
      </w:r>
      <w:r w:rsidR="00AF04AF">
        <w:rPr>
          <w:rFonts w:cs="Arial"/>
          <w:sz w:val="24"/>
          <w:szCs w:val="24"/>
        </w:rPr>
        <w:t>September</w:t>
      </w:r>
      <w:r w:rsidRPr="004443D0">
        <w:rPr>
          <w:rFonts w:cs="Arial"/>
          <w:sz w:val="24"/>
          <w:szCs w:val="24"/>
        </w:rPr>
        <w:t xml:space="preserve"> 2016.  A Green advertising sign was displayed at the proposed premises for the required period.</w:t>
      </w:r>
    </w:p>
    <w:p w:rsidR="00EB2C95" w:rsidRPr="004443D0" w:rsidRDefault="00EB2C95" w:rsidP="00EB2C95">
      <w:pPr>
        <w:pStyle w:val="ListParagraph"/>
        <w:jc w:val="both"/>
        <w:rPr>
          <w:rFonts w:cs="Arial"/>
          <w:sz w:val="24"/>
          <w:szCs w:val="24"/>
        </w:rPr>
      </w:pPr>
    </w:p>
    <w:p w:rsidR="00EB2C95" w:rsidRPr="004443D0" w:rsidRDefault="00EB2C95" w:rsidP="00EB2C95">
      <w:pPr>
        <w:pStyle w:val="ListParagraph"/>
        <w:numPr>
          <w:ilvl w:val="0"/>
          <w:numId w:val="2"/>
        </w:numPr>
        <w:spacing w:after="0"/>
        <w:jc w:val="both"/>
        <w:rPr>
          <w:rFonts w:cs="Arial"/>
          <w:sz w:val="24"/>
          <w:szCs w:val="24"/>
        </w:rPr>
      </w:pPr>
      <w:r w:rsidRPr="004443D0">
        <w:rPr>
          <w:rFonts w:cs="Arial"/>
          <w:sz w:val="24"/>
          <w:szCs w:val="24"/>
        </w:rPr>
        <w:t>No objections were received in relation to this application.</w:t>
      </w:r>
    </w:p>
    <w:p w:rsidR="00EB2C95" w:rsidRPr="004443D0" w:rsidRDefault="00EB2C95" w:rsidP="00EB2C95">
      <w:pPr>
        <w:pStyle w:val="ListParagraph"/>
        <w:jc w:val="both"/>
        <w:rPr>
          <w:rFonts w:cs="Arial"/>
          <w:sz w:val="24"/>
          <w:szCs w:val="24"/>
        </w:rPr>
      </w:pPr>
    </w:p>
    <w:p w:rsidR="00DD72D2"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The Northern Territory Fire and Rescue Service ha</w:t>
      </w:r>
      <w:r w:rsidR="00591056">
        <w:rPr>
          <w:rFonts w:cs="Arial"/>
          <w:sz w:val="24"/>
          <w:szCs w:val="24"/>
        </w:rPr>
        <w:t xml:space="preserve">ve </w:t>
      </w:r>
      <w:r w:rsidR="00464180">
        <w:rPr>
          <w:rFonts w:cs="Arial"/>
          <w:sz w:val="24"/>
          <w:szCs w:val="24"/>
        </w:rPr>
        <w:t xml:space="preserve">advised that the premises are fire compliant and have issued maximum patron number for the </w:t>
      </w:r>
      <w:r w:rsidR="006B633A">
        <w:rPr>
          <w:rFonts w:cs="Arial"/>
          <w:sz w:val="24"/>
          <w:szCs w:val="24"/>
        </w:rPr>
        <w:t>premises</w:t>
      </w:r>
      <w:r w:rsidR="00464180">
        <w:rPr>
          <w:rFonts w:cs="Arial"/>
          <w:sz w:val="24"/>
          <w:szCs w:val="24"/>
        </w:rPr>
        <w:t xml:space="preserve">. They being maximum of 75 patrons inside and 30 patrons outside. </w:t>
      </w:r>
    </w:p>
    <w:p w:rsidR="001567F4" w:rsidRPr="004443D0" w:rsidRDefault="001567F4" w:rsidP="001567F4">
      <w:pPr>
        <w:pStyle w:val="ListParagraph"/>
        <w:spacing w:after="200" w:line="276" w:lineRule="auto"/>
        <w:ind w:left="360"/>
        <w:jc w:val="both"/>
        <w:rPr>
          <w:rFonts w:cs="Arial"/>
          <w:sz w:val="24"/>
          <w:szCs w:val="24"/>
        </w:rPr>
      </w:pPr>
    </w:p>
    <w:p w:rsidR="00F161FF" w:rsidRPr="004443D0" w:rsidRDefault="00DD72D2" w:rsidP="00DD72D2">
      <w:pPr>
        <w:pStyle w:val="Heading2"/>
        <w:spacing w:after="240"/>
      </w:pPr>
      <w:r w:rsidRPr="004443D0">
        <w:t>ASSESSMENT OF MATTER</w:t>
      </w:r>
    </w:p>
    <w:p w:rsidR="00EB2C95" w:rsidRPr="004443D0"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 xml:space="preserve">I have reviewed all the available material submitted in relation to the application and also note that there have been no public objections to the granting of this licence. </w:t>
      </w:r>
    </w:p>
    <w:p w:rsidR="00EB2C95" w:rsidRPr="004443D0" w:rsidRDefault="00EB2C95" w:rsidP="00EB2C95">
      <w:pPr>
        <w:pStyle w:val="ListParagraph"/>
        <w:jc w:val="both"/>
        <w:rPr>
          <w:rFonts w:cs="Arial"/>
          <w:sz w:val="24"/>
          <w:szCs w:val="24"/>
        </w:rPr>
      </w:pPr>
    </w:p>
    <w:p w:rsidR="00DD72D2" w:rsidRPr="004443D0" w:rsidRDefault="00EB2C95" w:rsidP="00EB2C95">
      <w:pPr>
        <w:pStyle w:val="ListParagraph"/>
        <w:numPr>
          <w:ilvl w:val="0"/>
          <w:numId w:val="2"/>
        </w:numPr>
        <w:spacing w:before="120" w:after="0" w:line="276" w:lineRule="auto"/>
        <w:jc w:val="both"/>
        <w:rPr>
          <w:rFonts w:cs="Arial"/>
          <w:sz w:val="24"/>
          <w:szCs w:val="24"/>
        </w:rPr>
      </w:pPr>
      <w:r w:rsidRPr="004443D0">
        <w:rPr>
          <w:rFonts w:cs="Arial"/>
          <w:sz w:val="24"/>
          <w:szCs w:val="24"/>
        </w:rPr>
        <w:t xml:space="preserve">The granting of this licence presents minimal risks given the nature of the operation proposed at the premises. The applicant has provided sufficient evidence regarding this application to meet the requirements prescribed in the Act. </w:t>
      </w:r>
    </w:p>
    <w:p w:rsidR="00EB2C95" w:rsidRPr="004443D0" w:rsidRDefault="00EB2C95" w:rsidP="00EB2C95">
      <w:pPr>
        <w:spacing w:before="120" w:after="0" w:line="276" w:lineRule="auto"/>
        <w:jc w:val="both"/>
        <w:rPr>
          <w:rFonts w:cs="Arial"/>
          <w:sz w:val="24"/>
          <w:szCs w:val="24"/>
        </w:rPr>
      </w:pPr>
    </w:p>
    <w:p w:rsidR="00F161FF" w:rsidRPr="004443D0" w:rsidRDefault="00DD72D2" w:rsidP="00DD72D2">
      <w:pPr>
        <w:pStyle w:val="Heading2"/>
        <w:spacing w:after="240"/>
      </w:pPr>
      <w:r w:rsidRPr="004443D0">
        <w:t>CONSIDERATION CRITERIA</w:t>
      </w:r>
    </w:p>
    <w:p w:rsidR="00EB2C95" w:rsidRPr="004443D0"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All relevant criteria have been considered in this application as outlined in the previous section of this notice, including Sections 6(2), 26, 26A and 28 of the Act.  No issues arise from these considerations that would prevent the approval of this application.</w:t>
      </w:r>
    </w:p>
    <w:p w:rsidR="00DD72D2" w:rsidRPr="004443D0" w:rsidRDefault="00DD72D2" w:rsidP="00EB2C95">
      <w:pPr>
        <w:pStyle w:val="ListParagraph"/>
        <w:spacing w:after="240"/>
        <w:ind w:left="567"/>
        <w:contextualSpacing w:val="0"/>
      </w:pPr>
    </w:p>
    <w:p w:rsidR="00DD72D2" w:rsidRPr="004443D0" w:rsidRDefault="00DD72D2" w:rsidP="00DD72D2">
      <w:pPr>
        <w:pStyle w:val="Heading2"/>
        <w:spacing w:after="240"/>
      </w:pPr>
      <w:r w:rsidRPr="004443D0">
        <w:lastRenderedPageBreak/>
        <w:t>SUMMARY</w:t>
      </w:r>
    </w:p>
    <w:p w:rsidR="00ED574D" w:rsidRDefault="00ED574D" w:rsidP="00EB2C95">
      <w:pPr>
        <w:pStyle w:val="ListParagraph"/>
        <w:numPr>
          <w:ilvl w:val="0"/>
          <w:numId w:val="2"/>
        </w:numPr>
        <w:spacing w:after="200" w:line="276" w:lineRule="auto"/>
        <w:jc w:val="both"/>
        <w:rPr>
          <w:rFonts w:cs="Arial"/>
          <w:sz w:val="24"/>
          <w:szCs w:val="24"/>
        </w:rPr>
      </w:pPr>
      <w:r>
        <w:rPr>
          <w:rFonts w:cs="Arial"/>
          <w:sz w:val="24"/>
          <w:szCs w:val="24"/>
        </w:rPr>
        <w:t>Having considered the application and noting that no objections from the public were received in relation to the application, I am satisfied that there are no public interest factors which ought to prohibit the grant of a licence in this case.</w:t>
      </w:r>
    </w:p>
    <w:p w:rsidR="0043588A" w:rsidRDefault="0043588A" w:rsidP="0043588A">
      <w:pPr>
        <w:pStyle w:val="ListParagraph"/>
        <w:spacing w:after="200" w:line="276" w:lineRule="auto"/>
        <w:ind w:left="360"/>
        <w:jc w:val="both"/>
        <w:rPr>
          <w:rFonts w:cs="Arial"/>
          <w:sz w:val="24"/>
          <w:szCs w:val="24"/>
        </w:rPr>
      </w:pPr>
    </w:p>
    <w:p w:rsidR="00DD72D2" w:rsidRPr="004443D0"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 xml:space="preserve">The premises are suitable for the category of liquor licence requested.  There appears no valid reason to refuse this application. </w:t>
      </w:r>
    </w:p>
    <w:p w:rsidR="00DD72D2" w:rsidRPr="004443D0" w:rsidRDefault="00DD72D2">
      <w:pPr>
        <w:spacing w:after="0"/>
        <w:rPr>
          <w:b/>
        </w:rPr>
      </w:pPr>
    </w:p>
    <w:p w:rsidR="00DD72D2" w:rsidRPr="004443D0" w:rsidRDefault="00DD72D2" w:rsidP="00DD72D2">
      <w:pPr>
        <w:pStyle w:val="Heading2"/>
        <w:spacing w:after="240"/>
      </w:pPr>
      <w:r w:rsidRPr="004443D0">
        <w:t>DECISION</w:t>
      </w:r>
    </w:p>
    <w:p w:rsidR="00DD72D2" w:rsidRDefault="00EB2C95" w:rsidP="00EB2C95">
      <w:pPr>
        <w:pStyle w:val="ListParagraph"/>
        <w:numPr>
          <w:ilvl w:val="0"/>
          <w:numId w:val="2"/>
        </w:numPr>
        <w:spacing w:after="200" w:line="276" w:lineRule="auto"/>
        <w:jc w:val="both"/>
        <w:rPr>
          <w:rFonts w:cs="Arial"/>
          <w:sz w:val="24"/>
          <w:szCs w:val="24"/>
        </w:rPr>
      </w:pPr>
      <w:r w:rsidRPr="004443D0">
        <w:rPr>
          <w:rFonts w:cs="Arial"/>
          <w:sz w:val="24"/>
          <w:szCs w:val="24"/>
        </w:rPr>
        <w:t>The decision is to grant a liquor licence as particularised in the application</w:t>
      </w:r>
      <w:r w:rsidR="00464180">
        <w:rPr>
          <w:rFonts w:cs="Arial"/>
          <w:sz w:val="24"/>
          <w:szCs w:val="24"/>
        </w:rPr>
        <w:t>.</w:t>
      </w:r>
      <w:r w:rsidRPr="004443D0">
        <w:rPr>
          <w:rFonts w:cs="Arial"/>
          <w:sz w:val="24"/>
          <w:szCs w:val="24"/>
        </w:rPr>
        <w:t xml:space="preserve">  The licence will be issued immediately following the publication of this decision. </w:t>
      </w:r>
    </w:p>
    <w:p w:rsidR="00464180" w:rsidRPr="004443D0" w:rsidRDefault="00464180" w:rsidP="00464180">
      <w:pPr>
        <w:pStyle w:val="ListParagraph"/>
        <w:spacing w:after="200" w:line="276" w:lineRule="auto"/>
        <w:ind w:left="360"/>
        <w:jc w:val="both"/>
        <w:rPr>
          <w:rFonts w:cs="Arial"/>
          <w:sz w:val="24"/>
          <w:szCs w:val="24"/>
        </w:rPr>
      </w:pPr>
    </w:p>
    <w:p w:rsidR="00DD72D2" w:rsidRPr="004443D0" w:rsidRDefault="00DD72D2" w:rsidP="00DD72D2">
      <w:pPr>
        <w:pStyle w:val="Heading2"/>
        <w:spacing w:after="240"/>
      </w:pPr>
      <w:r w:rsidRPr="004443D0">
        <w:t>REVIEW OF DECISION</w:t>
      </w:r>
    </w:p>
    <w:p w:rsidR="00EB2C95" w:rsidRPr="004443D0" w:rsidRDefault="00EB2C95" w:rsidP="00EB2C95">
      <w:pPr>
        <w:pStyle w:val="ListParagraph"/>
        <w:numPr>
          <w:ilvl w:val="0"/>
          <w:numId w:val="2"/>
        </w:numPr>
        <w:spacing w:after="200" w:line="276" w:lineRule="auto"/>
        <w:jc w:val="both"/>
        <w:rPr>
          <w:rFonts w:cs="Arial"/>
          <w:i/>
          <w:sz w:val="24"/>
          <w:szCs w:val="24"/>
        </w:rPr>
      </w:pPr>
      <w:r w:rsidRPr="004443D0">
        <w:rPr>
          <w:rFonts w:cs="Arial"/>
          <w:sz w:val="24"/>
          <w:szCs w:val="24"/>
        </w:rPr>
        <w:t>Section</w:t>
      </w:r>
      <w:r w:rsidRPr="004443D0">
        <w:t xml:space="preserve"> </w:t>
      </w:r>
      <w:r w:rsidRPr="004443D0">
        <w:rPr>
          <w:rFonts w:cs="Arial"/>
          <w:sz w:val="24"/>
          <w:szCs w:val="24"/>
        </w:rPr>
        <w:t xml:space="preserve">8 of the </w:t>
      </w:r>
      <w:r w:rsidRPr="004443D0">
        <w:rPr>
          <w:rFonts w:cs="Arial"/>
          <w:i/>
          <w:sz w:val="24"/>
          <w:szCs w:val="24"/>
        </w:rPr>
        <w:t>Licensing (Director-General) Act</w:t>
      </w:r>
      <w:r w:rsidRPr="004443D0">
        <w:rPr>
          <w:rFonts w:cs="Arial"/>
          <w:sz w:val="24"/>
          <w:szCs w:val="24"/>
        </w:rPr>
        <w:t xml:space="preserve"> prescribes a delegate decision is a decision, under any Act, of the Director-General that is made by a delegate of the Director-General.  The Director-General delegated the determination of applications made under Section 29 of the </w:t>
      </w:r>
      <w:r w:rsidRPr="004443D0">
        <w:rPr>
          <w:rFonts w:cs="Arial"/>
          <w:i/>
          <w:sz w:val="24"/>
          <w:szCs w:val="24"/>
        </w:rPr>
        <w:t>Liquor Act</w:t>
      </w:r>
      <w:r w:rsidRPr="004443D0">
        <w:rPr>
          <w:rFonts w:cs="Arial"/>
          <w:sz w:val="24"/>
          <w:szCs w:val="24"/>
        </w:rPr>
        <w:t xml:space="preserve"> by instrument to the person from time to time holding, acting in or performing the duties of the position in the Department of </w:t>
      </w:r>
      <w:r w:rsidR="006305FA">
        <w:rPr>
          <w:rFonts w:cs="Arial"/>
          <w:sz w:val="24"/>
          <w:szCs w:val="24"/>
        </w:rPr>
        <w:t>the Attorney-General and Justice</w:t>
      </w:r>
      <w:r w:rsidRPr="004443D0">
        <w:rPr>
          <w:rFonts w:cs="Arial"/>
          <w:sz w:val="24"/>
          <w:szCs w:val="24"/>
        </w:rPr>
        <w:t xml:space="preserve"> specified in Schedule 2 of that instrument.  This decision was made by a person referred to in that schedule.  Section 10 of the </w:t>
      </w:r>
      <w:r w:rsidRPr="004443D0">
        <w:rPr>
          <w:rFonts w:cs="Arial"/>
          <w:i/>
          <w:sz w:val="24"/>
          <w:szCs w:val="24"/>
        </w:rPr>
        <w:t xml:space="preserve">Licensing (Director-General) Act </w:t>
      </w:r>
      <w:r w:rsidRPr="004443D0">
        <w:rPr>
          <w:rFonts w:cs="Arial"/>
          <w:sz w:val="24"/>
          <w:szCs w:val="24"/>
        </w:rPr>
        <w:t xml:space="preserve">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Pr="004443D0">
        <w:rPr>
          <w:rFonts w:cs="Arial"/>
          <w:i/>
          <w:sz w:val="24"/>
          <w:szCs w:val="24"/>
        </w:rPr>
        <w:t>Licensing (Director-General) Act</w:t>
      </w:r>
      <w:r w:rsidRPr="004443D0">
        <w:rPr>
          <w:rFonts w:cs="Arial"/>
          <w:sz w:val="24"/>
          <w:szCs w:val="24"/>
        </w:rPr>
        <w:t xml:space="preserve"> prescribes an affected person for a delegate decision to be the applicant for the special licence and a person who made a submission, complaint or objection (however described) during the process that resulted in the decision being made.</w:t>
      </w:r>
    </w:p>
    <w:p w:rsidR="00EB2C95" w:rsidRPr="004443D0" w:rsidRDefault="00EB2C95" w:rsidP="00EB2C95">
      <w:pPr>
        <w:pStyle w:val="ListParagraph"/>
        <w:jc w:val="both"/>
        <w:rPr>
          <w:rFonts w:cs="Arial"/>
          <w:i/>
          <w:sz w:val="24"/>
          <w:szCs w:val="24"/>
        </w:rPr>
      </w:pPr>
    </w:p>
    <w:p w:rsidR="00EB2C95" w:rsidRPr="00C16BED" w:rsidRDefault="00EB2C95" w:rsidP="00EB2C95">
      <w:pPr>
        <w:pStyle w:val="ListParagraph"/>
        <w:numPr>
          <w:ilvl w:val="0"/>
          <w:numId w:val="2"/>
        </w:numPr>
        <w:spacing w:after="200" w:line="276" w:lineRule="auto"/>
        <w:jc w:val="both"/>
        <w:rPr>
          <w:rFonts w:cs="Arial"/>
          <w:sz w:val="24"/>
          <w:szCs w:val="24"/>
        </w:rPr>
      </w:pPr>
      <w:r w:rsidRPr="00C16BED">
        <w:rPr>
          <w:rFonts w:cs="Arial"/>
          <w:sz w:val="24"/>
          <w:szCs w:val="24"/>
        </w:rPr>
        <w:t>Accordingly, the affected persons i</w:t>
      </w:r>
      <w:r w:rsidR="00204E61" w:rsidRPr="00C16BED">
        <w:rPr>
          <w:rFonts w:cs="Arial"/>
          <w:sz w:val="24"/>
          <w:szCs w:val="24"/>
        </w:rPr>
        <w:t>n relation to this decision are</w:t>
      </w:r>
      <w:r w:rsidRPr="00C16BED">
        <w:rPr>
          <w:rFonts w:cs="Arial"/>
          <w:sz w:val="24"/>
          <w:szCs w:val="24"/>
        </w:rPr>
        <w:t xml:space="preserve"> </w:t>
      </w:r>
      <w:r w:rsidR="00204E61" w:rsidRPr="00C16BED">
        <w:rPr>
          <w:rFonts w:cs="Arial"/>
          <w:sz w:val="24"/>
          <w:szCs w:val="24"/>
        </w:rPr>
        <w:t>Dtown Group</w:t>
      </w:r>
      <w:r w:rsidRPr="00C16BED">
        <w:rPr>
          <w:rFonts w:cs="Arial"/>
          <w:sz w:val="24"/>
          <w:szCs w:val="24"/>
        </w:rPr>
        <w:t xml:space="preserve"> Pty Ltd.</w:t>
      </w:r>
    </w:p>
    <w:p w:rsidR="00DD72D2" w:rsidRPr="004443D0" w:rsidRDefault="00EB2C95" w:rsidP="001E6FF6">
      <w:pPr>
        <w:spacing w:before="1600" w:after="0"/>
        <w:rPr>
          <w:b/>
        </w:rPr>
      </w:pPr>
      <w:r w:rsidRPr="004443D0">
        <w:rPr>
          <w:b/>
        </w:rPr>
        <w:t>Sally Ozolins</w:t>
      </w:r>
    </w:p>
    <w:p w:rsidR="00C60FEB" w:rsidRDefault="00EB2C95" w:rsidP="00C60FEB">
      <w:pPr>
        <w:spacing w:after="240"/>
      </w:pPr>
      <w:r w:rsidRPr="004443D0">
        <w:t xml:space="preserve">Deputy </w:t>
      </w:r>
      <w:r w:rsidR="00DD72D2" w:rsidRPr="004443D0">
        <w:t xml:space="preserve">Director-General </w:t>
      </w:r>
      <w:r w:rsidR="00C60FEB">
        <w:t>(Operations)</w:t>
      </w:r>
    </w:p>
    <w:p w:rsidR="00DD72D2" w:rsidRPr="004443D0" w:rsidRDefault="00C60FEB" w:rsidP="00C60FEB">
      <w:pPr>
        <w:spacing w:after="240"/>
      </w:pPr>
      <w:r>
        <w:t xml:space="preserve">10 </w:t>
      </w:r>
      <w:r w:rsidR="00331134">
        <w:t>November</w:t>
      </w:r>
      <w:r w:rsidR="00EB2C95" w:rsidRPr="004443D0">
        <w:t xml:space="preserve"> 2016</w:t>
      </w:r>
    </w:p>
    <w:sectPr w:rsidR="00DD72D2" w:rsidRPr="004443D0" w:rsidSect="004443D0">
      <w:headerReference w:type="default" r:id="rId12"/>
      <w:footerReference w:type="default" r:id="rId13"/>
      <w:headerReference w:type="first" r:id="rId14"/>
      <w:footerReference w:type="first" r:id="rId15"/>
      <w:pgSz w:w="11906" w:h="16838"/>
      <w:pgMar w:top="397" w:right="1134" w:bottom="1440" w:left="1134" w:header="284"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D99" w:rsidRDefault="009A6D99" w:rsidP="003E58C0">
      <w:pPr>
        <w:spacing w:after="0"/>
      </w:pPr>
      <w:r>
        <w:separator/>
      </w:r>
    </w:p>
  </w:endnote>
  <w:endnote w:type="continuationSeparator" w:id="0">
    <w:p w:rsidR="009A6D99" w:rsidRDefault="009A6D99"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99" w:rsidRPr="00825D0D" w:rsidRDefault="00426B99" w:rsidP="00426B99">
    <w:pPr>
      <w:pBdr>
        <w:top w:val="single" w:sz="4" w:space="1" w:color="auto"/>
      </w:pBdr>
      <w:tabs>
        <w:tab w:val="right" w:pos="9638"/>
      </w:tabs>
      <w:spacing w:after="0"/>
      <w:rPr>
        <w:sz w:val="18"/>
        <w:szCs w:val="18"/>
      </w:rPr>
    </w:pPr>
    <w:r w:rsidRPr="00825D0D">
      <w:rPr>
        <w:sz w:val="18"/>
        <w:szCs w:val="18"/>
      </w:rPr>
      <w:t xml:space="preserve">Decision for </w:t>
    </w:r>
    <w:r>
      <w:rPr>
        <w:sz w:val="18"/>
        <w:szCs w:val="18"/>
      </w:rPr>
      <w:t>Besser Kitchen &amp; Brew Bar</w:t>
    </w:r>
    <w:r w:rsidRPr="00825D0D">
      <w:rPr>
        <w:sz w:val="18"/>
        <w:szCs w:val="18"/>
      </w:rPr>
      <w:tab/>
    </w:r>
    <w:r>
      <w:rPr>
        <w:sz w:val="18"/>
        <w:szCs w:val="18"/>
      </w:rPr>
      <w:t>Date of Decision:  10 November 2016</w:t>
    </w:r>
  </w:p>
  <w:p w:rsidR="00426B99" w:rsidRPr="00825D0D" w:rsidRDefault="00426B99" w:rsidP="00426B99">
    <w:pPr>
      <w:tabs>
        <w:tab w:val="right" w:pos="9638"/>
      </w:tabs>
      <w:rPr>
        <w:sz w:val="18"/>
        <w:szCs w:val="18"/>
      </w:rPr>
    </w:pPr>
    <w:r w:rsidRPr="00825D0D">
      <w:rPr>
        <w:sz w:val="18"/>
        <w:szCs w:val="18"/>
      </w:rPr>
      <w:t xml:space="preserve">Ref# </w:t>
    </w:r>
    <w:r>
      <w:rPr>
        <w:sz w:val="18"/>
        <w:szCs w:val="18"/>
      </w:rPr>
      <w:t>DOB2016/13879</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824A25">
      <w:rPr>
        <w:noProof/>
        <w:sz w:val="18"/>
        <w:szCs w:val="18"/>
      </w:rPr>
      <w:t>2</w:t>
    </w:r>
    <w:r w:rsidRPr="00825D0D">
      <w:rPr>
        <w:noProof/>
        <w:sz w:val="18"/>
        <w:szCs w:val="18"/>
      </w:rPr>
      <w:fldChar w:fldCharType="end"/>
    </w:r>
  </w:p>
  <w:p w:rsidR="00A66342" w:rsidRPr="00426B99" w:rsidRDefault="00426B99" w:rsidP="00426B99">
    <w:pPr>
      <w:tabs>
        <w:tab w:val="left" w:pos="4536"/>
        <w:tab w:val="left" w:pos="6946"/>
      </w:tabs>
      <w:jc w:val="right"/>
      <w:rPr>
        <w:sz w:val="15"/>
        <w:szCs w:val="15"/>
      </w:rPr>
    </w:pPr>
    <w:r w:rsidRPr="00F23CE7">
      <w:rPr>
        <w:rFonts w:ascii="Lato Black" w:hAnsi="Lato Black"/>
        <w:b/>
        <w:sz w:val="16"/>
        <w:szCs w:val="16"/>
      </w:rPr>
      <w:t>http://www.nt.gov.au/justice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0D" w:rsidRPr="00825D0D" w:rsidRDefault="00825D0D" w:rsidP="00825D0D">
    <w:pPr>
      <w:pBdr>
        <w:top w:val="single" w:sz="4" w:space="1" w:color="auto"/>
      </w:pBdr>
      <w:tabs>
        <w:tab w:val="right" w:pos="9638"/>
      </w:tabs>
      <w:spacing w:after="0"/>
      <w:rPr>
        <w:sz w:val="18"/>
        <w:szCs w:val="18"/>
      </w:rPr>
    </w:pPr>
    <w:r w:rsidRPr="00825D0D">
      <w:rPr>
        <w:sz w:val="18"/>
        <w:szCs w:val="18"/>
      </w:rPr>
      <w:t xml:space="preserve">Decision for </w:t>
    </w:r>
    <w:r w:rsidR="004443D0">
      <w:rPr>
        <w:sz w:val="18"/>
        <w:szCs w:val="18"/>
      </w:rPr>
      <w:t>Besser Kitchen &amp; Brew Bar</w:t>
    </w:r>
    <w:r w:rsidRPr="00825D0D">
      <w:rPr>
        <w:sz w:val="18"/>
        <w:szCs w:val="18"/>
      </w:rPr>
      <w:tab/>
    </w:r>
    <w:r w:rsidR="00591056">
      <w:rPr>
        <w:sz w:val="18"/>
        <w:szCs w:val="18"/>
      </w:rPr>
      <w:t xml:space="preserve">Date of Decision: </w:t>
    </w:r>
    <w:r w:rsidR="00331134">
      <w:rPr>
        <w:sz w:val="18"/>
        <w:szCs w:val="18"/>
      </w:rPr>
      <w:t xml:space="preserve"> </w:t>
    </w:r>
    <w:r w:rsidR="00426B99">
      <w:rPr>
        <w:sz w:val="18"/>
        <w:szCs w:val="18"/>
      </w:rPr>
      <w:t xml:space="preserve">10 </w:t>
    </w:r>
    <w:r w:rsidR="00331134">
      <w:rPr>
        <w:sz w:val="18"/>
        <w:szCs w:val="18"/>
      </w:rPr>
      <w:t>November</w:t>
    </w:r>
    <w:r w:rsidR="004443D0">
      <w:rPr>
        <w:sz w:val="18"/>
        <w:szCs w:val="18"/>
      </w:rPr>
      <w:t xml:space="preserve"> 2016</w:t>
    </w:r>
  </w:p>
  <w:p w:rsidR="00825D0D" w:rsidRPr="00825D0D" w:rsidRDefault="00825D0D" w:rsidP="00825D0D">
    <w:pPr>
      <w:tabs>
        <w:tab w:val="right" w:pos="9638"/>
      </w:tabs>
      <w:rPr>
        <w:sz w:val="18"/>
        <w:szCs w:val="18"/>
      </w:rPr>
    </w:pPr>
    <w:r w:rsidRPr="00825D0D">
      <w:rPr>
        <w:sz w:val="18"/>
        <w:szCs w:val="18"/>
      </w:rPr>
      <w:t xml:space="preserve">Ref# </w:t>
    </w:r>
    <w:r w:rsidR="004443D0">
      <w:rPr>
        <w:sz w:val="18"/>
        <w:szCs w:val="18"/>
      </w:rPr>
      <w:t>DOB2016/13879</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824A25">
      <w:rPr>
        <w:noProof/>
        <w:sz w:val="18"/>
        <w:szCs w:val="18"/>
      </w:rPr>
      <w:t>1</w:t>
    </w:r>
    <w:r w:rsidRPr="00825D0D">
      <w:rPr>
        <w:noProof/>
        <w:sz w:val="18"/>
        <w:szCs w:val="18"/>
      </w:rPr>
      <w:fldChar w:fldCharType="end"/>
    </w:r>
  </w:p>
  <w:p w:rsidR="00A66342" w:rsidRPr="00825D0D" w:rsidRDefault="00825D0D" w:rsidP="00825D0D">
    <w:pPr>
      <w:tabs>
        <w:tab w:val="left" w:pos="4536"/>
        <w:tab w:val="left" w:pos="6946"/>
      </w:tabs>
      <w:jc w:val="right"/>
      <w:rPr>
        <w:sz w:val="15"/>
        <w:szCs w:val="15"/>
      </w:rPr>
    </w:pPr>
    <w:r w:rsidRPr="00F23CE7">
      <w:rPr>
        <w:rFonts w:ascii="Lato Black" w:hAnsi="Lato Black"/>
        <w:b/>
        <w:sz w:val="16"/>
        <w:szCs w:val="16"/>
      </w:rPr>
      <w:t>http://www.nt.gov.au/justice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D99" w:rsidRDefault="009A6D99" w:rsidP="003E58C0">
      <w:pPr>
        <w:spacing w:after="0"/>
      </w:pPr>
      <w:r>
        <w:separator/>
      </w:r>
    </w:p>
  </w:footnote>
  <w:footnote w:type="continuationSeparator" w:id="0">
    <w:p w:rsidR="009A6D99" w:rsidRDefault="009A6D99"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F0" w:rsidRDefault="008C03F0" w:rsidP="008C03F0">
    <w:pPr>
      <w:pStyle w:val="Header"/>
      <w:tabs>
        <w:tab w:val="clear" w:pos="4513"/>
        <w:tab w:val="clear" w:pos="9026"/>
      </w:tabs>
    </w:pPr>
  </w:p>
  <w:p w:rsidR="00824A25" w:rsidRDefault="00824A25" w:rsidP="008C03F0">
    <w:pPr>
      <w:pStyle w:val="Header"/>
      <w:tabs>
        <w:tab w:val="clear" w:pos="4513"/>
        <w:tab w:val="clear" w:pos="9026"/>
      </w:tabs>
    </w:pPr>
  </w:p>
  <w:p w:rsidR="00824A25" w:rsidRDefault="00824A25"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42" w:rsidRPr="00611615" w:rsidRDefault="00F86B64" w:rsidP="003E53D3">
    <w:pPr>
      <w:pStyle w:val="Header"/>
      <w:spacing w:before="840"/>
    </w:pPr>
    <w:r>
      <w:rPr>
        <w:noProof/>
        <w:szCs w:val="20"/>
        <w:lang w:eastAsia="en-AU"/>
      </w:rPr>
      <w:drawing>
        <wp:anchor distT="0" distB="0" distL="114300" distR="114300" simplePos="0" relativeHeight="251659264" behindDoc="0" locked="0" layoutInCell="1" allowOverlap="1" wp14:anchorId="06B02B3F" wp14:editId="2F77D280">
          <wp:simplePos x="0" y="0"/>
          <wp:positionH relativeFrom="column">
            <wp:posOffset>-204470</wp:posOffset>
          </wp:positionH>
          <wp:positionV relativeFrom="paragraph">
            <wp:posOffset>-168083</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9274851"/>
    <w:multiLevelType w:val="hybridMultilevel"/>
    <w:tmpl w:val="0490535A"/>
    <w:lvl w:ilvl="0" w:tplc="304AF67E">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FF13C54"/>
    <w:multiLevelType w:val="hybridMultilevel"/>
    <w:tmpl w:val="FD3C7316"/>
    <w:lvl w:ilvl="0" w:tplc="6CB2626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99"/>
    <w:rsid w:val="00154B6F"/>
    <w:rsid w:val="001567F4"/>
    <w:rsid w:val="001606E6"/>
    <w:rsid w:val="001715D6"/>
    <w:rsid w:val="001A58D4"/>
    <w:rsid w:val="001E6FF6"/>
    <w:rsid w:val="00204E61"/>
    <w:rsid w:val="002D2C9C"/>
    <w:rsid w:val="00331134"/>
    <w:rsid w:val="003E309D"/>
    <w:rsid w:val="003E53D3"/>
    <w:rsid w:val="003E58C0"/>
    <w:rsid w:val="00424BE1"/>
    <w:rsid w:val="00426B99"/>
    <w:rsid w:val="0043588A"/>
    <w:rsid w:val="004443D0"/>
    <w:rsid w:val="004500C5"/>
    <w:rsid w:val="00464180"/>
    <w:rsid w:val="004827C5"/>
    <w:rsid w:val="004E6CA3"/>
    <w:rsid w:val="00516B5B"/>
    <w:rsid w:val="0052306C"/>
    <w:rsid w:val="00591056"/>
    <w:rsid w:val="005A0B41"/>
    <w:rsid w:val="00600B95"/>
    <w:rsid w:val="00611615"/>
    <w:rsid w:val="006305FA"/>
    <w:rsid w:val="0063134A"/>
    <w:rsid w:val="006506E0"/>
    <w:rsid w:val="00690008"/>
    <w:rsid w:val="006A0B9A"/>
    <w:rsid w:val="006B2C78"/>
    <w:rsid w:val="006B633A"/>
    <w:rsid w:val="00731CC0"/>
    <w:rsid w:val="0073515A"/>
    <w:rsid w:val="0078053C"/>
    <w:rsid w:val="00824A25"/>
    <w:rsid w:val="00825D0D"/>
    <w:rsid w:val="008C03F0"/>
    <w:rsid w:val="008E1EBA"/>
    <w:rsid w:val="009519BE"/>
    <w:rsid w:val="009A6D99"/>
    <w:rsid w:val="009C5D09"/>
    <w:rsid w:val="009E34D5"/>
    <w:rsid w:val="00A62945"/>
    <w:rsid w:val="00A66342"/>
    <w:rsid w:val="00AC5014"/>
    <w:rsid w:val="00AF04AF"/>
    <w:rsid w:val="00B35447"/>
    <w:rsid w:val="00B6236A"/>
    <w:rsid w:val="00B83B43"/>
    <w:rsid w:val="00BD424D"/>
    <w:rsid w:val="00C16BED"/>
    <w:rsid w:val="00C60FEB"/>
    <w:rsid w:val="00C9103C"/>
    <w:rsid w:val="00D402F0"/>
    <w:rsid w:val="00D7349E"/>
    <w:rsid w:val="00DB5506"/>
    <w:rsid w:val="00DD72D2"/>
    <w:rsid w:val="00E30632"/>
    <w:rsid w:val="00E673ED"/>
    <w:rsid w:val="00EB2C95"/>
    <w:rsid w:val="00ED574D"/>
    <w:rsid w:val="00F161FF"/>
    <w:rsid w:val="00F75669"/>
    <w:rsid w:val="00F86B64"/>
    <w:rsid w:val="00FA6635"/>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uiPriority w:val="9"/>
    <w:unhideWhenUsed/>
    <w:qFormat/>
    <w:rsid w:val="00731CC0"/>
    <w:pPr>
      <w:keepNext/>
      <w:keepLines/>
      <w:spacing w:after="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731CC0"/>
    <w:rPr>
      <w:rFonts w:ascii="Lato" w:eastAsia="Times New Roman" w:hAnsi="Lato" w:cs="Times New Roman"/>
      <w:b/>
      <w:bCs/>
      <w:color w:val="606060"/>
      <w:sz w:val="28"/>
      <w:szCs w:val="26"/>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gd\Desktop\Director-General%20Decision%20Notice%20Template%20(DAG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3f1acef0-744d-4246-9640-1b1641e99d0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13610-7DC2-49BE-B6FA-2012345C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Director-General Decision Notice Template (DAGJ)</Template>
  <TotalTime>6</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Director-General Decision Notice Template</dc:title>
  <dc:creator>Magdelaine Breed</dc:creator>
  <cp:lastModifiedBy>Karen Gerschwitz</cp:lastModifiedBy>
  <cp:revision>10</cp:revision>
  <cp:lastPrinted>2016-10-11T02:33:00Z</cp:lastPrinted>
  <dcterms:created xsi:type="dcterms:W3CDTF">2016-12-08T06:07:00Z</dcterms:created>
  <dcterms:modified xsi:type="dcterms:W3CDTF">2016-12-12T06:53:00Z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