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C26AA1" w:rsidRDefault="003B38E2" w:rsidP="00DB64C1">
      <w:pPr>
        <w:keepNext/>
        <w:pBdr>
          <w:bottom w:val="single" w:sz="12" w:space="6" w:color="auto"/>
        </w:pBdr>
        <w:spacing w:after="120"/>
        <w:jc w:val="center"/>
        <w:outlineLvl w:val="0"/>
        <w:rPr>
          <w:rFonts w:ascii="Arial" w:hAnsi="Arial"/>
          <w:b/>
          <w:bCs/>
          <w:kern w:val="32"/>
          <w:sz w:val="32"/>
          <w:szCs w:val="32"/>
        </w:rPr>
      </w:pPr>
      <w:r w:rsidRPr="00C26AA1">
        <w:rPr>
          <w:rFonts w:ascii="Arial" w:hAnsi="Arial"/>
          <w:b/>
          <w:bCs/>
          <w:kern w:val="32"/>
          <w:sz w:val="32"/>
          <w:szCs w:val="32"/>
        </w:rPr>
        <w:t>Reasons for Decision</w:t>
      </w:r>
    </w:p>
    <w:p w:rsidR="00DB64C1" w:rsidRPr="006F387B" w:rsidRDefault="00DB64C1" w:rsidP="003B38E2">
      <w:pPr>
        <w:overflowPunct w:val="0"/>
        <w:autoSpaceDE w:val="0"/>
        <w:autoSpaceDN w:val="0"/>
        <w:adjustRightInd w:val="0"/>
        <w:spacing w:after="200"/>
        <w:ind w:left="2835" w:hanging="2835"/>
        <w:outlineLvl w:val="0"/>
        <w:rPr>
          <w:rFonts w:ascii="Arial" w:hAnsi="Arial" w:cs="Arial"/>
          <w:sz w:val="22"/>
          <w:szCs w:val="22"/>
        </w:rPr>
      </w:pPr>
      <w:r w:rsidRPr="006F387B">
        <w:rPr>
          <w:rFonts w:ascii="Arial" w:hAnsi="Arial" w:cs="Arial"/>
          <w:b/>
          <w:sz w:val="22"/>
          <w:szCs w:val="22"/>
        </w:rPr>
        <w:t>Complainant:</w:t>
      </w:r>
      <w:r w:rsidRPr="006F387B">
        <w:rPr>
          <w:rFonts w:ascii="Arial" w:hAnsi="Arial" w:cs="Arial"/>
          <w:b/>
          <w:sz w:val="22"/>
          <w:szCs w:val="22"/>
        </w:rPr>
        <w:tab/>
      </w:r>
      <w:r w:rsidR="00364A28" w:rsidRPr="006F387B">
        <w:rPr>
          <w:rFonts w:ascii="Arial" w:hAnsi="Arial" w:cs="Arial"/>
          <w:sz w:val="22"/>
          <w:szCs w:val="22"/>
        </w:rPr>
        <w:t xml:space="preserve">Mr </w:t>
      </w:r>
      <w:r w:rsidR="00754790">
        <w:rPr>
          <w:rFonts w:ascii="Arial" w:hAnsi="Arial" w:cs="Arial"/>
          <w:sz w:val="22"/>
          <w:szCs w:val="22"/>
        </w:rPr>
        <w:t>M</w:t>
      </w:r>
      <w:r w:rsidR="00B04326" w:rsidRPr="006F387B">
        <w:rPr>
          <w:rFonts w:ascii="Arial" w:hAnsi="Arial" w:cs="Arial"/>
          <w:sz w:val="22"/>
          <w:szCs w:val="22"/>
        </w:rPr>
        <w:t xml:space="preserve"> </w:t>
      </w:r>
    </w:p>
    <w:p w:rsidR="003B38E2" w:rsidRPr="006F387B" w:rsidRDefault="003B38E2" w:rsidP="003B38E2">
      <w:pPr>
        <w:overflowPunct w:val="0"/>
        <w:autoSpaceDE w:val="0"/>
        <w:autoSpaceDN w:val="0"/>
        <w:adjustRightInd w:val="0"/>
        <w:spacing w:after="200"/>
        <w:ind w:left="2835" w:hanging="2835"/>
        <w:outlineLvl w:val="0"/>
        <w:rPr>
          <w:rFonts w:ascii="Arial" w:hAnsi="Arial" w:cs="Arial"/>
          <w:sz w:val="22"/>
          <w:szCs w:val="22"/>
          <w:lang w:val="en-GB"/>
        </w:rPr>
      </w:pPr>
      <w:r w:rsidRPr="006F387B">
        <w:rPr>
          <w:rFonts w:ascii="Arial" w:hAnsi="Arial" w:cs="Arial"/>
          <w:b/>
          <w:sz w:val="22"/>
          <w:szCs w:val="22"/>
        </w:rPr>
        <w:t>Licensee</w:t>
      </w:r>
      <w:r w:rsidRPr="006F387B">
        <w:rPr>
          <w:rFonts w:ascii="Arial" w:hAnsi="Arial" w:cs="Arial"/>
          <w:b/>
          <w:sz w:val="22"/>
          <w:szCs w:val="22"/>
          <w:lang w:val="en-GB"/>
        </w:rPr>
        <w:t>:</w:t>
      </w:r>
      <w:r w:rsidRPr="006F387B">
        <w:rPr>
          <w:rFonts w:ascii="Arial" w:hAnsi="Arial" w:cs="Arial"/>
          <w:b/>
          <w:sz w:val="22"/>
          <w:szCs w:val="22"/>
          <w:lang w:val="en-GB"/>
        </w:rPr>
        <w:tab/>
      </w:r>
      <w:r w:rsidR="00364A28" w:rsidRPr="006F387B">
        <w:rPr>
          <w:rFonts w:ascii="Arial" w:hAnsi="Arial" w:cs="Arial"/>
          <w:sz w:val="22"/>
          <w:szCs w:val="22"/>
          <w:lang w:val="en-GB"/>
        </w:rPr>
        <w:t>Luxbet</w:t>
      </w:r>
      <w:r w:rsidR="00F679B7">
        <w:rPr>
          <w:rFonts w:ascii="Arial" w:hAnsi="Arial" w:cs="Arial"/>
          <w:sz w:val="22"/>
          <w:szCs w:val="22"/>
          <w:lang w:val="en-GB"/>
        </w:rPr>
        <w:t xml:space="preserve"> Pty Ltd</w:t>
      </w:r>
    </w:p>
    <w:p w:rsidR="003B38E2" w:rsidRPr="006F387B" w:rsidRDefault="003B38E2" w:rsidP="003B38E2">
      <w:pPr>
        <w:spacing w:after="200"/>
        <w:ind w:left="2835" w:hanging="2835"/>
        <w:rPr>
          <w:rFonts w:ascii="Arial" w:hAnsi="Arial" w:cs="Arial"/>
          <w:sz w:val="22"/>
          <w:szCs w:val="22"/>
          <w:lang w:val="en-GB"/>
        </w:rPr>
      </w:pPr>
      <w:r w:rsidRPr="006F387B">
        <w:rPr>
          <w:rFonts w:ascii="Arial" w:hAnsi="Arial" w:cs="Arial"/>
          <w:b/>
          <w:sz w:val="22"/>
          <w:szCs w:val="22"/>
        </w:rPr>
        <w:t>Proceedings</w:t>
      </w:r>
      <w:r w:rsidRPr="006F387B">
        <w:rPr>
          <w:rFonts w:ascii="Arial" w:hAnsi="Arial" w:cs="Arial"/>
          <w:b/>
          <w:sz w:val="22"/>
          <w:szCs w:val="22"/>
          <w:lang w:val="en-GB"/>
        </w:rPr>
        <w:t>:</w:t>
      </w:r>
      <w:r w:rsidRPr="006F387B">
        <w:rPr>
          <w:rFonts w:ascii="Arial" w:hAnsi="Arial" w:cs="Arial"/>
          <w:b/>
          <w:sz w:val="22"/>
          <w:szCs w:val="22"/>
          <w:lang w:val="en-GB"/>
        </w:rPr>
        <w:tab/>
      </w:r>
      <w:r w:rsidR="005F725E" w:rsidRPr="006F387B">
        <w:rPr>
          <w:rFonts w:ascii="Arial" w:hAnsi="Arial" w:cs="Arial"/>
          <w:sz w:val="22"/>
          <w:szCs w:val="22"/>
        </w:rPr>
        <w:t xml:space="preserve">Pursuant to Section 85(4) of the </w:t>
      </w:r>
      <w:r w:rsidR="005F725E" w:rsidRPr="006F387B">
        <w:rPr>
          <w:rFonts w:ascii="Arial" w:hAnsi="Arial" w:cs="Arial"/>
          <w:i/>
          <w:sz w:val="22"/>
          <w:szCs w:val="22"/>
        </w:rPr>
        <w:t>Racing And Betting Act</w:t>
      </w:r>
      <w:r w:rsidR="005F725E" w:rsidRPr="006F387B">
        <w:rPr>
          <w:rFonts w:ascii="Arial" w:hAnsi="Arial" w:cs="Arial"/>
          <w:sz w:val="22"/>
          <w:szCs w:val="22"/>
        </w:rPr>
        <w:t xml:space="preserve"> – Referral of Dispute to Racing Commission for Determination</w:t>
      </w:r>
    </w:p>
    <w:p w:rsidR="003B38E2" w:rsidRPr="006F387B" w:rsidRDefault="003B38E2" w:rsidP="005F725E">
      <w:pPr>
        <w:spacing w:after="120"/>
        <w:ind w:left="2835" w:hanging="2835"/>
        <w:rPr>
          <w:rFonts w:ascii="Arial" w:hAnsi="Arial" w:cs="Arial"/>
          <w:sz w:val="22"/>
          <w:szCs w:val="22"/>
          <w:lang w:val="en-GB"/>
        </w:rPr>
      </w:pPr>
      <w:r w:rsidRPr="006F387B">
        <w:rPr>
          <w:rFonts w:ascii="Arial" w:hAnsi="Arial" w:cs="Arial"/>
          <w:b/>
          <w:sz w:val="22"/>
          <w:szCs w:val="22"/>
        </w:rPr>
        <w:t>Heard Before</w:t>
      </w:r>
      <w:r w:rsidRPr="006F387B">
        <w:rPr>
          <w:rFonts w:ascii="Arial" w:hAnsi="Arial" w:cs="Arial"/>
          <w:b/>
          <w:sz w:val="22"/>
          <w:szCs w:val="22"/>
          <w:lang w:val="en-GB"/>
        </w:rPr>
        <w:t>:</w:t>
      </w:r>
      <w:r w:rsidRPr="006F387B">
        <w:rPr>
          <w:rFonts w:ascii="Arial" w:hAnsi="Arial" w:cs="Arial"/>
          <w:b/>
          <w:sz w:val="22"/>
          <w:szCs w:val="22"/>
          <w:lang w:val="en-GB"/>
        </w:rPr>
        <w:tab/>
      </w:r>
      <w:r w:rsidR="00364A28" w:rsidRPr="006F387B">
        <w:rPr>
          <w:rFonts w:ascii="Arial" w:hAnsi="Arial" w:cs="Arial"/>
          <w:sz w:val="22"/>
          <w:szCs w:val="22"/>
          <w:lang w:val="en-GB"/>
        </w:rPr>
        <w:t>Mr Andrew Maloney (Presiding Member)</w:t>
      </w:r>
    </w:p>
    <w:p w:rsidR="00DB64C1" w:rsidRPr="006F387B" w:rsidRDefault="00DB64C1" w:rsidP="005F725E">
      <w:pPr>
        <w:spacing w:after="120"/>
        <w:ind w:left="2835" w:hanging="2835"/>
        <w:rPr>
          <w:rFonts w:ascii="Arial" w:hAnsi="Arial" w:cs="Arial"/>
          <w:sz w:val="22"/>
          <w:szCs w:val="22"/>
        </w:rPr>
      </w:pPr>
      <w:r w:rsidRPr="006F387B">
        <w:rPr>
          <w:rFonts w:ascii="Arial" w:hAnsi="Arial" w:cs="Arial"/>
          <w:b/>
          <w:sz w:val="22"/>
          <w:szCs w:val="22"/>
        </w:rPr>
        <w:t>(on papers)</w:t>
      </w:r>
      <w:r w:rsidRPr="006F387B">
        <w:rPr>
          <w:rFonts w:ascii="Arial" w:hAnsi="Arial" w:cs="Arial"/>
          <w:b/>
          <w:sz w:val="22"/>
          <w:szCs w:val="22"/>
        </w:rPr>
        <w:tab/>
      </w:r>
      <w:r w:rsidR="00364A28" w:rsidRPr="006F387B">
        <w:rPr>
          <w:rFonts w:ascii="Arial" w:hAnsi="Arial" w:cs="Arial"/>
          <w:sz w:val="22"/>
          <w:szCs w:val="22"/>
          <w:lang w:val="en-GB"/>
        </w:rPr>
        <w:t>Mr Jim McNally</w:t>
      </w:r>
    </w:p>
    <w:p w:rsidR="005F725E" w:rsidRPr="006F387B" w:rsidRDefault="005F725E" w:rsidP="003B38E2">
      <w:pPr>
        <w:spacing w:after="240"/>
        <w:ind w:left="2835" w:hanging="2835"/>
        <w:rPr>
          <w:rFonts w:ascii="Arial" w:hAnsi="Arial" w:cs="Arial"/>
          <w:sz w:val="22"/>
          <w:szCs w:val="22"/>
        </w:rPr>
      </w:pPr>
      <w:r w:rsidRPr="006F387B">
        <w:rPr>
          <w:rFonts w:ascii="Arial" w:hAnsi="Arial" w:cs="Arial"/>
          <w:sz w:val="22"/>
          <w:szCs w:val="22"/>
        </w:rPr>
        <w:tab/>
      </w:r>
      <w:r w:rsidR="00364A28" w:rsidRPr="006F387B">
        <w:rPr>
          <w:rFonts w:ascii="Arial" w:hAnsi="Arial" w:cs="Arial"/>
          <w:sz w:val="22"/>
          <w:szCs w:val="22"/>
          <w:lang w:val="en-GB"/>
        </w:rPr>
        <w:t>Mr David Loy</w:t>
      </w:r>
    </w:p>
    <w:p w:rsidR="003B38E2" w:rsidRPr="006F387B" w:rsidRDefault="003B38E2" w:rsidP="003B38E2">
      <w:pPr>
        <w:spacing w:after="200"/>
        <w:ind w:left="2835" w:hanging="2835"/>
        <w:rPr>
          <w:rFonts w:ascii="Arial" w:hAnsi="Arial" w:cs="Arial"/>
          <w:sz w:val="22"/>
          <w:szCs w:val="22"/>
        </w:rPr>
      </w:pPr>
      <w:r w:rsidRPr="006F387B">
        <w:rPr>
          <w:rFonts w:ascii="Arial" w:hAnsi="Arial" w:cs="Arial"/>
          <w:b/>
          <w:sz w:val="22"/>
          <w:szCs w:val="22"/>
        </w:rPr>
        <w:t>Date of Decision:</w:t>
      </w:r>
      <w:r w:rsidRPr="006F387B">
        <w:rPr>
          <w:rFonts w:ascii="Arial" w:hAnsi="Arial" w:cs="Arial"/>
          <w:b/>
          <w:sz w:val="22"/>
          <w:szCs w:val="22"/>
        </w:rPr>
        <w:tab/>
      </w:r>
      <w:r w:rsidR="003C1F42">
        <w:rPr>
          <w:rFonts w:ascii="Arial" w:hAnsi="Arial" w:cs="Arial"/>
          <w:sz w:val="22"/>
          <w:szCs w:val="22"/>
        </w:rPr>
        <w:t>22</w:t>
      </w:r>
      <w:r w:rsidR="00364A28" w:rsidRPr="006F387B">
        <w:rPr>
          <w:rFonts w:ascii="Arial" w:hAnsi="Arial" w:cs="Arial"/>
          <w:sz w:val="22"/>
          <w:szCs w:val="22"/>
        </w:rPr>
        <w:t xml:space="preserve"> December 2016</w:t>
      </w:r>
    </w:p>
    <w:p w:rsidR="003B38E2" w:rsidRPr="00A30195" w:rsidRDefault="003B38E2" w:rsidP="003B38E2">
      <w:pPr>
        <w:pStyle w:val="BottomLine"/>
      </w:pPr>
    </w:p>
    <w:p w:rsidR="003B38E2" w:rsidRPr="006F387B" w:rsidRDefault="00DB64C1" w:rsidP="006F387B">
      <w:pPr>
        <w:pStyle w:val="Heading2"/>
        <w:spacing w:before="0" w:line="360" w:lineRule="auto"/>
        <w:rPr>
          <w:rFonts w:cs="Arial"/>
          <w:sz w:val="26"/>
          <w:szCs w:val="26"/>
        </w:rPr>
      </w:pPr>
      <w:r w:rsidRPr="006F387B">
        <w:rPr>
          <w:sz w:val="26"/>
          <w:szCs w:val="26"/>
        </w:rPr>
        <w:t>Background</w:t>
      </w:r>
    </w:p>
    <w:p w:rsidR="00364A28" w:rsidRPr="006F387B" w:rsidRDefault="00364A28" w:rsidP="00364A28">
      <w:pPr>
        <w:pStyle w:val="ListParagraph"/>
        <w:numPr>
          <w:ilvl w:val="0"/>
          <w:numId w:val="16"/>
        </w:numPr>
        <w:spacing w:after="240"/>
        <w:ind w:left="567" w:hanging="425"/>
        <w:jc w:val="both"/>
        <w:rPr>
          <w:rFonts w:ascii="Arial" w:hAnsi="Arial" w:cs="Arial"/>
          <w:sz w:val="22"/>
          <w:szCs w:val="22"/>
        </w:rPr>
      </w:pPr>
      <w:r w:rsidRPr="006F387B">
        <w:rPr>
          <w:rFonts w:ascii="Arial" w:hAnsi="Arial" w:cs="Arial"/>
          <w:sz w:val="22"/>
          <w:szCs w:val="22"/>
        </w:rPr>
        <w:t>The client has alleged that the bookmaker:</w:t>
      </w:r>
    </w:p>
    <w:p w:rsidR="00364A28" w:rsidRPr="006F387B" w:rsidRDefault="006F387B" w:rsidP="006F387B">
      <w:pPr>
        <w:numPr>
          <w:ilvl w:val="0"/>
          <w:numId w:val="28"/>
        </w:numPr>
        <w:spacing w:before="120" w:after="120"/>
        <w:ind w:left="1134" w:hanging="357"/>
        <w:jc w:val="both"/>
        <w:rPr>
          <w:rFonts w:ascii="Arial" w:hAnsi="Arial" w:cs="Arial"/>
          <w:sz w:val="22"/>
          <w:szCs w:val="22"/>
        </w:rPr>
      </w:pPr>
      <w:r>
        <w:rPr>
          <w:rFonts w:ascii="Arial" w:hAnsi="Arial" w:cs="Arial"/>
          <w:sz w:val="22"/>
          <w:szCs w:val="22"/>
        </w:rPr>
        <w:t>h</w:t>
      </w:r>
      <w:r w:rsidR="00364A28" w:rsidRPr="006F387B">
        <w:rPr>
          <w:rFonts w:ascii="Arial" w:hAnsi="Arial" w:cs="Arial"/>
          <w:sz w:val="22"/>
          <w:szCs w:val="22"/>
        </w:rPr>
        <w:t>as not exercised their duty of care by opening an account without question after it had been closed more than once;</w:t>
      </w:r>
    </w:p>
    <w:p w:rsidR="00364A28" w:rsidRPr="006F387B" w:rsidRDefault="006F387B" w:rsidP="006F387B">
      <w:pPr>
        <w:numPr>
          <w:ilvl w:val="0"/>
          <w:numId w:val="28"/>
        </w:numPr>
        <w:spacing w:before="120" w:after="120"/>
        <w:ind w:left="1134" w:hanging="357"/>
        <w:jc w:val="both"/>
        <w:rPr>
          <w:rFonts w:ascii="Arial" w:hAnsi="Arial" w:cs="Arial"/>
          <w:sz w:val="22"/>
          <w:szCs w:val="22"/>
        </w:rPr>
      </w:pPr>
      <w:r>
        <w:rPr>
          <w:rFonts w:ascii="Arial" w:hAnsi="Arial" w:cs="Arial"/>
          <w:sz w:val="22"/>
          <w:szCs w:val="22"/>
        </w:rPr>
        <w:t>u</w:t>
      </w:r>
      <w:r w:rsidR="00364A28" w:rsidRPr="006F387B">
        <w:rPr>
          <w:rFonts w:ascii="Arial" w:hAnsi="Arial" w:cs="Arial"/>
          <w:sz w:val="22"/>
          <w:szCs w:val="22"/>
        </w:rPr>
        <w:t xml:space="preserve">pon reopening the account, provided him credit albeit after </w:t>
      </w:r>
      <w:r w:rsidR="00F679B7">
        <w:rPr>
          <w:rFonts w:ascii="Arial" w:hAnsi="Arial" w:cs="Arial"/>
          <w:sz w:val="22"/>
          <w:szCs w:val="22"/>
        </w:rPr>
        <w:t xml:space="preserve">he </w:t>
      </w:r>
      <w:r w:rsidR="00364A28" w:rsidRPr="006F387B">
        <w:rPr>
          <w:rFonts w:ascii="Arial" w:hAnsi="Arial" w:cs="Arial"/>
          <w:sz w:val="22"/>
          <w:szCs w:val="22"/>
        </w:rPr>
        <w:t xml:space="preserve"> requested it;</w:t>
      </w:r>
    </w:p>
    <w:p w:rsidR="00364A28" w:rsidRPr="006F387B" w:rsidRDefault="006F387B" w:rsidP="006F387B">
      <w:pPr>
        <w:numPr>
          <w:ilvl w:val="0"/>
          <w:numId w:val="28"/>
        </w:numPr>
        <w:spacing w:before="120" w:after="120"/>
        <w:ind w:left="1134" w:hanging="357"/>
        <w:jc w:val="both"/>
        <w:rPr>
          <w:rFonts w:ascii="Arial" w:hAnsi="Arial" w:cs="Arial"/>
          <w:sz w:val="22"/>
          <w:szCs w:val="22"/>
        </w:rPr>
      </w:pPr>
      <w:r>
        <w:rPr>
          <w:rFonts w:ascii="Arial" w:hAnsi="Arial" w:cs="Arial"/>
          <w:sz w:val="22"/>
          <w:szCs w:val="22"/>
        </w:rPr>
        <w:t>i</w:t>
      </w:r>
      <w:r w:rsidR="00364A28" w:rsidRPr="006F387B">
        <w:rPr>
          <w:rFonts w:ascii="Arial" w:hAnsi="Arial" w:cs="Arial"/>
          <w:sz w:val="22"/>
          <w:szCs w:val="22"/>
        </w:rPr>
        <w:t>s admitting guilt or employing bullying tactics by now closing the account under self-exclusion;</w:t>
      </w:r>
    </w:p>
    <w:p w:rsidR="00364A28" w:rsidRPr="006F387B" w:rsidRDefault="006F387B" w:rsidP="006F387B">
      <w:pPr>
        <w:numPr>
          <w:ilvl w:val="0"/>
          <w:numId w:val="28"/>
        </w:numPr>
        <w:spacing w:before="120" w:after="120"/>
        <w:ind w:left="1134" w:hanging="357"/>
        <w:jc w:val="both"/>
        <w:rPr>
          <w:rFonts w:ascii="Arial" w:hAnsi="Arial" w:cs="Arial"/>
          <w:sz w:val="22"/>
          <w:szCs w:val="22"/>
        </w:rPr>
      </w:pPr>
      <w:r>
        <w:rPr>
          <w:rFonts w:ascii="Arial" w:hAnsi="Arial" w:cs="Arial"/>
          <w:sz w:val="22"/>
          <w:szCs w:val="22"/>
        </w:rPr>
        <w:t>h</w:t>
      </w:r>
      <w:r w:rsidR="00364A28" w:rsidRPr="006F387B">
        <w:rPr>
          <w:rFonts w:ascii="Arial" w:hAnsi="Arial" w:cs="Arial"/>
          <w:sz w:val="22"/>
          <w:szCs w:val="22"/>
        </w:rPr>
        <w:t xml:space="preserve">as avoided resolving the issues initially enquired, </w:t>
      </w:r>
      <w:r w:rsidR="00364A28" w:rsidRPr="006F387B">
        <w:rPr>
          <w:rFonts w:ascii="Arial" w:hAnsi="Arial" w:cs="Arial"/>
          <w:i/>
          <w:sz w:val="22"/>
          <w:szCs w:val="22"/>
        </w:rPr>
        <w:t xml:space="preserve">“…not being able to withdraw and subsequently having no option but to punt the amount in my account, then being rejected before start time of a winning bet”; </w:t>
      </w:r>
      <w:r w:rsidR="00364A28" w:rsidRPr="006F387B">
        <w:rPr>
          <w:rFonts w:ascii="Arial" w:hAnsi="Arial" w:cs="Arial"/>
          <w:sz w:val="22"/>
          <w:szCs w:val="22"/>
        </w:rPr>
        <w:t>and</w:t>
      </w:r>
    </w:p>
    <w:p w:rsidR="00364A28" w:rsidRPr="006F387B" w:rsidRDefault="006F387B" w:rsidP="006F387B">
      <w:pPr>
        <w:numPr>
          <w:ilvl w:val="0"/>
          <w:numId w:val="28"/>
        </w:numPr>
        <w:spacing w:before="120" w:after="120"/>
        <w:ind w:left="1134" w:hanging="357"/>
        <w:jc w:val="both"/>
        <w:rPr>
          <w:rFonts w:ascii="Arial" w:hAnsi="Arial" w:cs="Arial"/>
          <w:sz w:val="22"/>
          <w:szCs w:val="22"/>
        </w:rPr>
      </w:pPr>
      <w:r>
        <w:rPr>
          <w:rFonts w:ascii="Arial" w:hAnsi="Arial" w:cs="Arial"/>
          <w:sz w:val="22"/>
          <w:szCs w:val="22"/>
        </w:rPr>
        <w:t>h</w:t>
      </w:r>
      <w:r w:rsidR="00364A28" w:rsidRPr="006F387B">
        <w:rPr>
          <w:rFonts w:ascii="Arial" w:hAnsi="Arial" w:cs="Arial"/>
          <w:sz w:val="22"/>
          <w:szCs w:val="22"/>
        </w:rPr>
        <w:t xml:space="preserve">as not allowed cash withdrawal, </w:t>
      </w:r>
      <w:r w:rsidR="00364A28" w:rsidRPr="006F387B">
        <w:rPr>
          <w:rFonts w:ascii="Arial" w:hAnsi="Arial" w:cs="Arial"/>
          <w:i/>
          <w:sz w:val="22"/>
          <w:szCs w:val="22"/>
        </w:rPr>
        <w:t>“…due to desktop site blocking”.</w:t>
      </w:r>
    </w:p>
    <w:p w:rsidR="00364A28" w:rsidRPr="006F387B" w:rsidRDefault="00364A28" w:rsidP="00364A28">
      <w:pPr>
        <w:jc w:val="both"/>
        <w:rPr>
          <w:rFonts w:ascii="Arial" w:hAnsi="Arial" w:cs="Arial"/>
          <w:sz w:val="22"/>
          <w:szCs w:val="22"/>
        </w:rPr>
      </w:pPr>
    </w:p>
    <w:p w:rsidR="00364A28" w:rsidRDefault="00364A28" w:rsidP="00364A28">
      <w:pPr>
        <w:pStyle w:val="ListParagraph"/>
        <w:numPr>
          <w:ilvl w:val="0"/>
          <w:numId w:val="16"/>
        </w:numPr>
        <w:spacing w:after="240"/>
        <w:ind w:left="567" w:hanging="425"/>
        <w:jc w:val="both"/>
        <w:rPr>
          <w:rFonts w:ascii="Arial" w:hAnsi="Arial" w:cs="Arial"/>
          <w:sz w:val="22"/>
          <w:szCs w:val="22"/>
        </w:rPr>
      </w:pPr>
      <w:r w:rsidRPr="006F387B">
        <w:rPr>
          <w:rFonts w:ascii="Arial" w:hAnsi="Arial" w:cs="Arial"/>
          <w:sz w:val="22"/>
          <w:szCs w:val="22"/>
        </w:rPr>
        <w:t>The client claims that he is not “</w:t>
      </w:r>
      <w:r w:rsidRPr="006F387B">
        <w:rPr>
          <w:rFonts w:ascii="Arial" w:hAnsi="Arial" w:cs="Arial"/>
          <w:i/>
          <w:sz w:val="22"/>
          <w:szCs w:val="22"/>
        </w:rPr>
        <w:t>submitting this (dispute) application due to sour grapes or to recoup lost gambling money</w:t>
      </w:r>
      <w:r w:rsidRPr="006F387B">
        <w:rPr>
          <w:rFonts w:ascii="Arial" w:hAnsi="Arial" w:cs="Arial"/>
          <w:sz w:val="22"/>
          <w:szCs w:val="22"/>
        </w:rPr>
        <w:t>”, however submits it is due to the bookmaker “</w:t>
      </w:r>
      <w:r w:rsidRPr="006F387B">
        <w:rPr>
          <w:rFonts w:ascii="Arial" w:hAnsi="Arial" w:cs="Arial"/>
          <w:i/>
          <w:sz w:val="22"/>
          <w:szCs w:val="22"/>
        </w:rPr>
        <w:t>…shirking their responsibilities and they should be held accountable”</w:t>
      </w:r>
      <w:r w:rsidRPr="006F387B">
        <w:rPr>
          <w:rFonts w:ascii="Arial" w:hAnsi="Arial" w:cs="Arial"/>
          <w:sz w:val="22"/>
          <w:szCs w:val="22"/>
        </w:rPr>
        <w:t>.</w:t>
      </w:r>
    </w:p>
    <w:p w:rsidR="006F387B" w:rsidRDefault="006F387B" w:rsidP="006F387B">
      <w:pPr>
        <w:pStyle w:val="Heading2"/>
        <w:spacing w:before="0" w:after="0"/>
        <w:rPr>
          <w:sz w:val="26"/>
          <w:szCs w:val="26"/>
        </w:rPr>
      </w:pPr>
    </w:p>
    <w:p w:rsidR="007046C6" w:rsidRPr="006F387B" w:rsidRDefault="00DB64C1" w:rsidP="006F387B">
      <w:pPr>
        <w:pStyle w:val="Heading2"/>
        <w:spacing w:before="120" w:line="360" w:lineRule="auto"/>
        <w:rPr>
          <w:sz w:val="26"/>
          <w:szCs w:val="26"/>
        </w:rPr>
      </w:pPr>
      <w:r w:rsidRPr="006F387B">
        <w:rPr>
          <w:sz w:val="26"/>
          <w:szCs w:val="26"/>
        </w:rPr>
        <w:t>Facts of the Matter</w:t>
      </w:r>
    </w:p>
    <w:p w:rsidR="00364A28" w:rsidRPr="006F387B" w:rsidRDefault="00364A28" w:rsidP="00364A28">
      <w:pPr>
        <w:pStyle w:val="ListParagraph"/>
        <w:numPr>
          <w:ilvl w:val="0"/>
          <w:numId w:val="16"/>
        </w:numPr>
        <w:spacing w:after="240"/>
        <w:ind w:left="567" w:hanging="425"/>
        <w:jc w:val="both"/>
        <w:rPr>
          <w:rFonts w:ascii="Arial" w:hAnsi="Arial" w:cs="Arial"/>
          <w:sz w:val="22"/>
          <w:szCs w:val="22"/>
        </w:rPr>
      </w:pPr>
      <w:r w:rsidRPr="006F387B">
        <w:rPr>
          <w:rFonts w:ascii="Arial" w:hAnsi="Arial" w:cs="Arial"/>
          <w:sz w:val="22"/>
          <w:szCs w:val="22"/>
        </w:rPr>
        <w:t xml:space="preserve">Upon receipt of the complaint on 13 July 2016 the matter was fully investigated by a </w:t>
      </w:r>
      <w:r w:rsidR="00F679B7">
        <w:rPr>
          <w:rFonts w:ascii="Arial" w:hAnsi="Arial" w:cs="Arial"/>
          <w:sz w:val="22"/>
          <w:szCs w:val="22"/>
        </w:rPr>
        <w:t>Compliance</w:t>
      </w:r>
      <w:r w:rsidR="00F679B7" w:rsidRPr="006F387B">
        <w:rPr>
          <w:rFonts w:ascii="Arial" w:hAnsi="Arial" w:cs="Arial"/>
          <w:sz w:val="22"/>
          <w:szCs w:val="22"/>
        </w:rPr>
        <w:t xml:space="preserve"> </w:t>
      </w:r>
      <w:r w:rsidRPr="006F387B">
        <w:rPr>
          <w:rFonts w:ascii="Arial" w:hAnsi="Arial" w:cs="Arial"/>
          <w:sz w:val="22"/>
          <w:szCs w:val="22"/>
        </w:rPr>
        <w:t>Officer from Licensing NT.</w:t>
      </w:r>
    </w:p>
    <w:p w:rsidR="00364A28" w:rsidRPr="006F387B" w:rsidRDefault="00364A28" w:rsidP="00364A28">
      <w:pPr>
        <w:pStyle w:val="ListParagraph"/>
        <w:numPr>
          <w:ilvl w:val="0"/>
          <w:numId w:val="16"/>
        </w:numPr>
        <w:spacing w:after="240"/>
        <w:ind w:left="567" w:hanging="425"/>
        <w:jc w:val="both"/>
        <w:rPr>
          <w:rFonts w:ascii="Arial" w:hAnsi="Arial" w:cs="Arial"/>
          <w:sz w:val="22"/>
          <w:szCs w:val="22"/>
        </w:rPr>
      </w:pPr>
      <w:r w:rsidRPr="006F387B">
        <w:rPr>
          <w:rFonts w:ascii="Arial" w:hAnsi="Arial" w:cs="Arial"/>
          <w:sz w:val="22"/>
          <w:szCs w:val="22"/>
        </w:rPr>
        <w:t>On 12 July 2016, Luxbet</w:t>
      </w:r>
      <w:r w:rsidR="00F679B7">
        <w:rPr>
          <w:rFonts w:ascii="Arial" w:hAnsi="Arial" w:cs="Arial"/>
          <w:sz w:val="22"/>
          <w:szCs w:val="22"/>
        </w:rPr>
        <w:t xml:space="preserve"> Pty Ltd (Luxbet)</w:t>
      </w:r>
      <w:r w:rsidRPr="006F387B">
        <w:rPr>
          <w:rFonts w:ascii="Arial" w:hAnsi="Arial" w:cs="Arial"/>
          <w:sz w:val="22"/>
          <w:szCs w:val="22"/>
        </w:rPr>
        <w:t xml:space="preserve"> credited Mr </w:t>
      </w:r>
      <w:r w:rsidR="00754790">
        <w:rPr>
          <w:rFonts w:ascii="Arial" w:hAnsi="Arial" w:cs="Arial"/>
          <w:sz w:val="22"/>
          <w:szCs w:val="22"/>
        </w:rPr>
        <w:t>M</w:t>
      </w:r>
      <w:r w:rsidRPr="006F387B">
        <w:rPr>
          <w:rFonts w:ascii="Arial" w:hAnsi="Arial" w:cs="Arial"/>
          <w:sz w:val="22"/>
          <w:szCs w:val="22"/>
        </w:rPr>
        <w:t xml:space="preserve">’s account with a bonus bet. Clause 4.3(d) of the Luxbet Bonus Bet Terms and Conditions states that the bonus bet must be turned over and the bonus winnings must </w:t>
      </w:r>
      <w:r w:rsidR="00171F70">
        <w:rPr>
          <w:rFonts w:ascii="Arial" w:hAnsi="Arial" w:cs="Arial"/>
          <w:sz w:val="22"/>
          <w:szCs w:val="22"/>
        </w:rPr>
        <w:t xml:space="preserve">also </w:t>
      </w:r>
      <w:r w:rsidRPr="006F387B">
        <w:rPr>
          <w:rFonts w:ascii="Arial" w:hAnsi="Arial" w:cs="Arial"/>
          <w:sz w:val="22"/>
          <w:szCs w:val="22"/>
        </w:rPr>
        <w:t>be turned over (that is, wagered in a single bet or multiple bets) at odds of $1.50 or greater:</w:t>
      </w:r>
    </w:p>
    <w:p w:rsidR="00364A28" w:rsidRPr="006F387B" w:rsidRDefault="00364A28" w:rsidP="006F387B">
      <w:pPr>
        <w:numPr>
          <w:ilvl w:val="0"/>
          <w:numId w:val="28"/>
        </w:numPr>
        <w:ind w:left="1134"/>
        <w:jc w:val="both"/>
        <w:rPr>
          <w:rFonts w:ascii="Arial" w:hAnsi="Arial" w:cs="Arial"/>
          <w:sz w:val="22"/>
          <w:szCs w:val="22"/>
        </w:rPr>
      </w:pPr>
      <w:r w:rsidRPr="006F387B">
        <w:rPr>
          <w:rFonts w:ascii="Arial" w:hAnsi="Arial" w:cs="Arial"/>
          <w:sz w:val="22"/>
          <w:szCs w:val="22"/>
        </w:rPr>
        <w:t xml:space="preserve">Mr </w:t>
      </w:r>
      <w:r w:rsidR="00754790">
        <w:rPr>
          <w:rFonts w:ascii="Arial" w:hAnsi="Arial" w:cs="Arial"/>
          <w:sz w:val="22"/>
          <w:szCs w:val="22"/>
        </w:rPr>
        <w:t>M</w:t>
      </w:r>
      <w:r w:rsidRPr="006F387B">
        <w:rPr>
          <w:rFonts w:ascii="Arial" w:hAnsi="Arial" w:cs="Arial"/>
          <w:sz w:val="22"/>
          <w:szCs w:val="22"/>
        </w:rPr>
        <w:t xml:space="preserve"> claims to have queried this restriction with Luxbet, however he has </w:t>
      </w:r>
      <w:r w:rsidR="00171F70">
        <w:rPr>
          <w:rFonts w:ascii="Arial" w:hAnsi="Arial" w:cs="Arial"/>
          <w:sz w:val="22"/>
          <w:szCs w:val="22"/>
        </w:rPr>
        <w:t xml:space="preserve">yet to </w:t>
      </w:r>
      <w:r w:rsidRPr="006F387B">
        <w:rPr>
          <w:rFonts w:ascii="Arial" w:hAnsi="Arial" w:cs="Arial"/>
          <w:sz w:val="22"/>
          <w:szCs w:val="22"/>
        </w:rPr>
        <w:t>as not provide the email as evidence.</w:t>
      </w:r>
    </w:p>
    <w:p w:rsidR="006F387B" w:rsidRPr="006F387B" w:rsidRDefault="006F387B" w:rsidP="006F387B">
      <w:pPr>
        <w:ind w:left="1134"/>
        <w:jc w:val="both"/>
        <w:rPr>
          <w:rFonts w:ascii="Arial" w:hAnsi="Arial" w:cs="Arial"/>
          <w:sz w:val="22"/>
          <w:szCs w:val="22"/>
        </w:rPr>
      </w:pPr>
    </w:p>
    <w:p w:rsidR="00364A28" w:rsidRPr="00775C59" w:rsidRDefault="00364A28" w:rsidP="00364A28">
      <w:pPr>
        <w:pStyle w:val="ListParagraph"/>
        <w:numPr>
          <w:ilvl w:val="0"/>
          <w:numId w:val="16"/>
        </w:numPr>
        <w:spacing w:after="240"/>
        <w:ind w:left="567" w:hanging="425"/>
        <w:jc w:val="both"/>
        <w:rPr>
          <w:rFonts w:ascii="Arial" w:hAnsi="Arial" w:cs="Arial"/>
          <w:i/>
          <w:sz w:val="22"/>
          <w:szCs w:val="22"/>
        </w:rPr>
      </w:pPr>
      <w:r w:rsidRPr="006F387B">
        <w:rPr>
          <w:rFonts w:ascii="Arial" w:hAnsi="Arial" w:cs="Arial"/>
          <w:sz w:val="22"/>
          <w:szCs w:val="22"/>
        </w:rPr>
        <w:t xml:space="preserve">On 12 July 2016, Luxbet Customer Service wrote to Mr </w:t>
      </w:r>
      <w:r w:rsidR="00754790">
        <w:rPr>
          <w:rFonts w:ascii="Arial" w:hAnsi="Arial" w:cs="Arial"/>
          <w:sz w:val="22"/>
          <w:szCs w:val="22"/>
        </w:rPr>
        <w:t>M</w:t>
      </w:r>
      <w:r w:rsidRPr="006F387B">
        <w:rPr>
          <w:rFonts w:ascii="Arial" w:hAnsi="Arial" w:cs="Arial"/>
          <w:sz w:val="22"/>
          <w:szCs w:val="22"/>
        </w:rPr>
        <w:t xml:space="preserve">, stated Mr </w:t>
      </w:r>
      <w:r w:rsidR="00754790">
        <w:rPr>
          <w:rFonts w:ascii="Arial" w:hAnsi="Arial" w:cs="Arial"/>
          <w:sz w:val="22"/>
          <w:szCs w:val="22"/>
        </w:rPr>
        <w:t>M</w:t>
      </w:r>
      <w:r w:rsidRPr="006F387B">
        <w:rPr>
          <w:rFonts w:ascii="Arial" w:hAnsi="Arial" w:cs="Arial"/>
          <w:sz w:val="22"/>
          <w:szCs w:val="22"/>
        </w:rPr>
        <w:t xml:space="preserve">’s total figures (lifetime to date | $184,600 in turnover with $30,961 loss), and pronounces, </w:t>
      </w:r>
      <w:r w:rsidRPr="00775C59">
        <w:rPr>
          <w:rFonts w:ascii="Arial" w:hAnsi="Arial" w:cs="Arial"/>
          <w:i/>
          <w:sz w:val="22"/>
          <w:szCs w:val="22"/>
        </w:rPr>
        <w:t>“in line with Responsible Gambling obligations and also in light of your recent emails I just want to ensure you are gambling within your means?”:</w:t>
      </w:r>
    </w:p>
    <w:p w:rsidR="00364A28" w:rsidRPr="006F387B" w:rsidRDefault="00364A28" w:rsidP="006F387B">
      <w:pPr>
        <w:numPr>
          <w:ilvl w:val="1"/>
          <w:numId w:val="31"/>
        </w:numPr>
        <w:spacing w:before="120" w:after="120"/>
        <w:ind w:left="1134" w:hanging="357"/>
        <w:jc w:val="both"/>
        <w:rPr>
          <w:rFonts w:ascii="Arial" w:hAnsi="Arial" w:cs="Arial"/>
          <w:sz w:val="22"/>
          <w:szCs w:val="22"/>
        </w:rPr>
      </w:pPr>
      <w:r w:rsidRPr="006F387B">
        <w:rPr>
          <w:rFonts w:ascii="Arial" w:hAnsi="Arial" w:cs="Arial"/>
          <w:sz w:val="22"/>
          <w:szCs w:val="22"/>
        </w:rPr>
        <w:lastRenderedPageBreak/>
        <w:t xml:space="preserve">Mr </w:t>
      </w:r>
      <w:r w:rsidR="00754790">
        <w:rPr>
          <w:rFonts w:ascii="Arial" w:hAnsi="Arial" w:cs="Arial"/>
          <w:sz w:val="22"/>
          <w:szCs w:val="22"/>
        </w:rPr>
        <w:t>M</w:t>
      </w:r>
      <w:r w:rsidRPr="006F387B">
        <w:rPr>
          <w:rFonts w:ascii="Arial" w:hAnsi="Arial" w:cs="Arial"/>
          <w:sz w:val="22"/>
          <w:szCs w:val="22"/>
        </w:rPr>
        <w:t xml:space="preserve"> replied stating that Luxbet have not addressed his concerns from the weekend, nor have they addressed previous requests for self-exclusion.</w:t>
      </w:r>
    </w:p>
    <w:p w:rsidR="00364A28" w:rsidRPr="006F387B" w:rsidRDefault="00364A28" w:rsidP="006F387B">
      <w:pPr>
        <w:numPr>
          <w:ilvl w:val="1"/>
          <w:numId w:val="31"/>
        </w:numPr>
        <w:spacing w:before="120" w:after="120"/>
        <w:ind w:left="1134" w:hanging="357"/>
        <w:jc w:val="both"/>
        <w:rPr>
          <w:rFonts w:ascii="Arial" w:hAnsi="Arial" w:cs="Arial"/>
          <w:sz w:val="22"/>
          <w:szCs w:val="22"/>
        </w:rPr>
      </w:pPr>
      <w:r w:rsidRPr="006F387B">
        <w:rPr>
          <w:rFonts w:ascii="Arial" w:hAnsi="Arial" w:cs="Arial"/>
          <w:sz w:val="22"/>
          <w:szCs w:val="22"/>
        </w:rPr>
        <w:t xml:space="preserve">Mr </w:t>
      </w:r>
      <w:r w:rsidR="00754790">
        <w:rPr>
          <w:rFonts w:ascii="Arial" w:hAnsi="Arial" w:cs="Arial"/>
          <w:sz w:val="22"/>
          <w:szCs w:val="22"/>
        </w:rPr>
        <w:t>M</w:t>
      </w:r>
      <w:r w:rsidRPr="006F387B">
        <w:rPr>
          <w:rFonts w:ascii="Arial" w:hAnsi="Arial" w:cs="Arial"/>
          <w:sz w:val="22"/>
          <w:szCs w:val="22"/>
        </w:rPr>
        <w:t xml:space="preserve"> informed Luxbet that he </w:t>
      </w:r>
      <w:r w:rsidRPr="006F387B">
        <w:rPr>
          <w:rFonts w:ascii="Arial" w:hAnsi="Arial" w:cs="Arial"/>
          <w:i/>
          <w:sz w:val="22"/>
          <w:szCs w:val="22"/>
        </w:rPr>
        <w:t>“should be entitled to the $1,100 from this</w:t>
      </w:r>
      <w:r w:rsidRPr="006F387B">
        <w:rPr>
          <w:rFonts w:ascii="Arial" w:hAnsi="Arial" w:cs="Arial"/>
          <w:i/>
        </w:rPr>
        <w:t xml:space="preserve"> </w:t>
      </w:r>
      <w:r w:rsidRPr="006F387B">
        <w:rPr>
          <w:rFonts w:ascii="Arial" w:hAnsi="Arial" w:cs="Arial"/>
          <w:i/>
          <w:sz w:val="22"/>
          <w:szCs w:val="22"/>
        </w:rPr>
        <w:t>weekend, plus the $850 credit when</w:t>
      </w:r>
      <w:r w:rsidR="00775C59">
        <w:rPr>
          <w:rFonts w:ascii="Arial" w:hAnsi="Arial" w:cs="Arial"/>
          <w:i/>
          <w:sz w:val="22"/>
          <w:szCs w:val="22"/>
        </w:rPr>
        <w:t xml:space="preserve"> </w:t>
      </w:r>
      <w:r w:rsidRPr="006F387B">
        <w:rPr>
          <w:rFonts w:ascii="Arial" w:hAnsi="Arial" w:cs="Arial"/>
          <w:i/>
          <w:sz w:val="22"/>
          <w:szCs w:val="22"/>
        </w:rPr>
        <w:t>couldn’t withdraw”</w:t>
      </w:r>
      <w:r w:rsidRPr="006F387B">
        <w:rPr>
          <w:rFonts w:ascii="Arial" w:hAnsi="Arial" w:cs="Arial"/>
          <w:sz w:val="22"/>
          <w:szCs w:val="22"/>
        </w:rPr>
        <w:t xml:space="preserve"> and states </w:t>
      </w:r>
      <w:r w:rsidRPr="006F387B">
        <w:rPr>
          <w:rFonts w:ascii="Arial" w:hAnsi="Arial" w:cs="Arial"/>
          <w:i/>
          <w:sz w:val="22"/>
          <w:szCs w:val="22"/>
        </w:rPr>
        <w:t>“I will be satisfied with that outcome”.</w:t>
      </w:r>
    </w:p>
    <w:p w:rsidR="00364A28" w:rsidRPr="006F387B" w:rsidRDefault="00364A28" w:rsidP="00636132">
      <w:pPr>
        <w:numPr>
          <w:ilvl w:val="1"/>
          <w:numId w:val="31"/>
        </w:numPr>
        <w:spacing w:before="120" w:after="120"/>
        <w:ind w:left="1134" w:hanging="357"/>
        <w:jc w:val="both"/>
        <w:rPr>
          <w:rFonts w:ascii="Arial" w:hAnsi="Arial" w:cs="Arial"/>
          <w:sz w:val="22"/>
          <w:szCs w:val="22"/>
        </w:rPr>
      </w:pPr>
      <w:r w:rsidRPr="006F387B">
        <w:rPr>
          <w:rFonts w:ascii="Arial" w:hAnsi="Arial" w:cs="Arial"/>
          <w:sz w:val="22"/>
          <w:szCs w:val="22"/>
        </w:rPr>
        <w:t xml:space="preserve">Mr </w:t>
      </w:r>
      <w:r w:rsidR="00754790">
        <w:rPr>
          <w:rFonts w:ascii="Arial" w:hAnsi="Arial" w:cs="Arial"/>
          <w:sz w:val="22"/>
          <w:szCs w:val="22"/>
        </w:rPr>
        <w:t>M</w:t>
      </w:r>
      <w:r w:rsidRPr="006F387B">
        <w:rPr>
          <w:rFonts w:ascii="Arial" w:hAnsi="Arial" w:cs="Arial"/>
          <w:sz w:val="22"/>
          <w:szCs w:val="22"/>
        </w:rPr>
        <w:t xml:space="preserve"> alerts Luxbet </w:t>
      </w:r>
      <w:r w:rsidRPr="006F387B">
        <w:rPr>
          <w:rFonts w:ascii="Arial" w:hAnsi="Arial" w:cs="Arial"/>
          <w:i/>
          <w:sz w:val="22"/>
          <w:szCs w:val="22"/>
        </w:rPr>
        <w:t>“under self-exclusion laws I would be entitled to claim all monies lost since account reopened”, “however I will consider the matter closed upon resolution of the above amounts from the weekend”.</w:t>
      </w:r>
    </w:p>
    <w:p w:rsidR="00364A28" w:rsidRPr="006F387B" w:rsidRDefault="00364A28" w:rsidP="00364A28">
      <w:pPr>
        <w:jc w:val="both"/>
        <w:rPr>
          <w:rFonts w:ascii="Arial" w:hAnsi="Arial" w:cs="Arial"/>
          <w:sz w:val="22"/>
          <w:szCs w:val="22"/>
        </w:rPr>
      </w:pPr>
    </w:p>
    <w:p w:rsidR="006F387B" w:rsidRPr="006F387B" w:rsidRDefault="00364A28" w:rsidP="00364A28">
      <w:pPr>
        <w:numPr>
          <w:ilvl w:val="0"/>
          <w:numId w:val="16"/>
        </w:numPr>
        <w:ind w:left="567" w:hanging="425"/>
        <w:jc w:val="both"/>
        <w:rPr>
          <w:rFonts w:ascii="Arial" w:hAnsi="Arial" w:cs="Arial"/>
          <w:sz w:val="22"/>
          <w:szCs w:val="22"/>
        </w:rPr>
      </w:pPr>
      <w:r w:rsidRPr="006F387B">
        <w:rPr>
          <w:rFonts w:ascii="Arial" w:hAnsi="Arial" w:cs="Arial"/>
          <w:sz w:val="22"/>
          <w:szCs w:val="22"/>
        </w:rPr>
        <w:t xml:space="preserve">On 12 July 2016, Luxbet Customer Service responded to Mr </w:t>
      </w:r>
      <w:r w:rsidR="00754790">
        <w:rPr>
          <w:rFonts w:ascii="Arial" w:hAnsi="Arial" w:cs="Arial"/>
          <w:sz w:val="22"/>
          <w:szCs w:val="22"/>
        </w:rPr>
        <w:t>M</w:t>
      </w:r>
      <w:r w:rsidRPr="006F387B">
        <w:rPr>
          <w:rFonts w:ascii="Arial" w:hAnsi="Arial" w:cs="Arial"/>
          <w:sz w:val="22"/>
          <w:szCs w:val="22"/>
        </w:rPr>
        <w:t xml:space="preserve">; </w:t>
      </w:r>
      <w:r w:rsidRPr="006F387B">
        <w:rPr>
          <w:rFonts w:ascii="Arial" w:hAnsi="Arial" w:cs="Arial"/>
          <w:i/>
          <w:sz w:val="22"/>
          <w:szCs w:val="22"/>
        </w:rPr>
        <w:t>“I have reviewed the call made to the Operator in which you have requested to Take a Break by temporarily closing the Account and found that there was no mention to Responsible Gambling or a request to Permanently self-exclude the Account when the Operator asked for a reason as to why the Account was being closed. Given the correspondence today I have Permanently Self Excluded the Account and you will no longer be able to place bets with Luxbet going forward”:</w:t>
      </w:r>
    </w:p>
    <w:p w:rsidR="00364A28" w:rsidRPr="006F387B" w:rsidRDefault="00364A28" w:rsidP="006F387B">
      <w:pPr>
        <w:ind w:left="567"/>
        <w:jc w:val="both"/>
        <w:rPr>
          <w:rFonts w:ascii="Arial" w:hAnsi="Arial" w:cs="Arial"/>
          <w:sz w:val="22"/>
          <w:szCs w:val="22"/>
        </w:rPr>
      </w:pPr>
    </w:p>
    <w:p w:rsidR="00364A28" w:rsidRPr="006F387B" w:rsidRDefault="00364A28" w:rsidP="006F387B">
      <w:pPr>
        <w:numPr>
          <w:ilvl w:val="1"/>
          <w:numId w:val="34"/>
        </w:numPr>
        <w:ind w:left="1134"/>
        <w:jc w:val="both"/>
        <w:rPr>
          <w:rFonts w:ascii="Arial" w:hAnsi="Arial" w:cs="Arial"/>
          <w:sz w:val="22"/>
          <w:szCs w:val="22"/>
        </w:rPr>
      </w:pPr>
      <w:r w:rsidRPr="006F387B">
        <w:rPr>
          <w:rFonts w:ascii="Arial" w:hAnsi="Arial" w:cs="Arial"/>
          <w:sz w:val="22"/>
          <w:szCs w:val="22"/>
        </w:rPr>
        <w:t xml:space="preserve">Mr </w:t>
      </w:r>
      <w:r w:rsidR="00754790">
        <w:rPr>
          <w:rFonts w:ascii="Arial" w:hAnsi="Arial" w:cs="Arial"/>
          <w:sz w:val="22"/>
          <w:szCs w:val="22"/>
        </w:rPr>
        <w:t>M</w:t>
      </w:r>
      <w:r w:rsidRPr="006F387B">
        <w:rPr>
          <w:rFonts w:ascii="Arial" w:hAnsi="Arial" w:cs="Arial"/>
          <w:sz w:val="22"/>
          <w:szCs w:val="22"/>
        </w:rPr>
        <w:t xml:space="preserve"> replied </w:t>
      </w:r>
      <w:r w:rsidRPr="006F387B">
        <w:rPr>
          <w:rFonts w:ascii="Arial" w:hAnsi="Arial" w:cs="Arial"/>
          <w:i/>
          <w:sz w:val="22"/>
          <w:szCs w:val="22"/>
        </w:rPr>
        <w:t>“as mentioned early when I closed my account last I asked to be self-excluded. I was happy to have the issues sorted out from the weekend and call it satisfactory”.</w:t>
      </w:r>
    </w:p>
    <w:p w:rsidR="00364A28" w:rsidRPr="006F387B" w:rsidRDefault="00364A28" w:rsidP="00364A28">
      <w:pPr>
        <w:jc w:val="both"/>
        <w:rPr>
          <w:rFonts w:ascii="Arial" w:hAnsi="Arial" w:cs="Arial"/>
          <w:sz w:val="22"/>
          <w:szCs w:val="22"/>
        </w:rPr>
      </w:pPr>
    </w:p>
    <w:p w:rsidR="00364A28" w:rsidRPr="006F387B" w:rsidRDefault="00364A28" w:rsidP="00364A28">
      <w:pPr>
        <w:numPr>
          <w:ilvl w:val="0"/>
          <w:numId w:val="16"/>
        </w:numPr>
        <w:ind w:left="567" w:hanging="425"/>
        <w:jc w:val="both"/>
        <w:rPr>
          <w:rFonts w:ascii="Arial" w:hAnsi="Arial" w:cs="Arial"/>
          <w:sz w:val="22"/>
          <w:szCs w:val="22"/>
        </w:rPr>
      </w:pPr>
      <w:r w:rsidRPr="006F387B">
        <w:rPr>
          <w:rFonts w:ascii="Arial" w:hAnsi="Arial" w:cs="Arial"/>
          <w:sz w:val="22"/>
          <w:szCs w:val="22"/>
        </w:rPr>
        <w:t xml:space="preserve">On 12 July 2016, Luxbet Customer Service reiterated to </w:t>
      </w:r>
      <w:r w:rsidRPr="006F387B">
        <w:rPr>
          <w:rFonts w:ascii="Arial" w:hAnsi="Arial" w:cs="Arial"/>
          <w:sz w:val="22"/>
          <w:szCs w:val="22"/>
        </w:rPr>
        <w:br/>
        <w:t xml:space="preserve">Mr </w:t>
      </w:r>
      <w:r w:rsidR="00754790">
        <w:rPr>
          <w:rFonts w:ascii="Arial" w:hAnsi="Arial" w:cs="Arial"/>
          <w:sz w:val="22"/>
          <w:szCs w:val="22"/>
        </w:rPr>
        <w:t>M</w:t>
      </w:r>
      <w:r w:rsidRPr="006F387B">
        <w:rPr>
          <w:rFonts w:ascii="Arial" w:hAnsi="Arial" w:cs="Arial"/>
          <w:sz w:val="22"/>
          <w:szCs w:val="22"/>
        </w:rPr>
        <w:t xml:space="preserve">; </w:t>
      </w:r>
      <w:r w:rsidRPr="006F387B">
        <w:rPr>
          <w:rFonts w:ascii="Arial" w:hAnsi="Arial" w:cs="Arial"/>
          <w:i/>
          <w:sz w:val="22"/>
          <w:szCs w:val="22"/>
        </w:rPr>
        <w:t>“Unfortunately I am unsure as to what resolution you are after, there has been a complaint made in re</w:t>
      </w:r>
      <w:r w:rsidR="00636132">
        <w:rPr>
          <w:rFonts w:ascii="Arial" w:hAnsi="Arial" w:cs="Arial"/>
          <w:i/>
          <w:sz w:val="22"/>
          <w:szCs w:val="22"/>
        </w:rPr>
        <w:t xml:space="preserve">gards to the Account not being </w:t>
      </w:r>
      <w:r w:rsidRPr="006F387B">
        <w:rPr>
          <w:rFonts w:ascii="Arial" w:hAnsi="Arial" w:cs="Arial"/>
          <w:i/>
          <w:sz w:val="22"/>
          <w:szCs w:val="22"/>
        </w:rPr>
        <w:t>self-excluded previously even though there was no request for Permanent closure or indication of problem gambling (I have reviewed the call from late 2015) so in light of today’s correspondence I have had to process Self Exclusion on the Account under Responsible Gambling guidelines”.</w:t>
      </w:r>
    </w:p>
    <w:p w:rsidR="00364A28" w:rsidRPr="006F387B" w:rsidRDefault="00364A28" w:rsidP="00364A28">
      <w:pPr>
        <w:ind w:hanging="425"/>
        <w:jc w:val="both"/>
        <w:rPr>
          <w:rFonts w:ascii="Arial" w:hAnsi="Arial" w:cs="Arial"/>
          <w:i/>
          <w:sz w:val="22"/>
          <w:szCs w:val="22"/>
        </w:rPr>
      </w:pPr>
    </w:p>
    <w:p w:rsidR="00364A28" w:rsidRPr="006F387B" w:rsidRDefault="00364A28" w:rsidP="00636132">
      <w:pPr>
        <w:numPr>
          <w:ilvl w:val="0"/>
          <w:numId w:val="16"/>
        </w:numPr>
        <w:ind w:left="567" w:hanging="425"/>
        <w:jc w:val="both"/>
        <w:rPr>
          <w:rFonts w:ascii="Arial" w:hAnsi="Arial" w:cs="Arial"/>
          <w:sz w:val="22"/>
          <w:szCs w:val="22"/>
        </w:rPr>
      </w:pPr>
      <w:r w:rsidRPr="006F387B">
        <w:rPr>
          <w:rFonts w:ascii="Arial" w:hAnsi="Arial" w:cs="Arial"/>
          <w:sz w:val="22"/>
          <w:szCs w:val="22"/>
        </w:rPr>
        <w:t>Records were obtained from the Bookmaker including telephone transcripts relating to previous account openings and closings and it was ascertained that the following occurred:</w:t>
      </w:r>
    </w:p>
    <w:p w:rsidR="00364A28" w:rsidRPr="006F387B" w:rsidRDefault="00364A28" w:rsidP="006F387B">
      <w:pPr>
        <w:pStyle w:val="ListParagraph"/>
        <w:rPr>
          <w:rFonts w:ascii="Arial" w:hAnsi="Arial" w:cs="Arial"/>
          <w:sz w:val="22"/>
          <w:szCs w:val="22"/>
        </w:rPr>
      </w:pPr>
    </w:p>
    <w:p w:rsidR="00364A28" w:rsidRPr="006F387B" w:rsidRDefault="00364A28" w:rsidP="006F387B">
      <w:pPr>
        <w:numPr>
          <w:ilvl w:val="1"/>
          <w:numId w:val="36"/>
        </w:numPr>
        <w:spacing w:after="120"/>
        <w:ind w:left="1134" w:hanging="357"/>
        <w:rPr>
          <w:rFonts w:ascii="Arial" w:hAnsi="Arial" w:cs="Arial"/>
          <w:b/>
          <w:sz w:val="22"/>
          <w:szCs w:val="22"/>
        </w:rPr>
      </w:pPr>
      <w:r w:rsidRPr="006F387B">
        <w:rPr>
          <w:rFonts w:ascii="Arial" w:hAnsi="Arial" w:cs="Arial"/>
          <w:sz w:val="22"/>
          <w:szCs w:val="22"/>
        </w:rPr>
        <w:t>Opened:16 Feb</w:t>
      </w:r>
      <w:r w:rsidR="00636132">
        <w:rPr>
          <w:rFonts w:ascii="Arial" w:hAnsi="Arial" w:cs="Arial"/>
          <w:sz w:val="22"/>
          <w:szCs w:val="22"/>
        </w:rPr>
        <w:t>ruary</w:t>
      </w:r>
      <w:r w:rsidRPr="006F387B">
        <w:rPr>
          <w:rFonts w:ascii="Arial" w:hAnsi="Arial" w:cs="Arial"/>
          <w:sz w:val="22"/>
          <w:szCs w:val="22"/>
        </w:rPr>
        <w:t xml:space="preserve"> 2012</w:t>
      </w:r>
    </w:p>
    <w:p w:rsidR="00364A28" w:rsidRPr="006F387B" w:rsidRDefault="00364A28" w:rsidP="006F387B">
      <w:pPr>
        <w:numPr>
          <w:ilvl w:val="1"/>
          <w:numId w:val="36"/>
        </w:numPr>
        <w:spacing w:before="120" w:after="120"/>
        <w:ind w:left="1134" w:hanging="357"/>
        <w:rPr>
          <w:rFonts w:ascii="Arial" w:hAnsi="Arial" w:cs="Arial"/>
          <w:b/>
          <w:sz w:val="22"/>
          <w:szCs w:val="22"/>
        </w:rPr>
      </w:pPr>
      <w:r w:rsidRPr="006F387B">
        <w:rPr>
          <w:rFonts w:ascii="Arial" w:hAnsi="Arial" w:cs="Arial"/>
          <w:sz w:val="22"/>
          <w:szCs w:val="22"/>
        </w:rPr>
        <w:t>Closed</w:t>
      </w:r>
      <w:r w:rsidR="00636132">
        <w:rPr>
          <w:rFonts w:ascii="Arial" w:hAnsi="Arial" w:cs="Arial"/>
          <w:sz w:val="22"/>
          <w:szCs w:val="22"/>
        </w:rPr>
        <w:t>:</w:t>
      </w:r>
      <w:r w:rsidRPr="006F387B">
        <w:rPr>
          <w:rFonts w:ascii="Arial" w:hAnsi="Arial" w:cs="Arial"/>
          <w:sz w:val="22"/>
          <w:szCs w:val="22"/>
        </w:rPr>
        <w:t xml:space="preserve"> 3 December 2012</w:t>
      </w:r>
    </w:p>
    <w:p w:rsidR="00364A28" w:rsidRPr="006F387B" w:rsidRDefault="00364A28" w:rsidP="006F387B">
      <w:pPr>
        <w:numPr>
          <w:ilvl w:val="1"/>
          <w:numId w:val="36"/>
        </w:numPr>
        <w:spacing w:before="120" w:after="120"/>
        <w:ind w:left="1134" w:hanging="357"/>
        <w:rPr>
          <w:rFonts w:ascii="Arial" w:hAnsi="Arial" w:cs="Arial"/>
          <w:b/>
          <w:sz w:val="22"/>
          <w:szCs w:val="22"/>
        </w:rPr>
      </w:pPr>
      <w:r w:rsidRPr="006F387B">
        <w:rPr>
          <w:rFonts w:ascii="Arial" w:hAnsi="Arial" w:cs="Arial"/>
          <w:sz w:val="22"/>
          <w:szCs w:val="22"/>
        </w:rPr>
        <w:t>Opened</w:t>
      </w:r>
      <w:r w:rsidR="00636132">
        <w:rPr>
          <w:rFonts w:ascii="Arial" w:hAnsi="Arial" w:cs="Arial"/>
          <w:sz w:val="22"/>
          <w:szCs w:val="22"/>
        </w:rPr>
        <w:t>:</w:t>
      </w:r>
      <w:r w:rsidRPr="006F387B">
        <w:rPr>
          <w:rFonts w:ascii="Arial" w:hAnsi="Arial" w:cs="Arial"/>
          <w:sz w:val="22"/>
          <w:szCs w:val="22"/>
        </w:rPr>
        <w:t xml:space="preserve"> 9 February 2015</w:t>
      </w:r>
    </w:p>
    <w:p w:rsidR="00364A28" w:rsidRPr="006F387B" w:rsidRDefault="00364A28" w:rsidP="006F387B">
      <w:pPr>
        <w:numPr>
          <w:ilvl w:val="1"/>
          <w:numId w:val="36"/>
        </w:numPr>
        <w:spacing w:before="120" w:after="120"/>
        <w:ind w:left="1134" w:hanging="357"/>
        <w:rPr>
          <w:rFonts w:ascii="Arial" w:hAnsi="Arial" w:cs="Arial"/>
          <w:b/>
          <w:sz w:val="22"/>
          <w:szCs w:val="22"/>
        </w:rPr>
      </w:pPr>
      <w:r w:rsidRPr="006F387B">
        <w:rPr>
          <w:rFonts w:ascii="Arial" w:hAnsi="Arial" w:cs="Arial"/>
          <w:sz w:val="22"/>
          <w:szCs w:val="22"/>
        </w:rPr>
        <w:t>Closed</w:t>
      </w:r>
      <w:r w:rsidR="00636132">
        <w:rPr>
          <w:rFonts w:ascii="Arial" w:hAnsi="Arial" w:cs="Arial"/>
          <w:sz w:val="22"/>
          <w:szCs w:val="22"/>
        </w:rPr>
        <w:t>:</w:t>
      </w:r>
      <w:r w:rsidRPr="006F387B">
        <w:rPr>
          <w:rFonts w:ascii="Arial" w:hAnsi="Arial" w:cs="Arial"/>
          <w:sz w:val="22"/>
          <w:szCs w:val="22"/>
        </w:rPr>
        <w:t xml:space="preserve"> 29 November 2015</w:t>
      </w:r>
    </w:p>
    <w:p w:rsidR="00364A28" w:rsidRPr="006F387B" w:rsidRDefault="00364A28" w:rsidP="006F387B">
      <w:pPr>
        <w:numPr>
          <w:ilvl w:val="1"/>
          <w:numId w:val="36"/>
        </w:numPr>
        <w:spacing w:before="120" w:after="120"/>
        <w:ind w:left="1134" w:hanging="357"/>
        <w:rPr>
          <w:rFonts w:ascii="Arial" w:hAnsi="Arial" w:cs="Arial"/>
          <w:b/>
          <w:sz w:val="22"/>
          <w:szCs w:val="22"/>
        </w:rPr>
      </w:pPr>
      <w:r w:rsidRPr="006F387B">
        <w:rPr>
          <w:rFonts w:ascii="Arial" w:hAnsi="Arial" w:cs="Arial"/>
          <w:sz w:val="22"/>
          <w:szCs w:val="22"/>
        </w:rPr>
        <w:t>Opened</w:t>
      </w:r>
      <w:r w:rsidR="00636132">
        <w:rPr>
          <w:rFonts w:ascii="Arial" w:hAnsi="Arial" w:cs="Arial"/>
          <w:sz w:val="22"/>
          <w:szCs w:val="22"/>
        </w:rPr>
        <w:t>:</w:t>
      </w:r>
      <w:r w:rsidRPr="006F387B">
        <w:rPr>
          <w:rFonts w:ascii="Arial" w:hAnsi="Arial" w:cs="Arial"/>
          <w:sz w:val="22"/>
          <w:szCs w:val="22"/>
        </w:rPr>
        <w:t xml:space="preserve"> 4 March 2016</w:t>
      </w:r>
    </w:p>
    <w:p w:rsidR="00364A28" w:rsidRPr="006F387B" w:rsidRDefault="00364A28" w:rsidP="006F387B">
      <w:pPr>
        <w:numPr>
          <w:ilvl w:val="1"/>
          <w:numId w:val="36"/>
        </w:numPr>
        <w:spacing w:before="120" w:after="120"/>
        <w:ind w:left="1134" w:hanging="357"/>
        <w:rPr>
          <w:rFonts w:ascii="Arial" w:hAnsi="Arial" w:cs="Arial"/>
          <w:b/>
          <w:sz w:val="22"/>
          <w:szCs w:val="22"/>
        </w:rPr>
      </w:pPr>
      <w:r w:rsidRPr="006F387B">
        <w:rPr>
          <w:rFonts w:ascii="Arial" w:hAnsi="Arial" w:cs="Arial"/>
          <w:sz w:val="22"/>
          <w:szCs w:val="22"/>
        </w:rPr>
        <w:t>Closed</w:t>
      </w:r>
      <w:r w:rsidR="00636132">
        <w:rPr>
          <w:rFonts w:ascii="Arial" w:hAnsi="Arial" w:cs="Arial"/>
          <w:sz w:val="22"/>
          <w:szCs w:val="22"/>
        </w:rPr>
        <w:t>:</w:t>
      </w:r>
      <w:r w:rsidRPr="006F387B">
        <w:rPr>
          <w:rFonts w:ascii="Arial" w:hAnsi="Arial" w:cs="Arial"/>
          <w:sz w:val="22"/>
          <w:szCs w:val="22"/>
        </w:rPr>
        <w:t xml:space="preserve"> 12 July 2016 (self-excluded)</w:t>
      </w:r>
    </w:p>
    <w:p w:rsidR="00364A28" w:rsidRPr="006F387B" w:rsidRDefault="00364A28" w:rsidP="00364A28">
      <w:pPr>
        <w:jc w:val="both"/>
        <w:rPr>
          <w:rFonts w:ascii="Arial" w:hAnsi="Arial" w:cs="Arial"/>
          <w:i/>
          <w:sz w:val="22"/>
          <w:szCs w:val="22"/>
        </w:rPr>
      </w:pPr>
    </w:p>
    <w:p w:rsidR="00364A28" w:rsidRPr="006F387B" w:rsidRDefault="00364A28" w:rsidP="00636132">
      <w:pPr>
        <w:numPr>
          <w:ilvl w:val="0"/>
          <w:numId w:val="16"/>
        </w:numPr>
        <w:ind w:left="567" w:hanging="425"/>
        <w:jc w:val="both"/>
        <w:rPr>
          <w:rFonts w:ascii="Arial" w:hAnsi="Arial" w:cs="Arial"/>
          <w:sz w:val="22"/>
          <w:szCs w:val="22"/>
        </w:rPr>
      </w:pPr>
      <w:r w:rsidRPr="006F387B">
        <w:rPr>
          <w:rFonts w:ascii="Arial" w:hAnsi="Arial" w:cs="Arial"/>
          <w:sz w:val="22"/>
          <w:szCs w:val="22"/>
        </w:rPr>
        <w:t xml:space="preserve">Evidence suggests that all requests to close the betting accounts by Mr </w:t>
      </w:r>
      <w:r w:rsidR="00754790">
        <w:rPr>
          <w:rFonts w:ascii="Arial" w:hAnsi="Arial" w:cs="Arial"/>
          <w:sz w:val="22"/>
          <w:szCs w:val="22"/>
        </w:rPr>
        <w:t>M</w:t>
      </w:r>
      <w:r w:rsidRPr="006F387B">
        <w:rPr>
          <w:rFonts w:ascii="Arial" w:hAnsi="Arial" w:cs="Arial"/>
          <w:sz w:val="22"/>
          <w:szCs w:val="22"/>
        </w:rPr>
        <w:t xml:space="preserve"> prior to </w:t>
      </w:r>
      <w:r w:rsidR="00636132">
        <w:rPr>
          <w:rFonts w:ascii="Arial" w:hAnsi="Arial" w:cs="Arial"/>
          <w:sz w:val="22"/>
          <w:szCs w:val="22"/>
        </w:rPr>
        <w:br/>
      </w:r>
      <w:r w:rsidRPr="006F387B">
        <w:rPr>
          <w:rFonts w:ascii="Arial" w:hAnsi="Arial" w:cs="Arial"/>
          <w:sz w:val="22"/>
          <w:szCs w:val="22"/>
        </w:rPr>
        <w:t>12 July 2016 contained no mention of problem gambling and/or self-exclusion.</w:t>
      </w:r>
    </w:p>
    <w:p w:rsidR="006F387B" w:rsidRDefault="006F387B" w:rsidP="006F387B">
      <w:pPr>
        <w:pStyle w:val="Heading2"/>
        <w:spacing w:before="0" w:after="0"/>
        <w:rPr>
          <w:sz w:val="26"/>
          <w:szCs w:val="26"/>
        </w:rPr>
      </w:pPr>
    </w:p>
    <w:p w:rsidR="006F387B" w:rsidRDefault="006F387B" w:rsidP="006F387B">
      <w:pPr>
        <w:pStyle w:val="Heading2"/>
        <w:spacing w:before="0" w:after="0"/>
        <w:rPr>
          <w:sz w:val="26"/>
          <w:szCs w:val="26"/>
        </w:rPr>
      </w:pPr>
    </w:p>
    <w:p w:rsidR="000048F3" w:rsidRPr="006F387B" w:rsidRDefault="00DB64C1" w:rsidP="006F387B">
      <w:pPr>
        <w:pStyle w:val="Heading2"/>
        <w:spacing w:before="0" w:after="0" w:line="360" w:lineRule="auto"/>
        <w:rPr>
          <w:sz w:val="26"/>
          <w:szCs w:val="26"/>
        </w:rPr>
      </w:pPr>
      <w:r w:rsidRPr="006F387B">
        <w:rPr>
          <w:sz w:val="26"/>
          <w:szCs w:val="26"/>
        </w:rPr>
        <w:t>Consideration of the Issues</w:t>
      </w:r>
    </w:p>
    <w:p w:rsidR="00364A28" w:rsidRPr="006F387B" w:rsidRDefault="00364A28" w:rsidP="006F387B">
      <w:pPr>
        <w:spacing w:line="360" w:lineRule="auto"/>
        <w:rPr>
          <w:rFonts w:ascii="Arial" w:hAnsi="Arial" w:cs="Arial"/>
          <w:b/>
          <w:sz w:val="22"/>
          <w:szCs w:val="22"/>
          <w:u w:val="single"/>
        </w:rPr>
      </w:pPr>
      <w:r w:rsidRPr="006F387B">
        <w:rPr>
          <w:rFonts w:ascii="Arial" w:hAnsi="Arial" w:cs="Arial"/>
          <w:b/>
          <w:sz w:val="22"/>
          <w:szCs w:val="22"/>
          <w:u w:val="single"/>
        </w:rPr>
        <w:t>Problem Gambling</w:t>
      </w:r>
    </w:p>
    <w:p w:rsidR="00364A28" w:rsidRPr="006F387B" w:rsidRDefault="00364A28" w:rsidP="00364A28">
      <w:pPr>
        <w:pStyle w:val="ListParagraph"/>
        <w:numPr>
          <w:ilvl w:val="0"/>
          <w:numId w:val="16"/>
        </w:numPr>
        <w:ind w:left="567" w:hanging="425"/>
        <w:jc w:val="both"/>
        <w:rPr>
          <w:rFonts w:ascii="Arial" w:hAnsi="Arial" w:cs="Arial"/>
          <w:sz w:val="22"/>
          <w:szCs w:val="22"/>
        </w:rPr>
      </w:pPr>
      <w:r w:rsidRPr="006F387B">
        <w:rPr>
          <w:rFonts w:ascii="Arial" w:hAnsi="Arial" w:cs="Arial"/>
          <w:sz w:val="22"/>
          <w:szCs w:val="22"/>
        </w:rPr>
        <w:t xml:space="preserve">The Racing Commission requires bookmakers to comply with the </w:t>
      </w:r>
      <w:r w:rsidR="00F679B7">
        <w:rPr>
          <w:rFonts w:ascii="Arial" w:hAnsi="Arial" w:cs="Arial"/>
          <w:sz w:val="22"/>
          <w:szCs w:val="22"/>
        </w:rPr>
        <w:t xml:space="preserve">NT </w:t>
      </w:r>
      <w:r w:rsidRPr="006F387B">
        <w:rPr>
          <w:rFonts w:ascii="Arial" w:hAnsi="Arial" w:cs="Arial"/>
          <w:sz w:val="22"/>
          <w:szCs w:val="22"/>
        </w:rPr>
        <w:t>Code of Practice for Responsible Gambling (the “Code”) and considers breaches of the Code to be most serious in nature. The Code defines problem gambling as:</w:t>
      </w:r>
    </w:p>
    <w:p w:rsidR="006F387B" w:rsidRDefault="006F387B">
      <w:pPr>
        <w:rPr>
          <w:rFonts w:ascii="Arial" w:hAnsi="Arial"/>
          <w:b/>
          <w:sz w:val="18"/>
          <w:szCs w:val="18"/>
        </w:rPr>
      </w:pPr>
    </w:p>
    <w:p w:rsidR="00636132" w:rsidRDefault="00636132">
      <w:pPr>
        <w:rPr>
          <w:rFonts w:ascii="Arial" w:hAnsi="Arial"/>
          <w:b/>
          <w:sz w:val="18"/>
          <w:szCs w:val="18"/>
        </w:rPr>
      </w:pPr>
      <w:r>
        <w:rPr>
          <w:rFonts w:ascii="Arial" w:hAnsi="Arial"/>
          <w:b/>
          <w:sz w:val="18"/>
          <w:szCs w:val="18"/>
        </w:rPr>
        <w:br w:type="page"/>
      </w:r>
    </w:p>
    <w:p w:rsidR="00364A28" w:rsidRPr="00364A28" w:rsidRDefault="00364A28" w:rsidP="00364A28">
      <w:pPr>
        <w:ind w:left="567"/>
        <w:rPr>
          <w:rFonts w:ascii="Arial" w:hAnsi="Arial"/>
          <w:b/>
          <w:sz w:val="18"/>
          <w:szCs w:val="18"/>
        </w:rPr>
      </w:pPr>
      <w:r w:rsidRPr="00364A28">
        <w:rPr>
          <w:rFonts w:ascii="Arial" w:hAnsi="Arial"/>
          <w:b/>
          <w:sz w:val="18"/>
          <w:szCs w:val="18"/>
        </w:rPr>
        <w:lastRenderedPageBreak/>
        <w:t>What is Responsible Gambling?</w:t>
      </w:r>
    </w:p>
    <w:p w:rsidR="00364A28" w:rsidRPr="00364A28" w:rsidRDefault="00364A28" w:rsidP="00364A28">
      <w:pPr>
        <w:ind w:left="567"/>
        <w:rPr>
          <w:rFonts w:ascii="Arial" w:hAnsi="Arial"/>
          <w:sz w:val="18"/>
          <w:szCs w:val="18"/>
        </w:rPr>
      </w:pPr>
    </w:p>
    <w:p w:rsidR="00364A28" w:rsidRPr="00364A28" w:rsidRDefault="00364A28" w:rsidP="00364A28">
      <w:pPr>
        <w:ind w:left="567"/>
        <w:jc w:val="both"/>
        <w:rPr>
          <w:rFonts w:ascii="Arial" w:hAnsi="Arial"/>
          <w:sz w:val="18"/>
          <w:szCs w:val="18"/>
        </w:rPr>
      </w:pPr>
      <w:r w:rsidRPr="00364A28">
        <w:rPr>
          <w:rFonts w:ascii="Arial" w:hAnsi="Arial"/>
          <w:sz w:val="18"/>
          <w:szCs w:val="18"/>
        </w:rPr>
        <w:t>“Responsible gambling” is a broad concept and involves the conduct of gambling in a manner whereby the potential for harm associated with gambling is minimised.</w:t>
      </w:r>
    </w:p>
    <w:p w:rsidR="00364A28" w:rsidRPr="00364A28" w:rsidRDefault="00364A28" w:rsidP="00364A28">
      <w:pPr>
        <w:ind w:left="567"/>
        <w:jc w:val="both"/>
        <w:rPr>
          <w:rFonts w:ascii="Arial" w:hAnsi="Arial"/>
          <w:sz w:val="18"/>
          <w:szCs w:val="18"/>
        </w:rPr>
      </w:pPr>
    </w:p>
    <w:p w:rsidR="00364A28" w:rsidRPr="00364A28" w:rsidRDefault="00364A28" w:rsidP="00364A28">
      <w:pPr>
        <w:ind w:left="567"/>
        <w:jc w:val="both"/>
        <w:rPr>
          <w:rFonts w:ascii="Arial" w:hAnsi="Arial"/>
          <w:sz w:val="18"/>
          <w:szCs w:val="18"/>
        </w:rPr>
      </w:pPr>
      <w:r w:rsidRPr="00364A28">
        <w:rPr>
          <w:rFonts w:ascii="Arial" w:hAnsi="Arial"/>
          <w:sz w:val="18"/>
          <w:szCs w:val="18"/>
        </w:rPr>
        <w:t>It respects the responsibility of individuals for their own actions, but also acknowledges a responsibility on the part of the service providers.</w:t>
      </w:r>
    </w:p>
    <w:p w:rsidR="00364A28" w:rsidRPr="00364A28" w:rsidRDefault="00364A28" w:rsidP="00364A28">
      <w:pPr>
        <w:ind w:left="567"/>
        <w:jc w:val="both"/>
        <w:rPr>
          <w:rFonts w:ascii="Arial" w:hAnsi="Arial"/>
          <w:sz w:val="18"/>
          <w:szCs w:val="18"/>
        </w:rPr>
      </w:pPr>
    </w:p>
    <w:p w:rsidR="00364A28" w:rsidRPr="00364A28" w:rsidRDefault="00364A28" w:rsidP="00364A28">
      <w:pPr>
        <w:ind w:left="567"/>
        <w:jc w:val="both"/>
        <w:rPr>
          <w:rFonts w:ascii="Arial" w:hAnsi="Arial"/>
          <w:sz w:val="18"/>
          <w:szCs w:val="18"/>
        </w:rPr>
      </w:pPr>
      <w:r w:rsidRPr="00364A28">
        <w:rPr>
          <w:rFonts w:ascii="Arial" w:hAnsi="Arial"/>
          <w:sz w:val="18"/>
          <w:szCs w:val="18"/>
        </w:rPr>
        <w:t>Responsible gambling has regard to the context in which gambling occurs, the inducements made to gamble, the way the gambling service operates and the integrity of the gambling operator.</w:t>
      </w:r>
    </w:p>
    <w:p w:rsidR="00364A28" w:rsidRPr="00364A28" w:rsidRDefault="00364A28" w:rsidP="00364A28">
      <w:pPr>
        <w:ind w:left="567"/>
        <w:jc w:val="both"/>
        <w:rPr>
          <w:rFonts w:ascii="Arial" w:hAnsi="Arial"/>
          <w:sz w:val="18"/>
          <w:szCs w:val="18"/>
        </w:rPr>
      </w:pPr>
    </w:p>
    <w:p w:rsidR="00364A28" w:rsidRPr="00364A28" w:rsidRDefault="00364A28" w:rsidP="00364A28">
      <w:pPr>
        <w:ind w:left="567"/>
        <w:jc w:val="both"/>
        <w:rPr>
          <w:rFonts w:ascii="Arial" w:hAnsi="Arial"/>
          <w:sz w:val="18"/>
          <w:szCs w:val="18"/>
        </w:rPr>
      </w:pPr>
      <w:r w:rsidRPr="00364A28">
        <w:rPr>
          <w:rFonts w:ascii="Arial" w:hAnsi="Arial"/>
          <w:sz w:val="18"/>
          <w:szCs w:val="18"/>
        </w:rPr>
        <w:t>The aim is to enable persons to make informed decisions about their participation in gambling and, if harm has occurred, to provide access to gambling help services.</w:t>
      </w:r>
    </w:p>
    <w:p w:rsidR="00364A28" w:rsidRPr="00364A28" w:rsidRDefault="00364A28" w:rsidP="00364A28">
      <w:pPr>
        <w:ind w:left="567"/>
        <w:jc w:val="both"/>
        <w:rPr>
          <w:rFonts w:ascii="Arial" w:hAnsi="Arial" w:cs="Arial"/>
        </w:rPr>
      </w:pPr>
    </w:p>
    <w:p w:rsidR="00364A28" w:rsidRPr="006F387B" w:rsidRDefault="00364A28" w:rsidP="00364A28">
      <w:pPr>
        <w:pStyle w:val="ListParagraph"/>
        <w:numPr>
          <w:ilvl w:val="0"/>
          <w:numId w:val="16"/>
        </w:numPr>
        <w:ind w:left="567" w:hanging="425"/>
        <w:jc w:val="both"/>
        <w:rPr>
          <w:rFonts w:ascii="Arial" w:hAnsi="Arial" w:cs="Arial"/>
          <w:sz w:val="22"/>
          <w:szCs w:val="22"/>
        </w:rPr>
      </w:pPr>
      <w:r w:rsidRPr="006F387B">
        <w:rPr>
          <w:rFonts w:ascii="Arial" w:hAnsi="Arial" w:cs="Arial"/>
          <w:sz w:val="22"/>
          <w:szCs w:val="22"/>
        </w:rPr>
        <w:t>Please note as the allegations</w:t>
      </w:r>
      <w:r w:rsidRPr="00636132">
        <w:rPr>
          <w:rFonts w:ascii="Arial" w:hAnsi="Arial" w:cs="Arial"/>
          <w:i/>
          <w:sz w:val="22"/>
          <w:szCs w:val="22"/>
        </w:rPr>
        <w:t xml:space="preserve"> “when I closed my account last I asked to be self-excluded” </w:t>
      </w:r>
      <w:r w:rsidRPr="006F387B">
        <w:rPr>
          <w:rFonts w:ascii="Arial" w:hAnsi="Arial" w:cs="Arial"/>
          <w:sz w:val="22"/>
          <w:szCs w:val="22"/>
        </w:rPr>
        <w:t>is from November 2015 references to the Code are for the former Code which was replaced on 1 March 2016.</w:t>
      </w:r>
    </w:p>
    <w:p w:rsidR="00364A28" w:rsidRPr="006F387B" w:rsidRDefault="00364A28" w:rsidP="00364A28">
      <w:pPr>
        <w:pStyle w:val="ListParagraph"/>
        <w:ind w:left="567"/>
        <w:jc w:val="both"/>
        <w:rPr>
          <w:rFonts w:ascii="Arial" w:hAnsi="Arial" w:cs="Arial"/>
          <w:sz w:val="22"/>
          <w:szCs w:val="22"/>
        </w:rPr>
      </w:pPr>
    </w:p>
    <w:p w:rsidR="00364A28" w:rsidRPr="006F387B" w:rsidRDefault="00364A28" w:rsidP="00364A28">
      <w:pPr>
        <w:pStyle w:val="ListParagraph"/>
        <w:numPr>
          <w:ilvl w:val="0"/>
          <w:numId w:val="16"/>
        </w:numPr>
        <w:ind w:left="567" w:hanging="425"/>
        <w:jc w:val="both"/>
        <w:rPr>
          <w:rFonts w:ascii="Arial" w:hAnsi="Arial" w:cs="Arial"/>
          <w:sz w:val="22"/>
          <w:szCs w:val="22"/>
        </w:rPr>
      </w:pPr>
      <w:r w:rsidRPr="006F387B">
        <w:rPr>
          <w:rFonts w:ascii="Arial" w:hAnsi="Arial" w:cs="Arial"/>
          <w:sz w:val="22"/>
          <w:szCs w:val="22"/>
        </w:rPr>
        <w:t>The Code also prescribes what actions must be taken to allow patrons to self-exclude:</w:t>
      </w:r>
    </w:p>
    <w:p w:rsidR="00364A28" w:rsidRDefault="00364A28" w:rsidP="00364A28">
      <w:pPr>
        <w:jc w:val="both"/>
        <w:rPr>
          <w:rFonts w:ascii="Arial" w:hAnsi="Arial" w:cs="Arial"/>
        </w:rPr>
      </w:pPr>
    </w:p>
    <w:p w:rsidR="00364A28" w:rsidRPr="00364A28" w:rsidRDefault="00364A28" w:rsidP="00364A28">
      <w:pPr>
        <w:spacing w:line="360" w:lineRule="auto"/>
        <w:ind w:left="567"/>
        <w:rPr>
          <w:rFonts w:ascii="Arial" w:hAnsi="Arial"/>
          <w:sz w:val="18"/>
          <w:szCs w:val="18"/>
        </w:rPr>
      </w:pPr>
      <w:r w:rsidRPr="00364A28">
        <w:rPr>
          <w:rFonts w:ascii="Arial" w:hAnsi="Arial"/>
          <w:b/>
          <w:sz w:val="18"/>
          <w:szCs w:val="18"/>
        </w:rPr>
        <w:t>4. Exclusion of Problem Gamblers</w:t>
      </w:r>
    </w:p>
    <w:p w:rsidR="00364A28" w:rsidRPr="00C732CB" w:rsidRDefault="00364A28" w:rsidP="00364A28">
      <w:pPr>
        <w:ind w:left="567"/>
        <w:jc w:val="both"/>
        <w:rPr>
          <w:rFonts w:ascii="Arial" w:hAnsi="Arial"/>
          <w:sz w:val="18"/>
          <w:szCs w:val="18"/>
        </w:rPr>
      </w:pPr>
      <w:r w:rsidRPr="00C732CB">
        <w:rPr>
          <w:rFonts w:ascii="Arial" w:hAnsi="Arial"/>
          <w:sz w:val="18"/>
          <w:szCs w:val="18"/>
        </w:rPr>
        <w:t>Gambling providers are to provide patrons who feel they are developing a problem with gambling, with the option of excluding themselves from the gambling venue or site.</w:t>
      </w:r>
    </w:p>
    <w:p w:rsidR="00364A28" w:rsidRPr="00C732CB" w:rsidRDefault="00364A28" w:rsidP="00364A28">
      <w:pPr>
        <w:ind w:left="567"/>
        <w:jc w:val="both"/>
        <w:rPr>
          <w:rFonts w:ascii="Arial" w:hAnsi="Arial"/>
          <w:sz w:val="18"/>
          <w:szCs w:val="18"/>
        </w:rPr>
      </w:pPr>
    </w:p>
    <w:p w:rsidR="00364A28" w:rsidRPr="00364A28" w:rsidRDefault="00364A28" w:rsidP="00364A28">
      <w:pPr>
        <w:spacing w:line="360" w:lineRule="auto"/>
        <w:ind w:left="567"/>
        <w:jc w:val="both"/>
        <w:rPr>
          <w:rFonts w:ascii="Arial" w:hAnsi="Arial"/>
          <w:sz w:val="18"/>
          <w:szCs w:val="18"/>
        </w:rPr>
      </w:pPr>
      <w:r w:rsidRPr="00364A28">
        <w:rPr>
          <w:rFonts w:ascii="Arial" w:hAnsi="Arial"/>
          <w:sz w:val="18"/>
          <w:szCs w:val="18"/>
        </w:rPr>
        <w:t>4.1 Patron Responsibility</w:t>
      </w:r>
    </w:p>
    <w:p w:rsidR="00364A28" w:rsidRPr="00C732CB" w:rsidRDefault="00364A28" w:rsidP="00364A28">
      <w:pPr>
        <w:ind w:left="567"/>
        <w:jc w:val="both"/>
        <w:rPr>
          <w:rFonts w:ascii="Arial" w:hAnsi="Arial"/>
          <w:sz w:val="18"/>
          <w:szCs w:val="18"/>
        </w:rPr>
      </w:pPr>
      <w:r w:rsidRPr="00C732CB">
        <w:rPr>
          <w:rFonts w:ascii="Arial" w:hAnsi="Arial"/>
          <w:sz w:val="18"/>
          <w:szCs w:val="18"/>
        </w:rPr>
        <w:t>Gambling patrons will be encouraged to take responsibility for their gambling activity. Gambling providers are to provide patrons who feel they are developing a problem with gambling with the option of excluding themselves</w:t>
      </w:r>
      <w:r>
        <w:rPr>
          <w:rFonts w:ascii="Arial" w:hAnsi="Arial"/>
          <w:sz w:val="18"/>
          <w:szCs w:val="18"/>
        </w:rPr>
        <w:t xml:space="preserve"> </w:t>
      </w:r>
      <w:r w:rsidRPr="00C732CB">
        <w:rPr>
          <w:rFonts w:ascii="Arial" w:hAnsi="Arial"/>
          <w:sz w:val="18"/>
          <w:szCs w:val="18"/>
        </w:rPr>
        <w:t>from the gambling venue or site.</w:t>
      </w:r>
    </w:p>
    <w:p w:rsidR="00364A28" w:rsidRPr="00C732CB" w:rsidRDefault="00364A28" w:rsidP="00364A28">
      <w:pPr>
        <w:ind w:left="567"/>
        <w:jc w:val="both"/>
        <w:rPr>
          <w:rFonts w:ascii="Arial" w:hAnsi="Arial"/>
          <w:sz w:val="18"/>
          <w:szCs w:val="18"/>
        </w:rPr>
      </w:pPr>
    </w:p>
    <w:p w:rsidR="00364A28" w:rsidRPr="00364A28" w:rsidRDefault="00364A28" w:rsidP="00364A28">
      <w:pPr>
        <w:spacing w:line="360" w:lineRule="auto"/>
        <w:ind w:left="567"/>
        <w:jc w:val="both"/>
        <w:rPr>
          <w:rFonts w:ascii="Arial" w:hAnsi="Arial"/>
          <w:sz w:val="18"/>
          <w:szCs w:val="18"/>
        </w:rPr>
      </w:pPr>
      <w:r w:rsidRPr="00364A28">
        <w:rPr>
          <w:rFonts w:ascii="Arial" w:hAnsi="Arial"/>
          <w:sz w:val="18"/>
          <w:szCs w:val="18"/>
        </w:rPr>
        <w:t>4.2 Self-Exclusion Procedures</w:t>
      </w:r>
    </w:p>
    <w:p w:rsidR="00364A28" w:rsidRPr="00C732CB" w:rsidRDefault="00364A28" w:rsidP="00364A28">
      <w:pPr>
        <w:ind w:left="567"/>
        <w:jc w:val="both"/>
        <w:rPr>
          <w:rFonts w:ascii="Arial" w:hAnsi="Arial"/>
          <w:sz w:val="18"/>
          <w:szCs w:val="18"/>
        </w:rPr>
      </w:pPr>
      <w:r w:rsidRPr="00C732CB">
        <w:rPr>
          <w:rFonts w:ascii="Arial" w:hAnsi="Arial"/>
          <w:sz w:val="18"/>
          <w:szCs w:val="18"/>
        </w:rPr>
        <w:t>A generic form of self-exclusion has been developed for use by Northern Territory gambling providers, (Note: casinos have specific provisions in place). Procedures with clear, supporting documentation are to be implemented and application forms for self-exclusion must be available at Reception, within the gambling area, adjacent to the gambling products or/and on the website.</w:t>
      </w:r>
    </w:p>
    <w:p w:rsidR="00364A28" w:rsidRPr="00C732CB" w:rsidRDefault="00364A28" w:rsidP="00364A28">
      <w:pPr>
        <w:ind w:left="567"/>
        <w:jc w:val="both"/>
        <w:rPr>
          <w:rFonts w:ascii="Arial" w:hAnsi="Arial"/>
          <w:sz w:val="18"/>
          <w:szCs w:val="18"/>
        </w:rPr>
      </w:pPr>
    </w:p>
    <w:p w:rsidR="00364A28" w:rsidRPr="00C732CB" w:rsidRDefault="00364A28" w:rsidP="00364A28">
      <w:pPr>
        <w:ind w:left="567"/>
        <w:jc w:val="both"/>
        <w:rPr>
          <w:rFonts w:ascii="Arial" w:hAnsi="Arial"/>
          <w:sz w:val="18"/>
          <w:szCs w:val="18"/>
        </w:rPr>
      </w:pPr>
      <w:r w:rsidRPr="00C732CB">
        <w:rPr>
          <w:rFonts w:ascii="Arial" w:hAnsi="Arial"/>
          <w:sz w:val="18"/>
          <w:szCs w:val="18"/>
        </w:rPr>
        <w:t>For Internet/Telephone Sports Bookmakers and Online Gaming Licensees: Appropriate self-exclusion facilities and procedures are to be developed and implemented.</w:t>
      </w:r>
    </w:p>
    <w:p w:rsidR="00364A28" w:rsidRPr="00364A28" w:rsidRDefault="00364A28" w:rsidP="00364A28">
      <w:pPr>
        <w:ind w:left="567"/>
        <w:jc w:val="both"/>
        <w:rPr>
          <w:rFonts w:ascii="Arial" w:hAnsi="Arial"/>
          <w:sz w:val="18"/>
          <w:szCs w:val="18"/>
        </w:rPr>
      </w:pPr>
    </w:p>
    <w:p w:rsidR="00364A28" w:rsidRPr="00364A28" w:rsidRDefault="00364A28" w:rsidP="00364A28">
      <w:pPr>
        <w:spacing w:line="360" w:lineRule="auto"/>
        <w:ind w:left="567"/>
        <w:jc w:val="both"/>
        <w:rPr>
          <w:rFonts w:ascii="Arial" w:hAnsi="Arial"/>
          <w:sz w:val="18"/>
          <w:szCs w:val="18"/>
        </w:rPr>
      </w:pPr>
      <w:r w:rsidRPr="00364A28">
        <w:rPr>
          <w:rFonts w:ascii="Arial" w:hAnsi="Arial"/>
          <w:sz w:val="18"/>
          <w:szCs w:val="18"/>
        </w:rPr>
        <w:t>4.3 Completed Self-Exclusion Forms</w:t>
      </w:r>
    </w:p>
    <w:p w:rsidR="00364A28" w:rsidRPr="00C732CB" w:rsidRDefault="00364A28" w:rsidP="00364A28">
      <w:pPr>
        <w:ind w:left="567"/>
        <w:jc w:val="both"/>
        <w:rPr>
          <w:rFonts w:ascii="Arial" w:hAnsi="Arial"/>
          <w:sz w:val="18"/>
          <w:szCs w:val="18"/>
        </w:rPr>
      </w:pPr>
      <w:r w:rsidRPr="00C732CB">
        <w:rPr>
          <w:rFonts w:ascii="Arial" w:hAnsi="Arial"/>
          <w:sz w:val="18"/>
          <w:szCs w:val="18"/>
        </w:rPr>
        <w:t>Management and/or security staff of the gambling provider to be supplied with the completed self-exclusion forms together with, where appropriate, a photo of the relevant person. These forms will include the stated wish of the patron to be reminded of their desire to be excluded from the specified gambling provider. Details will also be entered in the Responsible Gambling Incident Register.</w:t>
      </w:r>
    </w:p>
    <w:p w:rsidR="00364A28" w:rsidRPr="00C732CB" w:rsidRDefault="00364A28" w:rsidP="00364A28">
      <w:pPr>
        <w:ind w:left="567"/>
        <w:jc w:val="both"/>
        <w:rPr>
          <w:rFonts w:ascii="Arial" w:hAnsi="Arial"/>
          <w:sz w:val="18"/>
          <w:szCs w:val="18"/>
        </w:rPr>
      </w:pPr>
    </w:p>
    <w:p w:rsidR="00364A28" w:rsidRPr="00364A28" w:rsidRDefault="00364A28" w:rsidP="00364A28">
      <w:pPr>
        <w:spacing w:line="360" w:lineRule="auto"/>
        <w:ind w:left="567"/>
        <w:jc w:val="both"/>
        <w:rPr>
          <w:rFonts w:ascii="Arial" w:hAnsi="Arial"/>
          <w:sz w:val="18"/>
          <w:szCs w:val="18"/>
        </w:rPr>
      </w:pPr>
      <w:r w:rsidRPr="00364A28">
        <w:rPr>
          <w:rFonts w:ascii="Arial" w:hAnsi="Arial"/>
          <w:sz w:val="18"/>
          <w:szCs w:val="18"/>
        </w:rPr>
        <w:t xml:space="preserve">4.4 Counselling Contact Information </w:t>
      </w:r>
    </w:p>
    <w:p w:rsidR="00364A28" w:rsidRDefault="00364A28" w:rsidP="00364A28">
      <w:pPr>
        <w:ind w:left="567"/>
        <w:jc w:val="both"/>
        <w:rPr>
          <w:rFonts w:ascii="Arial" w:hAnsi="Arial"/>
          <w:sz w:val="18"/>
          <w:szCs w:val="18"/>
        </w:rPr>
      </w:pPr>
      <w:r>
        <w:rPr>
          <w:rFonts w:ascii="Arial" w:hAnsi="Arial"/>
          <w:sz w:val="18"/>
          <w:szCs w:val="18"/>
        </w:rPr>
        <w:t>Gambling providers are to offer customers who seek self-exclusion and/or express a concern that they have a gambling problem, contact information for appropriate counselling agencies.</w:t>
      </w:r>
    </w:p>
    <w:p w:rsidR="00364A28" w:rsidRDefault="00364A28" w:rsidP="00364A28">
      <w:pPr>
        <w:ind w:left="567"/>
        <w:jc w:val="both"/>
        <w:rPr>
          <w:rFonts w:ascii="Arial" w:hAnsi="Arial"/>
          <w:sz w:val="18"/>
          <w:szCs w:val="18"/>
        </w:rPr>
      </w:pPr>
    </w:p>
    <w:p w:rsidR="00364A28" w:rsidRPr="00C732CB" w:rsidRDefault="00364A28" w:rsidP="00364A28">
      <w:pPr>
        <w:ind w:left="567"/>
        <w:jc w:val="both"/>
        <w:rPr>
          <w:rFonts w:ascii="Arial" w:hAnsi="Arial"/>
          <w:sz w:val="18"/>
          <w:szCs w:val="18"/>
        </w:rPr>
      </w:pPr>
      <w:r w:rsidRPr="0080169A">
        <w:rPr>
          <w:rFonts w:ascii="Arial" w:hAnsi="Arial"/>
          <w:sz w:val="18"/>
          <w:szCs w:val="18"/>
        </w:rPr>
        <w:t>For Internet/Telephone Sports Bookmakers and Online Gaming Licensees. The website is to operate such that the submission of a completed self-exclusion</w:t>
      </w:r>
      <w:r w:rsidRPr="00C732CB">
        <w:rPr>
          <w:rFonts w:ascii="Arial" w:hAnsi="Arial"/>
          <w:sz w:val="18"/>
          <w:szCs w:val="18"/>
        </w:rPr>
        <w:t xml:space="preserve"> triggers technical responses that block access by the player to the site, and this action is written to the audit log for the system.</w:t>
      </w:r>
    </w:p>
    <w:p w:rsidR="00364A28" w:rsidRPr="00C732CB" w:rsidRDefault="00364A28" w:rsidP="00364A28">
      <w:pPr>
        <w:ind w:left="567"/>
        <w:jc w:val="both"/>
        <w:rPr>
          <w:rFonts w:ascii="Arial" w:hAnsi="Arial"/>
          <w:sz w:val="18"/>
          <w:szCs w:val="18"/>
        </w:rPr>
      </w:pPr>
    </w:p>
    <w:p w:rsidR="00364A28" w:rsidRPr="00364A28" w:rsidRDefault="00364A28" w:rsidP="00364A28">
      <w:pPr>
        <w:spacing w:line="360" w:lineRule="auto"/>
        <w:ind w:left="567"/>
        <w:jc w:val="both"/>
        <w:rPr>
          <w:rFonts w:ascii="Arial" w:hAnsi="Arial"/>
          <w:sz w:val="18"/>
          <w:szCs w:val="18"/>
        </w:rPr>
      </w:pPr>
      <w:r w:rsidRPr="00364A28">
        <w:rPr>
          <w:rFonts w:ascii="Arial" w:hAnsi="Arial"/>
          <w:sz w:val="18"/>
          <w:szCs w:val="18"/>
        </w:rPr>
        <w:t>4.5 Self-Exclusion from Other Gambling Providers</w:t>
      </w:r>
    </w:p>
    <w:p w:rsidR="00364A28" w:rsidRPr="00C732CB" w:rsidRDefault="00364A28" w:rsidP="00364A28">
      <w:pPr>
        <w:ind w:left="567"/>
        <w:jc w:val="both"/>
        <w:rPr>
          <w:rFonts w:ascii="Arial" w:hAnsi="Arial"/>
          <w:sz w:val="18"/>
          <w:szCs w:val="18"/>
        </w:rPr>
      </w:pPr>
      <w:r w:rsidRPr="00C732CB">
        <w:rPr>
          <w:rFonts w:ascii="Arial" w:hAnsi="Arial"/>
          <w:sz w:val="18"/>
          <w:szCs w:val="18"/>
        </w:rPr>
        <w:t>Self-exclusion gambling customers are to be given support and encouragement in seeking self-exclusions from other gambling providers.</w:t>
      </w:r>
    </w:p>
    <w:p w:rsidR="00364A28" w:rsidRPr="00C732CB" w:rsidRDefault="00364A28" w:rsidP="00364A28">
      <w:pPr>
        <w:ind w:left="567" w:firstLine="720"/>
        <w:jc w:val="both"/>
        <w:rPr>
          <w:rFonts w:ascii="Arial" w:hAnsi="Arial"/>
          <w:sz w:val="18"/>
          <w:szCs w:val="18"/>
        </w:rPr>
      </w:pPr>
    </w:p>
    <w:p w:rsidR="00364A28" w:rsidRDefault="00364A28" w:rsidP="00364A28">
      <w:pPr>
        <w:ind w:left="567"/>
        <w:jc w:val="both"/>
        <w:rPr>
          <w:rFonts w:ascii="Arial" w:hAnsi="Arial"/>
          <w:sz w:val="18"/>
          <w:szCs w:val="18"/>
        </w:rPr>
      </w:pPr>
      <w:r w:rsidRPr="00C732CB">
        <w:rPr>
          <w:rFonts w:ascii="Arial" w:hAnsi="Arial"/>
          <w:sz w:val="18"/>
          <w:szCs w:val="18"/>
        </w:rPr>
        <w:t>For Internet/Telephone Sports Bookmakers and Online Gaming Licensees: Self</w:t>
      </w:r>
      <w:r>
        <w:rPr>
          <w:rFonts w:ascii="Arial" w:hAnsi="Arial"/>
          <w:sz w:val="18"/>
          <w:szCs w:val="18"/>
        </w:rPr>
        <w:t xml:space="preserve"> </w:t>
      </w:r>
      <w:r w:rsidRPr="00C732CB">
        <w:rPr>
          <w:rFonts w:ascii="Arial" w:hAnsi="Arial"/>
          <w:sz w:val="18"/>
          <w:szCs w:val="18"/>
        </w:rPr>
        <w:t>exclusion gambling customers are to be given support and encouragement in seeking self-exclusions from other Australian gambling providers.</w:t>
      </w:r>
    </w:p>
    <w:p w:rsidR="00364A28" w:rsidRPr="00C732CB" w:rsidRDefault="00364A28" w:rsidP="00364A28">
      <w:pPr>
        <w:ind w:left="567"/>
        <w:jc w:val="both"/>
        <w:rPr>
          <w:rFonts w:ascii="Arial" w:hAnsi="Arial"/>
          <w:sz w:val="18"/>
          <w:szCs w:val="18"/>
        </w:rPr>
      </w:pPr>
    </w:p>
    <w:p w:rsidR="00364A28" w:rsidRPr="00364A28" w:rsidRDefault="00364A28" w:rsidP="00364A28">
      <w:pPr>
        <w:spacing w:line="360" w:lineRule="auto"/>
        <w:ind w:left="567"/>
        <w:rPr>
          <w:rFonts w:ascii="Arial" w:hAnsi="Arial"/>
          <w:sz w:val="18"/>
          <w:szCs w:val="18"/>
        </w:rPr>
      </w:pPr>
      <w:r w:rsidRPr="00364A28">
        <w:rPr>
          <w:rFonts w:ascii="Arial" w:hAnsi="Arial"/>
          <w:sz w:val="18"/>
          <w:szCs w:val="18"/>
        </w:rPr>
        <w:t>4.6 Correspondence or Promotional Material</w:t>
      </w:r>
    </w:p>
    <w:p w:rsidR="00364A28" w:rsidRPr="0006182B" w:rsidRDefault="00364A28" w:rsidP="00364A28">
      <w:pPr>
        <w:ind w:left="567"/>
        <w:rPr>
          <w:rFonts w:ascii="Arial" w:hAnsi="Arial"/>
          <w:sz w:val="16"/>
          <w:szCs w:val="16"/>
        </w:rPr>
      </w:pPr>
      <w:r w:rsidRPr="00C732CB">
        <w:rPr>
          <w:rFonts w:ascii="Arial" w:hAnsi="Arial"/>
          <w:sz w:val="18"/>
          <w:szCs w:val="18"/>
        </w:rPr>
        <w:t>All gambling providers are not to send correspondence or promotional material to gambling c</w:t>
      </w:r>
      <w:r w:rsidRPr="00C732CB">
        <w:rPr>
          <w:rFonts w:ascii="Arial" w:hAnsi="Arial"/>
          <w:sz w:val="16"/>
          <w:szCs w:val="16"/>
        </w:rPr>
        <w:t>ustomers who are excluded from their services or who request that this information not be sent to them.</w:t>
      </w:r>
    </w:p>
    <w:p w:rsidR="00364A28" w:rsidRPr="00305BE8" w:rsidRDefault="00364A28" w:rsidP="00364A28">
      <w:pPr>
        <w:jc w:val="both"/>
        <w:rPr>
          <w:rFonts w:ascii="Arial" w:hAnsi="Arial" w:cs="Arial"/>
        </w:rPr>
      </w:pPr>
    </w:p>
    <w:p w:rsidR="00364A28" w:rsidRPr="006F387B" w:rsidRDefault="00364A28" w:rsidP="00364A28">
      <w:pPr>
        <w:rPr>
          <w:rFonts w:ascii="Arial" w:hAnsi="Arial" w:cs="Arial"/>
          <w:b/>
          <w:sz w:val="22"/>
          <w:szCs w:val="22"/>
          <w:u w:val="single"/>
        </w:rPr>
      </w:pPr>
      <w:r w:rsidRPr="006F387B">
        <w:rPr>
          <w:rFonts w:ascii="Arial" w:hAnsi="Arial" w:cs="Arial"/>
          <w:b/>
          <w:sz w:val="22"/>
          <w:szCs w:val="22"/>
          <w:u w:val="single"/>
        </w:rPr>
        <w:lastRenderedPageBreak/>
        <w:t>Legislative Provisions</w:t>
      </w:r>
    </w:p>
    <w:p w:rsidR="00364A28" w:rsidRDefault="00364A28" w:rsidP="00364A28">
      <w:pPr>
        <w:rPr>
          <w:rFonts w:ascii="Arial" w:hAnsi="Arial" w:cs="Arial"/>
        </w:rPr>
      </w:pPr>
    </w:p>
    <w:p w:rsidR="00364A28" w:rsidRPr="006F387B" w:rsidRDefault="00364A28" w:rsidP="00364A28">
      <w:pPr>
        <w:pStyle w:val="ListParagraph"/>
        <w:numPr>
          <w:ilvl w:val="0"/>
          <w:numId w:val="16"/>
        </w:numPr>
        <w:ind w:left="567" w:hanging="425"/>
        <w:rPr>
          <w:rFonts w:ascii="Arial" w:hAnsi="Arial" w:cs="Arial"/>
          <w:sz w:val="22"/>
          <w:szCs w:val="22"/>
        </w:rPr>
      </w:pPr>
      <w:r w:rsidRPr="006F387B">
        <w:rPr>
          <w:rFonts w:ascii="Arial" w:hAnsi="Arial" w:cs="Arial"/>
          <w:sz w:val="22"/>
          <w:szCs w:val="22"/>
        </w:rPr>
        <w:t xml:space="preserve">The </w:t>
      </w:r>
      <w:r w:rsidRPr="006F387B">
        <w:rPr>
          <w:rFonts w:ascii="Arial" w:hAnsi="Arial" w:cs="Arial"/>
          <w:i/>
          <w:sz w:val="22"/>
          <w:szCs w:val="22"/>
        </w:rPr>
        <w:t>Racing and Betting Act</w:t>
      </w:r>
      <w:r w:rsidRPr="006F387B">
        <w:rPr>
          <w:rFonts w:ascii="Arial" w:hAnsi="Arial" w:cs="Arial"/>
          <w:sz w:val="22"/>
          <w:szCs w:val="22"/>
        </w:rPr>
        <w:t xml:space="preserve"> (the Act) provides for:</w:t>
      </w:r>
    </w:p>
    <w:p w:rsidR="00364A28" w:rsidRPr="008C3763" w:rsidRDefault="00364A28" w:rsidP="00364A28">
      <w:pPr>
        <w:jc w:val="both"/>
        <w:rPr>
          <w:rFonts w:ascii="Arial" w:hAnsi="Arial" w:cs="Arial"/>
        </w:rPr>
      </w:pPr>
    </w:p>
    <w:p w:rsidR="00364A28" w:rsidRPr="006F387B" w:rsidRDefault="00364A28" w:rsidP="006F387B">
      <w:pPr>
        <w:spacing w:line="360" w:lineRule="auto"/>
        <w:ind w:left="567"/>
        <w:rPr>
          <w:rFonts w:ascii="Arial" w:hAnsi="Arial"/>
          <w:b/>
          <w:sz w:val="18"/>
          <w:szCs w:val="18"/>
        </w:rPr>
      </w:pPr>
      <w:r w:rsidRPr="006F387B">
        <w:rPr>
          <w:rFonts w:ascii="Arial" w:hAnsi="Arial"/>
          <w:b/>
          <w:sz w:val="18"/>
          <w:szCs w:val="18"/>
        </w:rPr>
        <w:t>85 Legal proceedings in respect of bets</w:t>
      </w:r>
    </w:p>
    <w:p w:rsidR="00364A28" w:rsidRPr="0006182B" w:rsidRDefault="00364A28" w:rsidP="006F387B">
      <w:pPr>
        <w:autoSpaceDE w:val="0"/>
        <w:autoSpaceDN w:val="0"/>
        <w:adjustRightInd w:val="0"/>
        <w:ind w:left="567"/>
        <w:jc w:val="both"/>
        <w:rPr>
          <w:rFonts w:ascii="Arial" w:hAnsi="Arial" w:cs="Arial"/>
          <w:color w:val="000000"/>
          <w:sz w:val="18"/>
          <w:szCs w:val="18"/>
        </w:rPr>
      </w:pPr>
      <w:r>
        <w:rPr>
          <w:rFonts w:ascii="Arial" w:hAnsi="Arial" w:cs="Arial"/>
          <w:color w:val="000000"/>
          <w:sz w:val="18"/>
          <w:szCs w:val="18"/>
        </w:rPr>
        <w:t>(1</w:t>
      </w:r>
      <w:r w:rsidRPr="0006182B">
        <w:rPr>
          <w:rFonts w:ascii="Arial" w:hAnsi="Arial" w:cs="Arial"/>
          <w:color w:val="000000"/>
          <w:sz w:val="18"/>
          <w:szCs w:val="18"/>
        </w:rPr>
        <w:t>A) For the purposes of this section, a bet is not lawful if it is declared by the Commission, after an investigation in accordance with this section, to be not lawful.</w:t>
      </w:r>
    </w:p>
    <w:p w:rsidR="00364A28" w:rsidRPr="0006182B" w:rsidRDefault="00364A28" w:rsidP="006F387B">
      <w:pPr>
        <w:autoSpaceDE w:val="0"/>
        <w:autoSpaceDN w:val="0"/>
        <w:adjustRightInd w:val="0"/>
        <w:ind w:left="567"/>
        <w:jc w:val="both"/>
        <w:rPr>
          <w:rFonts w:ascii="Arial" w:hAnsi="Arial" w:cs="Arial"/>
          <w:color w:val="000000"/>
          <w:sz w:val="18"/>
          <w:szCs w:val="18"/>
        </w:rPr>
      </w:pPr>
      <w:r w:rsidRPr="0006182B">
        <w:rPr>
          <w:rFonts w:ascii="Arial" w:hAnsi="Arial" w:cs="Arial"/>
          <w:color w:val="000000"/>
          <w:sz w:val="18"/>
          <w:szCs w:val="18"/>
        </w:rPr>
        <w:t xml:space="preserve"> </w:t>
      </w:r>
    </w:p>
    <w:p w:rsidR="00364A28" w:rsidRPr="0006182B" w:rsidRDefault="00364A28" w:rsidP="006F387B">
      <w:pPr>
        <w:autoSpaceDE w:val="0"/>
        <w:autoSpaceDN w:val="0"/>
        <w:adjustRightInd w:val="0"/>
        <w:ind w:left="567"/>
        <w:jc w:val="both"/>
        <w:rPr>
          <w:rFonts w:ascii="Arial" w:hAnsi="Arial" w:cs="Arial"/>
          <w:color w:val="000000"/>
          <w:sz w:val="18"/>
          <w:szCs w:val="18"/>
        </w:rPr>
      </w:pPr>
      <w:r w:rsidRPr="0006182B">
        <w:rPr>
          <w:rFonts w:ascii="Arial" w:hAnsi="Arial" w:cs="Arial"/>
          <w:color w:val="000000"/>
          <w:sz w:val="18"/>
          <w:szCs w:val="18"/>
        </w:rPr>
        <w:t>(1) Subject to this section, a person may take proceedings for the recovery of moneys payable on a winning lawful bet, or for the recovery of moneys payable by a bettor on account of a lawful bet made and accepted.</w:t>
      </w:r>
    </w:p>
    <w:p w:rsidR="00364A28" w:rsidRPr="0006182B" w:rsidRDefault="00364A28" w:rsidP="006F387B">
      <w:pPr>
        <w:autoSpaceDE w:val="0"/>
        <w:autoSpaceDN w:val="0"/>
        <w:adjustRightInd w:val="0"/>
        <w:ind w:left="567"/>
        <w:jc w:val="both"/>
        <w:rPr>
          <w:rFonts w:ascii="Arial" w:hAnsi="Arial" w:cs="Arial"/>
          <w:color w:val="000000"/>
          <w:sz w:val="18"/>
          <w:szCs w:val="18"/>
        </w:rPr>
      </w:pPr>
    </w:p>
    <w:p w:rsidR="00364A28" w:rsidRPr="0006182B" w:rsidRDefault="00364A28" w:rsidP="006F387B">
      <w:pPr>
        <w:autoSpaceDE w:val="0"/>
        <w:autoSpaceDN w:val="0"/>
        <w:adjustRightInd w:val="0"/>
        <w:ind w:left="567"/>
        <w:jc w:val="both"/>
        <w:rPr>
          <w:rFonts w:ascii="Arial" w:hAnsi="Arial" w:cs="Arial"/>
          <w:color w:val="000000"/>
          <w:sz w:val="18"/>
          <w:szCs w:val="18"/>
        </w:rPr>
      </w:pPr>
      <w:r w:rsidRPr="0006182B">
        <w:rPr>
          <w:rFonts w:ascii="Arial" w:hAnsi="Arial" w:cs="Arial"/>
          <w:color w:val="000000"/>
          <w:sz w:val="18"/>
          <w:szCs w:val="18"/>
        </w:rPr>
        <w:t>(2) Where a dispute relating to lawful betting occurs between a bookmaker and a person, the dispute shall be referred by the bookmaker, and may be referred by the other party to the dispute, to the Commission.</w:t>
      </w:r>
    </w:p>
    <w:p w:rsidR="00364A28" w:rsidRPr="0006182B" w:rsidRDefault="00364A28" w:rsidP="006F387B">
      <w:pPr>
        <w:autoSpaceDE w:val="0"/>
        <w:autoSpaceDN w:val="0"/>
        <w:adjustRightInd w:val="0"/>
        <w:ind w:left="567"/>
        <w:rPr>
          <w:rFonts w:ascii="Arial" w:hAnsi="Arial" w:cs="Arial"/>
          <w:color w:val="000000"/>
          <w:sz w:val="18"/>
          <w:szCs w:val="18"/>
        </w:rPr>
      </w:pPr>
    </w:p>
    <w:p w:rsidR="00364A28" w:rsidRPr="0006182B" w:rsidRDefault="00364A28" w:rsidP="006F387B">
      <w:pPr>
        <w:pStyle w:val="Default"/>
        <w:ind w:left="567"/>
        <w:jc w:val="both"/>
        <w:rPr>
          <w:sz w:val="18"/>
          <w:szCs w:val="18"/>
        </w:rPr>
      </w:pPr>
      <w:r w:rsidRPr="0006182B">
        <w:rPr>
          <w:sz w:val="18"/>
          <w:szCs w:val="18"/>
        </w:rPr>
        <w:t>(2A) Where it appears to the Commission, on the complaint of a person or of its own motion, that a sporting event (other than a horse race, trotting race or greyhound race) may not have been fairly or lawfully conducted or for any other reason the result of the event, either generally or in relation to a particular bet or class of bets, is not what would be legitimately expected if all steps in the proceedings of the event or the declaration of its result were honestly and fairly conducted or declared, the Commission may declare the event to constitute a dispute for the purposes of this section and declare any person to be a party to the dispute.</w:t>
      </w:r>
    </w:p>
    <w:p w:rsidR="00364A28" w:rsidRPr="0006182B" w:rsidRDefault="00364A28" w:rsidP="006F387B">
      <w:pPr>
        <w:autoSpaceDE w:val="0"/>
        <w:autoSpaceDN w:val="0"/>
        <w:adjustRightInd w:val="0"/>
        <w:ind w:left="567"/>
        <w:rPr>
          <w:rFonts w:ascii="Arial" w:hAnsi="Arial" w:cs="Arial"/>
          <w:color w:val="000000"/>
          <w:sz w:val="18"/>
          <w:szCs w:val="18"/>
        </w:rPr>
      </w:pPr>
    </w:p>
    <w:p w:rsidR="00364A28" w:rsidRPr="0006182B" w:rsidRDefault="00364A28" w:rsidP="006F387B">
      <w:pPr>
        <w:autoSpaceDE w:val="0"/>
        <w:autoSpaceDN w:val="0"/>
        <w:adjustRightInd w:val="0"/>
        <w:ind w:left="567"/>
        <w:jc w:val="both"/>
        <w:rPr>
          <w:rFonts w:ascii="Arial" w:hAnsi="Arial" w:cs="Arial"/>
          <w:color w:val="000000"/>
          <w:sz w:val="18"/>
          <w:szCs w:val="18"/>
        </w:rPr>
      </w:pPr>
      <w:r w:rsidRPr="0006182B">
        <w:rPr>
          <w:rFonts w:ascii="Arial" w:hAnsi="Arial" w:cs="Arial"/>
          <w:color w:val="000000"/>
          <w:sz w:val="18"/>
          <w:szCs w:val="18"/>
        </w:rPr>
        <w:t>(3) Where a dispute has been referred under subsection (1) to the Commission or declared under subsection (2A), the Commission may:</w:t>
      </w:r>
    </w:p>
    <w:p w:rsidR="00364A28" w:rsidRPr="0006182B" w:rsidRDefault="00364A28" w:rsidP="006F387B">
      <w:pPr>
        <w:autoSpaceDE w:val="0"/>
        <w:autoSpaceDN w:val="0"/>
        <w:adjustRightInd w:val="0"/>
        <w:ind w:left="567"/>
        <w:rPr>
          <w:rFonts w:ascii="Arial" w:hAnsi="Arial" w:cs="Arial"/>
          <w:color w:val="000000"/>
          <w:sz w:val="18"/>
          <w:szCs w:val="18"/>
        </w:rPr>
      </w:pPr>
    </w:p>
    <w:p w:rsidR="00364A28" w:rsidRPr="0006182B" w:rsidRDefault="00364A28" w:rsidP="006F387B">
      <w:pPr>
        <w:autoSpaceDE w:val="0"/>
        <w:autoSpaceDN w:val="0"/>
        <w:adjustRightInd w:val="0"/>
        <w:ind w:left="567"/>
        <w:jc w:val="both"/>
        <w:rPr>
          <w:rFonts w:ascii="Arial" w:hAnsi="Arial" w:cs="Arial"/>
          <w:color w:val="000000"/>
          <w:sz w:val="18"/>
          <w:szCs w:val="18"/>
        </w:rPr>
      </w:pPr>
      <w:r w:rsidRPr="0006182B">
        <w:rPr>
          <w:rFonts w:ascii="Arial" w:hAnsi="Arial" w:cs="Arial"/>
          <w:color w:val="000000"/>
          <w:sz w:val="18"/>
          <w:szCs w:val="18"/>
        </w:rPr>
        <w:t>(a) summon the parties to the dispute to appear and to give evidence before it;</w:t>
      </w:r>
    </w:p>
    <w:p w:rsidR="00364A28" w:rsidRPr="0006182B" w:rsidRDefault="00364A28" w:rsidP="006F387B">
      <w:pPr>
        <w:autoSpaceDE w:val="0"/>
        <w:autoSpaceDN w:val="0"/>
        <w:adjustRightInd w:val="0"/>
        <w:ind w:left="567"/>
        <w:rPr>
          <w:rFonts w:ascii="Arial" w:hAnsi="Arial" w:cs="Arial"/>
          <w:color w:val="000000"/>
          <w:sz w:val="18"/>
          <w:szCs w:val="18"/>
        </w:rPr>
      </w:pPr>
    </w:p>
    <w:p w:rsidR="00364A28" w:rsidRPr="0006182B" w:rsidRDefault="00364A28" w:rsidP="006F387B">
      <w:pPr>
        <w:autoSpaceDE w:val="0"/>
        <w:autoSpaceDN w:val="0"/>
        <w:adjustRightInd w:val="0"/>
        <w:ind w:left="567"/>
        <w:jc w:val="both"/>
        <w:rPr>
          <w:rFonts w:ascii="Arial" w:hAnsi="Arial" w:cs="Arial"/>
          <w:color w:val="000000"/>
          <w:sz w:val="18"/>
          <w:szCs w:val="18"/>
        </w:rPr>
      </w:pPr>
      <w:r w:rsidRPr="0006182B">
        <w:rPr>
          <w:rFonts w:ascii="Arial" w:hAnsi="Arial" w:cs="Arial"/>
          <w:color w:val="000000"/>
          <w:sz w:val="18"/>
          <w:szCs w:val="18"/>
        </w:rPr>
        <w:t>(b) take evidence relating to the dispute from other persons; and</w:t>
      </w:r>
    </w:p>
    <w:p w:rsidR="00364A28" w:rsidRDefault="00364A28" w:rsidP="006F387B">
      <w:pPr>
        <w:autoSpaceDE w:val="0"/>
        <w:autoSpaceDN w:val="0"/>
        <w:adjustRightInd w:val="0"/>
        <w:ind w:left="567"/>
        <w:rPr>
          <w:rFonts w:ascii="Arial" w:hAnsi="Arial" w:cs="Arial"/>
          <w:color w:val="000000"/>
        </w:rPr>
      </w:pPr>
    </w:p>
    <w:p w:rsidR="00364A28" w:rsidRPr="0006182B" w:rsidRDefault="00364A28" w:rsidP="006F387B">
      <w:pPr>
        <w:autoSpaceDE w:val="0"/>
        <w:autoSpaceDN w:val="0"/>
        <w:adjustRightInd w:val="0"/>
        <w:ind w:left="567"/>
        <w:jc w:val="both"/>
        <w:rPr>
          <w:rFonts w:ascii="Arial" w:hAnsi="Arial" w:cs="Arial"/>
          <w:color w:val="000000"/>
          <w:sz w:val="18"/>
          <w:szCs w:val="18"/>
        </w:rPr>
      </w:pPr>
      <w:r w:rsidRPr="0006182B">
        <w:rPr>
          <w:rFonts w:ascii="Arial" w:hAnsi="Arial" w:cs="Arial"/>
          <w:color w:val="000000"/>
          <w:sz w:val="18"/>
          <w:szCs w:val="18"/>
        </w:rPr>
        <w:t>(c) require a party to the dispute to produce any books, accounts, tickets or other documents which, in the opinion of the Commission, ought to be examined in order to determine the dispute.</w:t>
      </w:r>
    </w:p>
    <w:p w:rsidR="00364A28" w:rsidRPr="00912DA5" w:rsidRDefault="00364A28" w:rsidP="006F387B">
      <w:pPr>
        <w:autoSpaceDE w:val="0"/>
        <w:autoSpaceDN w:val="0"/>
        <w:adjustRightInd w:val="0"/>
        <w:ind w:left="567"/>
        <w:rPr>
          <w:rFonts w:ascii="Arial" w:hAnsi="Arial" w:cs="Arial"/>
          <w:color w:val="000000"/>
        </w:rPr>
      </w:pPr>
    </w:p>
    <w:p w:rsidR="00364A28" w:rsidRPr="0006182B" w:rsidRDefault="00364A28" w:rsidP="006F387B">
      <w:pPr>
        <w:autoSpaceDE w:val="0"/>
        <w:autoSpaceDN w:val="0"/>
        <w:adjustRightInd w:val="0"/>
        <w:ind w:left="567"/>
        <w:jc w:val="both"/>
        <w:rPr>
          <w:rFonts w:ascii="Arial" w:hAnsi="Arial" w:cs="Arial"/>
          <w:color w:val="000000"/>
          <w:sz w:val="18"/>
          <w:szCs w:val="18"/>
        </w:rPr>
      </w:pPr>
      <w:r w:rsidRPr="0006182B">
        <w:rPr>
          <w:rFonts w:ascii="Arial" w:hAnsi="Arial" w:cs="Arial"/>
          <w:color w:val="000000"/>
          <w:sz w:val="18"/>
          <w:szCs w:val="18"/>
        </w:rPr>
        <w:t>(4) The Commission shall hear and determine all disputes referred to it under this section.</w:t>
      </w:r>
    </w:p>
    <w:p w:rsidR="00364A28" w:rsidRPr="00364A28" w:rsidRDefault="00364A28" w:rsidP="00364A28">
      <w:pPr>
        <w:pStyle w:val="ListParagraph"/>
        <w:ind w:left="567"/>
        <w:jc w:val="both"/>
        <w:rPr>
          <w:rFonts w:ascii="Arial" w:hAnsi="Arial"/>
        </w:rPr>
      </w:pPr>
    </w:p>
    <w:p w:rsidR="002C6BB7" w:rsidRPr="006F387B" w:rsidRDefault="00DB64C1" w:rsidP="006F387B">
      <w:pPr>
        <w:pStyle w:val="Heading2"/>
        <w:spacing w:line="360" w:lineRule="auto"/>
        <w:rPr>
          <w:sz w:val="26"/>
          <w:szCs w:val="26"/>
        </w:rPr>
      </w:pPr>
      <w:r w:rsidRPr="006F387B">
        <w:rPr>
          <w:sz w:val="26"/>
          <w:szCs w:val="26"/>
        </w:rPr>
        <w:t>Decision</w:t>
      </w:r>
    </w:p>
    <w:p w:rsidR="006F387B" w:rsidRPr="006F387B" w:rsidRDefault="006F387B" w:rsidP="006F387B">
      <w:pPr>
        <w:pStyle w:val="ListParagraph"/>
        <w:numPr>
          <w:ilvl w:val="0"/>
          <w:numId w:val="16"/>
        </w:numPr>
        <w:spacing w:after="240"/>
        <w:ind w:left="567" w:hanging="425"/>
        <w:jc w:val="both"/>
        <w:rPr>
          <w:rFonts w:ascii="Arial" w:hAnsi="Arial" w:cs="Arial"/>
          <w:sz w:val="22"/>
          <w:szCs w:val="22"/>
        </w:rPr>
      </w:pPr>
      <w:r w:rsidRPr="006F387B">
        <w:rPr>
          <w:rFonts w:ascii="Arial" w:hAnsi="Arial" w:cs="Arial"/>
          <w:sz w:val="22"/>
          <w:szCs w:val="22"/>
        </w:rPr>
        <w:t>In summary</w:t>
      </w:r>
      <w:r>
        <w:rPr>
          <w:rFonts w:ascii="Arial" w:hAnsi="Arial" w:cs="Arial"/>
          <w:sz w:val="22"/>
          <w:szCs w:val="22"/>
        </w:rPr>
        <w:t xml:space="preserve"> we make the following findings:</w:t>
      </w:r>
    </w:p>
    <w:p w:rsidR="006F387B" w:rsidRPr="006F387B" w:rsidRDefault="006F387B" w:rsidP="006F387B">
      <w:pPr>
        <w:numPr>
          <w:ilvl w:val="0"/>
          <w:numId w:val="38"/>
        </w:numPr>
        <w:spacing w:before="120" w:after="120"/>
        <w:ind w:left="1134" w:hanging="357"/>
        <w:rPr>
          <w:rFonts w:ascii="Arial" w:hAnsi="Arial" w:cs="Arial"/>
          <w:sz w:val="22"/>
          <w:szCs w:val="22"/>
        </w:rPr>
      </w:pPr>
      <w:r w:rsidRPr="006F387B">
        <w:rPr>
          <w:rFonts w:ascii="Arial" w:hAnsi="Arial" w:cs="Arial"/>
          <w:sz w:val="22"/>
          <w:szCs w:val="22"/>
        </w:rPr>
        <w:t xml:space="preserve">There is no substantive evidence that Mr </w:t>
      </w:r>
      <w:r w:rsidR="00754790">
        <w:rPr>
          <w:rFonts w:ascii="Arial" w:hAnsi="Arial" w:cs="Arial"/>
          <w:sz w:val="22"/>
          <w:szCs w:val="22"/>
        </w:rPr>
        <w:t>M</w:t>
      </w:r>
      <w:r w:rsidRPr="006F387B">
        <w:rPr>
          <w:rFonts w:ascii="Arial" w:hAnsi="Arial" w:cs="Arial"/>
          <w:sz w:val="22"/>
          <w:szCs w:val="22"/>
        </w:rPr>
        <w:t xml:space="preserve"> </w:t>
      </w:r>
      <w:r w:rsidR="00171F70">
        <w:rPr>
          <w:rFonts w:ascii="Arial" w:hAnsi="Arial" w:cs="Arial"/>
          <w:sz w:val="22"/>
          <w:szCs w:val="22"/>
        </w:rPr>
        <w:t xml:space="preserve">wished to </w:t>
      </w:r>
      <w:r w:rsidR="00DF7185">
        <w:rPr>
          <w:rFonts w:ascii="Arial" w:hAnsi="Arial" w:cs="Arial"/>
          <w:sz w:val="22"/>
          <w:szCs w:val="22"/>
        </w:rPr>
        <w:t>self-exclude</w:t>
      </w:r>
      <w:r w:rsidRPr="006F387B">
        <w:rPr>
          <w:rFonts w:ascii="Arial" w:hAnsi="Arial" w:cs="Arial"/>
          <w:sz w:val="22"/>
          <w:szCs w:val="22"/>
        </w:rPr>
        <w:t xml:space="preserve"> with the Bookmaker prior to 12 July 2016</w:t>
      </w:r>
      <w:r w:rsidR="00F679B7">
        <w:rPr>
          <w:rFonts w:ascii="Arial" w:hAnsi="Arial" w:cs="Arial"/>
          <w:sz w:val="22"/>
          <w:szCs w:val="22"/>
        </w:rPr>
        <w:t>.</w:t>
      </w:r>
    </w:p>
    <w:p w:rsidR="006F387B" w:rsidRPr="006F387B" w:rsidRDefault="006F387B" w:rsidP="006F387B">
      <w:pPr>
        <w:numPr>
          <w:ilvl w:val="0"/>
          <w:numId w:val="38"/>
        </w:numPr>
        <w:spacing w:before="120" w:after="120"/>
        <w:ind w:left="1134" w:hanging="357"/>
        <w:rPr>
          <w:rFonts w:ascii="Arial" w:hAnsi="Arial" w:cs="Arial"/>
          <w:sz w:val="22"/>
          <w:szCs w:val="22"/>
        </w:rPr>
      </w:pPr>
      <w:r w:rsidRPr="006F387B">
        <w:rPr>
          <w:rFonts w:ascii="Arial" w:hAnsi="Arial" w:cs="Arial"/>
          <w:sz w:val="22"/>
          <w:szCs w:val="22"/>
        </w:rPr>
        <w:t xml:space="preserve">We believe the Bookmaker has taken all the necessary steps to self-exclude Mr </w:t>
      </w:r>
      <w:r w:rsidR="00754790">
        <w:rPr>
          <w:rFonts w:ascii="Arial" w:hAnsi="Arial" w:cs="Arial"/>
          <w:sz w:val="22"/>
          <w:szCs w:val="22"/>
        </w:rPr>
        <w:t>M</w:t>
      </w:r>
      <w:r w:rsidRPr="006F387B">
        <w:rPr>
          <w:rFonts w:ascii="Arial" w:hAnsi="Arial" w:cs="Arial"/>
          <w:sz w:val="22"/>
          <w:szCs w:val="22"/>
        </w:rPr>
        <w:t xml:space="preserve"> as soon as they became aware of his self-confessed problem gambling issue.</w:t>
      </w:r>
    </w:p>
    <w:p w:rsidR="006F387B" w:rsidRPr="006F387B" w:rsidRDefault="006F387B" w:rsidP="006F387B">
      <w:pPr>
        <w:numPr>
          <w:ilvl w:val="0"/>
          <w:numId w:val="38"/>
        </w:numPr>
        <w:spacing w:before="120" w:after="120"/>
        <w:ind w:left="1134" w:hanging="357"/>
        <w:rPr>
          <w:rFonts w:ascii="Arial" w:hAnsi="Arial" w:cs="Arial"/>
          <w:sz w:val="22"/>
          <w:szCs w:val="22"/>
        </w:rPr>
      </w:pPr>
      <w:r w:rsidRPr="006F387B">
        <w:rPr>
          <w:rFonts w:ascii="Arial" w:hAnsi="Arial" w:cs="Arial"/>
          <w:sz w:val="22"/>
          <w:szCs w:val="22"/>
        </w:rPr>
        <w:t>We therefore consider the Bookmaker has no case to answer in respect of any Code of Conduct matter</w:t>
      </w:r>
      <w:r w:rsidR="00F679B7">
        <w:rPr>
          <w:rFonts w:ascii="Arial" w:hAnsi="Arial" w:cs="Arial"/>
          <w:sz w:val="22"/>
          <w:szCs w:val="22"/>
        </w:rPr>
        <w:t>.</w:t>
      </w:r>
      <w:r w:rsidRPr="006F387B">
        <w:rPr>
          <w:rFonts w:ascii="Arial" w:hAnsi="Arial" w:cs="Arial"/>
          <w:sz w:val="22"/>
          <w:szCs w:val="22"/>
        </w:rPr>
        <w:t xml:space="preserve"> </w:t>
      </w:r>
    </w:p>
    <w:p w:rsidR="002C6BB7" w:rsidRPr="006F387B" w:rsidRDefault="006F387B" w:rsidP="00614B00">
      <w:pPr>
        <w:spacing w:before="1440" w:line="240" w:lineRule="atLeast"/>
        <w:ind w:left="426" w:hanging="426"/>
        <w:jc w:val="both"/>
        <w:rPr>
          <w:rFonts w:ascii="Arial" w:hAnsi="Arial" w:cs="Arial"/>
          <w:b/>
          <w:sz w:val="22"/>
          <w:szCs w:val="22"/>
        </w:rPr>
      </w:pPr>
      <w:r w:rsidRPr="006F387B">
        <w:rPr>
          <w:rFonts w:ascii="Arial" w:hAnsi="Arial" w:cs="Arial"/>
          <w:b/>
          <w:sz w:val="22"/>
          <w:szCs w:val="22"/>
        </w:rPr>
        <w:t>Andrew Maloney</w:t>
      </w:r>
    </w:p>
    <w:p w:rsidR="002C6BB7" w:rsidRPr="006F387B" w:rsidRDefault="00550AC8" w:rsidP="003B38E2">
      <w:pPr>
        <w:spacing w:after="240" w:line="240" w:lineRule="atLeast"/>
        <w:ind w:left="426" w:hanging="426"/>
        <w:jc w:val="both"/>
        <w:rPr>
          <w:rFonts w:ascii="Arial" w:hAnsi="Arial" w:cs="Arial"/>
          <w:sz w:val="22"/>
          <w:szCs w:val="22"/>
        </w:rPr>
      </w:pPr>
      <w:r w:rsidRPr="006F387B">
        <w:rPr>
          <w:rFonts w:ascii="Arial" w:hAnsi="Arial" w:cs="Arial"/>
          <w:sz w:val="22"/>
          <w:szCs w:val="22"/>
        </w:rPr>
        <w:t>Pr</w:t>
      </w:r>
      <w:bookmarkStart w:id="0" w:name="_GoBack"/>
      <w:bookmarkEnd w:id="0"/>
      <w:r w:rsidRPr="006F387B">
        <w:rPr>
          <w:rFonts w:ascii="Arial" w:hAnsi="Arial" w:cs="Arial"/>
          <w:sz w:val="22"/>
          <w:szCs w:val="22"/>
        </w:rPr>
        <w:t>esiding Member</w:t>
      </w:r>
    </w:p>
    <w:p w:rsidR="008707D3" w:rsidRPr="006F387B" w:rsidRDefault="003C1F42" w:rsidP="003B38E2">
      <w:pPr>
        <w:spacing w:after="240" w:line="240" w:lineRule="atLeast"/>
        <w:ind w:left="426" w:hanging="426"/>
        <w:jc w:val="both"/>
        <w:rPr>
          <w:rFonts w:ascii="Arial" w:hAnsi="Arial" w:cs="Arial"/>
          <w:sz w:val="22"/>
          <w:szCs w:val="22"/>
        </w:rPr>
      </w:pPr>
      <w:r>
        <w:rPr>
          <w:rFonts w:ascii="Arial" w:hAnsi="Arial" w:cs="Arial"/>
          <w:sz w:val="22"/>
          <w:szCs w:val="22"/>
        </w:rPr>
        <w:t>22</w:t>
      </w:r>
      <w:r w:rsidR="006F387B">
        <w:rPr>
          <w:rFonts w:ascii="Arial" w:hAnsi="Arial" w:cs="Arial"/>
          <w:sz w:val="22"/>
          <w:szCs w:val="22"/>
        </w:rPr>
        <w:t xml:space="preserve"> December 2016</w:t>
      </w:r>
    </w:p>
    <w:sectPr w:rsidR="008707D3" w:rsidRPr="006F387B" w:rsidSect="006F387B">
      <w:headerReference w:type="even" r:id="rId9"/>
      <w:headerReference w:type="default" r:id="rId10"/>
      <w:footerReference w:type="even" r:id="rId11"/>
      <w:footerReference w:type="default" r:id="rId12"/>
      <w:headerReference w:type="first" r:id="rId13"/>
      <w:footerReference w:type="first" r:id="rId14"/>
      <w:pgSz w:w="11906" w:h="16838" w:code="9"/>
      <w:pgMar w:top="1276"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5E" w:rsidRDefault="005F725E">
      <w:r>
        <w:separator/>
      </w:r>
    </w:p>
  </w:endnote>
  <w:endnote w:type="continuationSeparator" w:id="0">
    <w:p w:rsidR="005F725E" w:rsidRDefault="005F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00" w:rsidRDefault="00614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00" w:rsidRDefault="00614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00" w:rsidRDefault="00614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5E" w:rsidRDefault="005F725E">
      <w:r>
        <w:separator/>
      </w:r>
    </w:p>
  </w:footnote>
  <w:footnote w:type="continuationSeparator" w:id="0">
    <w:p w:rsidR="005F725E" w:rsidRDefault="005F7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932062"/>
      <w:docPartObj>
        <w:docPartGallery w:val="Page Numbers (Top of Page)"/>
        <w:docPartUnique/>
      </w:docPartObj>
    </w:sdtPr>
    <w:sdtEndPr>
      <w:rPr>
        <w:noProof/>
      </w:rPr>
    </w:sdtEndPr>
    <w:sdtContent>
      <w:p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3C1F42">
          <w:rPr>
            <w:rFonts w:ascii="Arial" w:hAnsi="Arial" w:cs="Arial"/>
            <w:noProof/>
          </w:rPr>
          <w:t>4</w:t>
        </w:r>
        <w:r w:rsidRPr="00614B00">
          <w:rPr>
            <w:rFonts w:ascii="Arial" w:hAnsi="Arial" w:cs="Arial"/>
            <w:noProof/>
          </w:rPr>
          <w:fldChar w:fldCharType="end"/>
        </w:r>
      </w:p>
    </w:sdtContent>
  </w:sdt>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E43"/>
    <w:multiLevelType w:val="hybridMultilevel"/>
    <w:tmpl w:val="6F1ACA0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4">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AC31DE9"/>
    <w:multiLevelType w:val="hybridMultilevel"/>
    <w:tmpl w:val="49DAA2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58130B"/>
    <w:multiLevelType w:val="hybridMultilevel"/>
    <w:tmpl w:val="93D263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60919BB"/>
    <w:multiLevelType w:val="hybridMultilevel"/>
    <w:tmpl w:val="C1F6A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8EF3E3F"/>
    <w:multiLevelType w:val="hybridMultilevel"/>
    <w:tmpl w:val="42CCE9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D8B11DB"/>
    <w:multiLevelType w:val="hybridMultilevel"/>
    <w:tmpl w:val="6E1EE97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7">
    <w:nsid w:val="3BC83A9D"/>
    <w:multiLevelType w:val="hybridMultilevel"/>
    <w:tmpl w:val="7DBE7DAE"/>
    <w:lvl w:ilvl="0" w:tplc="3188A794">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BBA5B8B"/>
    <w:multiLevelType w:val="hybridMultilevel"/>
    <w:tmpl w:val="60762B52"/>
    <w:lvl w:ilvl="0" w:tplc="2A64AC16">
      <w:start w:val="1"/>
      <w:numFmt w:val="decimal"/>
      <w:lvlText w:val="%1."/>
      <w:lvlJc w:val="left"/>
      <w:pPr>
        <w:ind w:left="360" w:hanging="360"/>
      </w:pPr>
      <w:rPr>
        <w:rFonts w:ascii="Arial" w:eastAsia="Times New Roman" w:hAnsi="Arial" w:cs="Arial" w:hint="default"/>
        <w:b w:val="0"/>
        <w:i w:val="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nsid w:val="4FC928FF"/>
    <w:multiLevelType w:val="hybridMultilevel"/>
    <w:tmpl w:val="CEBC988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1F56C69"/>
    <w:multiLevelType w:val="hybridMultilevel"/>
    <w:tmpl w:val="930EF09E"/>
    <w:lvl w:ilvl="0" w:tplc="D1F06D24">
      <w:start w:val="1"/>
      <w:numFmt w:val="decimal"/>
      <w:lvlText w:val="%1."/>
      <w:lvlJc w:val="left"/>
      <w:pPr>
        <w:ind w:left="720" w:hanging="360"/>
      </w:pPr>
      <w:rPr>
        <w:rFonts w:ascii="Arial" w:eastAsia="Times New Roman" w:hAnsi="Arial" w:cs="Arial"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7516DD2"/>
    <w:multiLevelType w:val="hybridMultilevel"/>
    <w:tmpl w:val="A956D74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4">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BE378F4"/>
    <w:multiLevelType w:val="hybridMultilevel"/>
    <w:tmpl w:val="11E83D28"/>
    <w:lvl w:ilvl="0" w:tplc="1CA66E0C">
      <w:start w:val="1"/>
      <w:numFmt w:val="decimal"/>
      <w:lvlText w:val="%1."/>
      <w:lvlJc w:val="left"/>
      <w:pPr>
        <w:ind w:left="360" w:hanging="360"/>
      </w:pPr>
      <w:rPr>
        <w:rFonts w:ascii="Arial" w:eastAsia="Times New Roman" w:hAnsi="Arial" w:cs="Arial" w:hint="default"/>
        <w:b w:val="0"/>
        <w:i w:val="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F960C9"/>
    <w:multiLevelType w:val="hybridMultilevel"/>
    <w:tmpl w:val="B768ABA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13"/>
  </w:num>
  <w:num w:numId="4">
    <w:abstractNumId w:val="10"/>
  </w:num>
  <w:num w:numId="5">
    <w:abstractNumId w:val="27"/>
  </w:num>
  <w:num w:numId="6">
    <w:abstractNumId w:val="31"/>
  </w:num>
  <w:num w:numId="7">
    <w:abstractNumId w:val="22"/>
  </w:num>
  <w:num w:numId="8">
    <w:abstractNumId w:val="1"/>
  </w:num>
  <w:num w:numId="9">
    <w:abstractNumId w:val="33"/>
  </w:num>
  <w:num w:numId="10">
    <w:abstractNumId w:val="21"/>
  </w:num>
  <w:num w:numId="11">
    <w:abstractNumId w:val="3"/>
  </w:num>
  <w:num w:numId="12">
    <w:abstractNumId w:val="4"/>
  </w:num>
  <w:num w:numId="13">
    <w:abstractNumId w:val="20"/>
  </w:num>
  <w:num w:numId="14">
    <w:abstractNumId w:val="24"/>
  </w:num>
  <w:num w:numId="15">
    <w:abstractNumId w:val="2"/>
  </w:num>
  <w:num w:numId="16">
    <w:abstractNumId w:val="17"/>
  </w:num>
  <w:num w:numId="17">
    <w:abstractNumId w:val="6"/>
  </w:num>
  <w:num w:numId="18">
    <w:abstractNumId w:val="9"/>
  </w:num>
  <w:num w:numId="19">
    <w:abstractNumId w:val="25"/>
  </w:num>
  <w:num w:numId="20">
    <w:abstractNumId w:val="29"/>
  </w:num>
  <w:num w:numId="21">
    <w:abstractNumId w:val="14"/>
  </w:num>
  <w:num w:numId="22">
    <w:abstractNumId w:val="36"/>
  </w:num>
  <w:num w:numId="23">
    <w:abstractNumId w:val="34"/>
  </w:num>
  <w:num w:numId="24">
    <w:abstractNumId w:val="32"/>
  </w:num>
  <w:num w:numId="25">
    <w:abstractNumId w:val="19"/>
  </w:num>
  <w:num w:numId="26">
    <w:abstractNumId w:val="15"/>
  </w:num>
  <w:num w:numId="27">
    <w:abstractNumId w:val="5"/>
  </w:num>
  <w:num w:numId="28">
    <w:abstractNumId w:val="12"/>
  </w:num>
  <w:num w:numId="29">
    <w:abstractNumId w:val="7"/>
  </w:num>
  <w:num w:numId="30">
    <w:abstractNumId w:val="11"/>
  </w:num>
  <w:num w:numId="31">
    <w:abstractNumId w:val="26"/>
  </w:num>
  <w:num w:numId="32">
    <w:abstractNumId w:val="0"/>
  </w:num>
  <w:num w:numId="33">
    <w:abstractNumId w:val="23"/>
  </w:num>
  <w:num w:numId="34">
    <w:abstractNumId w:val="37"/>
  </w:num>
  <w:num w:numId="35">
    <w:abstractNumId w:val="35"/>
  </w:num>
  <w:num w:numId="36">
    <w:abstractNumId w:val="30"/>
  </w:num>
  <w:num w:numId="37">
    <w:abstractNumId w:val="2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MwNrSwMDU3sTAwtzRQ0lEKTi0uzszPAykwrAUAmqeJeCwAAAA="/>
  </w:docVars>
  <w:rsids>
    <w:rsidRoot w:val="005F725E"/>
    <w:rsid w:val="00000D37"/>
    <w:rsid w:val="000020F8"/>
    <w:rsid w:val="000048F3"/>
    <w:rsid w:val="00035446"/>
    <w:rsid w:val="00060698"/>
    <w:rsid w:val="0006656F"/>
    <w:rsid w:val="000808B9"/>
    <w:rsid w:val="00082CE5"/>
    <w:rsid w:val="00091732"/>
    <w:rsid w:val="000A71E5"/>
    <w:rsid w:val="000E1540"/>
    <w:rsid w:val="00102517"/>
    <w:rsid w:val="00126EF4"/>
    <w:rsid w:val="0012714B"/>
    <w:rsid w:val="001304C4"/>
    <w:rsid w:val="00140933"/>
    <w:rsid w:val="001444A8"/>
    <w:rsid w:val="00171F70"/>
    <w:rsid w:val="00180CE5"/>
    <w:rsid w:val="00184F2E"/>
    <w:rsid w:val="00192903"/>
    <w:rsid w:val="001C03C0"/>
    <w:rsid w:val="001D6307"/>
    <w:rsid w:val="001D6966"/>
    <w:rsid w:val="001F335D"/>
    <w:rsid w:val="00204481"/>
    <w:rsid w:val="00206E6E"/>
    <w:rsid w:val="002339C1"/>
    <w:rsid w:val="00262155"/>
    <w:rsid w:val="00277AE9"/>
    <w:rsid w:val="002A25AA"/>
    <w:rsid w:val="002B6BBF"/>
    <w:rsid w:val="002C0774"/>
    <w:rsid w:val="002C46C5"/>
    <w:rsid w:val="002C6BB7"/>
    <w:rsid w:val="002E6113"/>
    <w:rsid w:val="002F03D5"/>
    <w:rsid w:val="002F0E22"/>
    <w:rsid w:val="002F720B"/>
    <w:rsid w:val="00311798"/>
    <w:rsid w:val="00320DA3"/>
    <w:rsid w:val="003302D8"/>
    <w:rsid w:val="00334303"/>
    <w:rsid w:val="00340E1B"/>
    <w:rsid w:val="00341AC5"/>
    <w:rsid w:val="003502BB"/>
    <w:rsid w:val="00352D6D"/>
    <w:rsid w:val="00357B7A"/>
    <w:rsid w:val="00364A28"/>
    <w:rsid w:val="0039542A"/>
    <w:rsid w:val="003A37FE"/>
    <w:rsid w:val="003A3E83"/>
    <w:rsid w:val="003B38E2"/>
    <w:rsid w:val="003B3C8B"/>
    <w:rsid w:val="003C1F42"/>
    <w:rsid w:val="003C2416"/>
    <w:rsid w:val="003C4E27"/>
    <w:rsid w:val="003E507B"/>
    <w:rsid w:val="003F0044"/>
    <w:rsid w:val="003F35EB"/>
    <w:rsid w:val="003F7E8F"/>
    <w:rsid w:val="00403E6D"/>
    <w:rsid w:val="004124E8"/>
    <w:rsid w:val="00423AFA"/>
    <w:rsid w:val="0042631D"/>
    <w:rsid w:val="00454068"/>
    <w:rsid w:val="004717FF"/>
    <w:rsid w:val="00480975"/>
    <w:rsid w:val="004B422E"/>
    <w:rsid w:val="004D373A"/>
    <w:rsid w:val="004F33F5"/>
    <w:rsid w:val="00511172"/>
    <w:rsid w:val="00517D0F"/>
    <w:rsid w:val="005223B7"/>
    <w:rsid w:val="00532A8E"/>
    <w:rsid w:val="00550AC8"/>
    <w:rsid w:val="005A5E6A"/>
    <w:rsid w:val="005C38DC"/>
    <w:rsid w:val="005C403D"/>
    <w:rsid w:val="005D116B"/>
    <w:rsid w:val="005F1D75"/>
    <w:rsid w:val="005F725E"/>
    <w:rsid w:val="00612471"/>
    <w:rsid w:val="00614B00"/>
    <w:rsid w:val="00615992"/>
    <w:rsid w:val="00624E09"/>
    <w:rsid w:val="0063050D"/>
    <w:rsid w:val="00634062"/>
    <w:rsid w:val="00636132"/>
    <w:rsid w:val="00682899"/>
    <w:rsid w:val="00682C3C"/>
    <w:rsid w:val="006A7AED"/>
    <w:rsid w:val="006D06D6"/>
    <w:rsid w:val="006F387B"/>
    <w:rsid w:val="007010AC"/>
    <w:rsid w:val="007046C6"/>
    <w:rsid w:val="00712274"/>
    <w:rsid w:val="00712415"/>
    <w:rsid w:val="00720AD8"/>
    <w:rsid w:val="00735AB3"/>
    <w:rsid w:val="00741C28"/>
    <w:rsid w:val="00742D00"/>
    <w:rsid w:val="00754790"/>
    <w:rsid w:val="007635FA"/>
    <w:rsid w:val="00763830"/>
    <w:rsid w:val="00775C59"/>
    <w:rsid w:val="00792389"/>
    <w:rsid w:val="007B0F27"/>
    <w:rsid w:val="007D15A0"/>
    <w:rsid w:val="007E7020"/>
    <w:rsid w:val="008132FB"/>
    <w:rsid w:val="00817FA8"/>
    <w:rsid w:val="00821B56"/>
    <w:rsid w:val="00824D04"/>
    <w:rsid w:val="00851D26"/>
    <w:rsid w:val="00861250"/>
    <w:rsid w:val="008707D3"/>
    <w:rsid w:val="008968EA"/>
    <w:rsid w:val="008D39E7"/>
    <w:rsid w:val="008D5E6F"/>
    <w:rsid w:val="008D711D"/>
    <w:rsid w:val="008E1DAA"/>
    <w:rsid w:val="008E4D7C"/>
    <w:rsid w:val="00903E8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467CA"/>
    <w:rsid w:val="00A520B3"/>
    <w:rsid w:val="00A85362"/>
    <w:rsid w:val="00A94982"/>
    <w:rsid w:val="00AA05C2"/>
    <w:rsid w:val="00AA1AD2"/>
    <w:rsid w:val="00AB4D34"/>
    <w:rsid w:val="00AD0566"/>
    <w:rsid w:val="00AD7B16"/>
    <w:rsid w:val="00AE3ED6"/>
    <w:rsid w:val="00AF4879"/>
    <w:rsid w:val="00B00073"/>
    <w:rsid w:val="00B04326"/>
    <w:rsid w:val="00B50B06"/>
    <w:rsid w:val="00B60D8B"/>
    <w:rsid w:val="00B760BD"/>
    <w:rsid w:val="00B92758"/>
    <w:rsid w:val="00BC79A2"/>
    <w:rsid w:val="00BD3B4B"/>
    <w:rsid w:val="00BD67DF"/>
    <w:rsid w:val="00BE3A88"/>
    <w:rsid w:val="00C02779"/>
    <w:rsid w:val="00C32F2B"/>
    <w:rsid w:val="00C5025D"/>
    <w:rsid w:val="00C5070C"/>
    <w:rsid w:val="00C735CA"/>
    <w:rsid w:val="00C817B3"/>
    <w:rsid w:val="00C921AB"/>
    <w:rsid w:val="00CA530C"/>
    <w:rsid w:val="00CA53CE"/>
    <w:rsid w:val="00CB49CF"/>
    <w:rsid w:val="00CC1E53"/>
    <w:rsid w:val="00CE6D02"/>
    <w:rsid w:val="00CF2AE7"/>
    <w:rsid w:val="00CF3964"/>
    <w:rsid w:val="00D07B98"/>
    <w:rsid w:val="00D1617A"/>
    <w:rsid w:val="00D54C0A"/>
    <w:rsid w:val="00D76980"/>
    <w:rsid w:val="00DA37E9"/>
    <w:rsid w:val="00DB64C1"/>
    <w:rsid w:val="00DB77E4"/>
    <w:rsid w:val="00DC6365"/>
    <w:rsid w:val="00DE0C6D"/>
    <w:rsid w:val="00DF7185"/>
    <w:rsid w:val="00E0130B"/>
    <w:rsid w:val="00E023C4"/>
    <w:rsid w:val="00E05D93"/>
    <w:rsid w:val="00E30D0A"/>
    <w:rsid w:val="00E64F46"/>
    <w:rsid w:val="00E735FB"/>
    <w:rsid w:val="00E95BC9"/>
    <w:rsid w:val="00EA2275"/>
    <w:rsid w:val="00EA65EF"/>
    <w:rsid w:val="00EB0E4C"/>
    <w:rsid w:val="00EF3278"/>
    <w:rsid w:val="00EF7574"/>
    <w:rsid w:val="00F0254E"/>
    <w:rsid w:val="00F06E17"/>
    <w:rsid w:val="00F11069"/>
    <w:rsid w:val="00F27918"/>
    <w:rsid w:val="00F679B7"/>
    <w:rsid w:val="00F74D1D"/>
    <w:rsid w:val="00F914E2"/>
    <w:rsid w:val="00F94C5D"/>
    <w:rsid w:val="00FA095C"/>
    <w:rsid w:val="00FA3B90"/>
    <w:rsid w:val="00FB7BF2"/>
    <w:rsid w:val="00FC22BE"/>
    <w:rsid w:val="00FC33D6"/>
    <w:rsid w:val="00FD1314"/>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customStyle="1" w:styleId="Default">
    <w:name w:val="Default"/>
    <w:rsid w:val="00364A2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customStyle="1" w:styleId="Default">
    <w:name w:val="Default"/>
    <w:rsid w:val="00364A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8CA77-7E4B-4E67-BB67-61A6D1E4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4</cp:revision>
  <cp:lastPrinted>2014-04-22T03:39:00Z</cp:lastPrinted>
  <dcterms:created xsi:type="dcterms:W3CDTF">2016-12-21T22:12:00Z</dcterms:created>
  <dcterms:modified xsi:type="dcterms:W3CDTF">2016-12-21T22:17:00Z</dcterms:modified>
</cp:coreProperties>
</file>