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2D36F" w14:textId="77777777" w:rsidR="003B38E2" w:rsidRPr="00C26AA1" w:rsidRDefault="003B38E2" w:rsidP="00770B78">
      <w:pPr>
        <w:keepNext/>
        <w:pBdr>
          <w:bottom w:val="single" w:sz="12" w:space="6" w:color="auto"/>
        </w:pBdr>
        <w:spacing w:after="120" w:line="360" w:lineRule="auto"/>
        <w:jc w:val="center"/>
        <w:outlineLvl w:val="0"/>
        <w:rPr>
          <w:rFonts w:ascii="Arial" w:hAnsi="Arial"/>
          <w:b/>
          <w:bCs/>
          <w:kern w:val="32"/>
          <w:sz w:val="32"/>
          <w:szCs w:val="32"/>
        </w:rPr>
      </w:pPr>
      <w:r w:rsidRPr="00C26AA1">
        <w:rPr>
          <w:rFonts w:ascii="Arial" w:hAnsi="Arial"/>
          <w:b/>
          <w:bCs/>
          <w:kern w:val="32"/>
          <w:sz w:val="32"/>
          <w:szCs w:val="32"/>
        </w:rPr>
        <w:t>Reasons for Decision</w:t>
      </w:r>
    </w:p>
    <w:p w14:paraId="30A62B7B" w14:textId="2C144F1E" w:rsidR="00DB64C1" w:rsidRPr="003E231B" w:rsidRDefault="00055A44" w:rsidP="003B38E2">
      <w:pPr>
        <w:overflowPunct w:val="0"/>
        <w:autoSpaceDE w:val="0"/>
        <w:autoSpaceDN w:val="0"/>
        <w:adjustRightInd w:val="0"/>
        <w:spacing w:after="200"/>
        <w:ind w:left="2835" w:hanging="2835"/>
        <w:outlineLvl w:val="0"/>
        <w:rPr>
          <w:rFonts w:ascii="Arial" w:hAnsi="Arial"/>
          <w:szCs w:val="20"/>
        </w:rPr>
      </w:pPr>
      <w:r>
        <w:rPr>
          <w:rFonts w:ascii="Arial" w:hAnsi="Arial"/>
          <w:b/>
          <w:szCs w:val="20"/>
        </w:rPr>
        <w:t>Complainant</w:t>
      </w:r>
      <w:r w:rsidR="00DB64C1">
        <w:rPr>
          <w:rFonts w:ascii="Arial" w:hAnsi="Arial"/>
          <w:b/>
          <w:szCs w:val="20"/>
        </w:rPr>
        <w:t>:</w:t>
      </w:r>
      <w:r w:rsidR="00DB64C1">
        <w:rPr>
          <w:rFonts w:ascii="Arial" w:hAnsi="Arial"/>
          <w:b/>
          <w:szCs w:val="20"/>
        </w:rPr>
        <w:tab/>
      </w:r>
      <w:r w:rsidR="00485938">
        <w:rPr>
          <w:rFonts w:ascii="Arial" w:hAnsi="Arial"/>
          <w:szCs w:val="20"/>
        </w:rPr>
        <w:t>Mr L</w:t>
      </w:r>
    </w:p>
    <w:p w14:paraId="71DEE592" w14:textId="304E11AA" w:rsidR="003B38E2" w:rsidRPr="00485938" w:rsidRDefault="003B38E2" w:rsidP="003B38E2">
      <w:pPr>
        <w:overflowPunct w:val="0"/>
        <w:autoSpaceDE w:val="0"/>
        <w:autoSpaceDN w:val="0"/>
        <w:adjustRightInd w:val="0"/>
        <w:spacing w:after="200"/>
        <w:ind w:left="2835" w:hanging="2835"/>
        <w:outlineLvl w:val="0"/>
        <w:rPr>
          <w:rFonts w:ascii="Arial" w:hAnsi="Arial" w:cs="Arial"/>
          <w:lang w:val="en-GB"/>
        </w:rPr>
      </w:pPr>
      <w:r w:rsidRPr="00CE4353">
        <w:rPr>
          <w:rFonts w:ascii="Arial" w:hAnsi="Arial"/>
          <w:b/>
          <w:szCs w:val="20"/>
        </w:rPr>
        <w:t>Licensee</w:t>
      </w:r>
      <w:r w:rsidRPr="00C05A58">
        <w:rPr>
          <w:rFonts w:ascii="Arial" w:hAnsi="Arial" w:cs="Arial"/>
          <w:b/>
          <w:lang w:val="en-GB"/>
        </w:rPr>
        <w:t>:</w:t>
      </w:r>
      <w:r w:rsidRPr="00C05A58">
        <w:rPr>
          <w:rFonts w:ascii="Arial" w:hAnsi="Arial" w:cs="Arial"/>
          <w:b/>
          <w:lang w:val="en-GB"/>
        </w:rPr>
        <w:tab/>
      </w:r>
      <w:r w:rsidR="003C3F82">
        <w:rPr>
          <w:rFonts w:ascii="Arial" w:hAnsi="Arial" w:cs="Arial"/>
          <w:lang w:val="en-GB"/>
        </w:rPr>
        <w:t>William Hill</w:t>
      </w:r>
    </w:p>
    <w:p w14:paraId="0F1A14B8" w14:textId="0A3496E3" w:rsidR="003B38E2" w:rsidRPr="00DB64C1" w:rsidRDefault="003B38E2" w:rsidP="003B38E2">
      <w:pPr>
        <w:spacing w:after="200"/>
        <w:ind w:left="2835" w:hanging="2835"/>
        <w:rPr>
          <w:rFonts w:ascii="Arial" w:hAnsi="Arial" w:cs="Arial"/>
          <w:lang w:val="en-GB"/>
        </w:rPr>
      </w:pPr>
      <w:r w:rsidRPr="00CE4353">
        <w:rPr>
          <w:rFonts w:ascii="Arial" w:hAnsi="Arial"/>
          <w:b/>
          <w:szCs w:val="20"/>
        </w:rPr>
        <w:t>Proceedings</w:t>
      </w:r>
      <w:r w:rsidRPr="00C05A58">
        <w:rPr>
          <w:rFonts w:ascii="Arial" w:hAnsi="Arial" w:cs="Arial"/>
          <w:b/>
          <w:lang w:val="en-GB"/>
        </w:rPr>
        <w:t>:</w:t>
      </w:r>
      <w:r w:rsidRPr="00C05A58">
        <w:rPr>
          <w:rFonts w:ascii="Arial" w:hAnsi="Arial" w:cs="Arial"/>
          <w:b/>
          <w:lang w:val="en-GB"/>
        </w:rPr>
        <w:tab/>
      </w:r>
      <w:r w:rsidR="008E5F56" w:rsidRPr="005463CA">
        <w:rPr>
          <w:rFonts w:ascii="Arial" w:hAnsi="Arial" w:cs="Arial"/>
        </w:rPr>
        <w:t>Pursu</w:t>
      </w:r>
      <w:r w:rsidR="008E5F56">
        <w:rPr>
          <w:rFonts w:ascii="Arial" w:hAnsi="Arial" w:cs="Arial"/>
        </w:rPr>
        <w:t>ant t</w:t>
      </w:r>
      <w:r w:rsidR="008E5F56" w:rsidRPr="005463CA">
        <w:rPr>
          <w:rFonts w:ascii="Arial" w:hAnsi="Arial" w:cs="Arial"/>
        </w:rPr>
        <w:t>o Section</w:t>
      </w:r>
      <w:r w:rsidR="00A06BD9">
        <w:rPr>
          <w:rFonts w:ascii="Arial" w:hAnsi="Arial" w:cs="Arial"/>
        </w:rPr>
        <w:t>s</w:t>
      </w:r>
      <w:r w:rsidR="003E231B">
        <w:rPr>
          <w:rFonts w:ascii="Arial" w:hAnsi="Arial" w:cs="Arial"/>
        </w:rPr>
        <w:t xml:space="preserve"> </w:t>
      </w:r>
      <w:r w:rsidR="00A06BD9">
        <w:rPr>
          <w:rFonts w:ascii="Arial" w:hAnsi="Arial" w:cs="Arial"/>
        </w:rPr>
        <w:t>80(1</w:t>
      </w:r>
      <w:proofErr w:type="gramStart"/>
      <w:r w:rsidR="00A06BD9">
        <w:rPr>
          <w:rFonts w:ascii="Arial" w:hAnsi="Arial" w:cs="Arial"/>
        </w:rPr>
        <w:t>)(</w:t>
      </w:r>
      <w:proofErr w:type="gramEnd"/>
      <w:r w:rsidR="00A06BD9">
        <w:rPr>
          <w:rFonts w:ascii="Arial" w:hAnsi="Arial" w:cs="Arial"/>
        </w:rPr>
        <w:t>d)</w:t>
      </w:r>
      <w:r w:rsidR="003E231B">
        <w:rPr>
          <w:rFonts w:ascii="Arial" w:hAnsi="Arial" w:cs="Arial"/>
        </w:rPr>
        <w:t xml:space="preserve"> </w:t>
      </w:r>
      <w:r w:rsidR="00A06BD9">
        <w:rPr>
          <w:rFonts w:ascii="Arial" w:hAnsi="Arial" w:cs="Arial"/>
        </w:rPr>
        <w:t xml:space="preserve">and 148A </w:t>
      </w:r>
      <w:r w:rsidR="008E5F56">
        <w:rPr>
          <w:rFonts w:ascii="Arial" w:hAnsi="Arial" w:cs="Arial"/>
        </w:rPr>
        <w:t>o</w:t>
      </w:r>
      <w:r w:rsidR="008E5F56" w:rsidRPr="005463CA">
        <w:rPr>
          <w:rFonts w:ascii="Arial" w:hAnsi="Arial" w:cs="Arial"/>
        </w:rPr>
        <w:t xml:space="preserve">f </w:t>
      </w:r>
      <w:r w:rsidR="008E5F56">
        <w:rPr>
          <w:rFonts w:ascii="Arial" w:hAnsi="Arial" w:cs="Arial"/>
        </w:rPr>
        <w:t>t</w:t>
      </w:r>
      <w:r w:rsidR="008E5F56" w:rsidRPr="005463CA">
        <w:rPr>
          <w:rFonts w:ascii="Arial" w:hAnsi="Arial" w:cs="Arial"/>
        </w:rPr>
        <w:t xml:space="preserve">he </w:t>
      </w:r>
      <w:r w:rsidR="008E5F56">
        <w:rPr>
          <w:rFonts w:ascii="Arial" w:hAnsi="Arial" w:cs="Arial"/>
          <w:i/>
        </w:rPr>
        <w:t>Racing a</w:t>
      </w:r>
      <w:r w:rsidR="008E5F56" w:rsidRPr="005463CA">
        <w:rPr>
          <w:rFonts w:ascii="Arial" w:hAnsi="Arial" w:cs="Arial"/>
          <w:i/>
        </w:rPr>
        <w:t xml:space="preserve">nd Betting </w:t>
      </w:r>
      <w:r w:rsidR="008E5F56">
        <w:rPr>
          <w:rFonts w:ascii="Arial" w:hAnsi="Arial" w:cs="Arial"/>
          <w:i/>
        </w:rPr>
        <w:t>Act</w:t>
      </w:r>
      <w:r w:rsidR="00A06BD9">
        <w:rPr>
          <w:rFonts w:ascii="Arial" w:hAnsi="Arial" w:cs="Arial"/>
        </w:rPr>
        <w:t xml:space="preserve"> </w:t>
      </w:r>
    </w:p>
    <w:p w14:paraId="769981ED" w14:textId="7009DBC1" w:rsidR="003E4F8E" w:rsidRPr="003E231B" w:rsidRDefault="003B38E2" w:rsidP="008E5F56">
      <w:pPr>
        <w:ind w:left="2835" w:hanging="2835"/>
        <w:rPr>
          <w:rFonts w:ascii="Arial" w:hAnsi="Arial" w:cs="Arial"/>
          <w:lang w:val="en-GB"/>
        </w:rPr>
      </w:pPr>
      <w:r>
        <w:rPr>
          <w:rFonts w:ascii="Arial" w:hAnsi="Arial"/>
          <w:b/>
          <w:szCs w:val="20"/>
        </w:rPr>
        <w:t>Heard Before</w:t>
      </w:r>
      <w:r w:rsidRPr="00C05A58">
        <w:rPr>
          <w:rFonts w:ascii="Arial" w:hAnsi="Arial" w:cs="Arial"/>
          <w:b/>
          <w:lang w:val="en-GB"/>
        </w:rPr>
        <w:t>:</w:t>
      </w:r>
      <w:r w:rsidRPr="00C05A58">
        <w:rPr>
          <w:rFonts w:ascii="Arial" w:hAnsi="Arial" w:cs="Arial"/>
          <w:b/>
          <w:lang w:val="en-GB"/>
        </w:rPr>
        <w:tab/>
      </w:r>
      <w:r w:rsidR="003E231B" w:rsidRPr="003E231B">
        <w:rPr>
          <w:rFonts w:ascii="Arial" w:hAnsi="Arial" w:cs="Arial"/>
          <w:lang w:val="en-GB"/>
        </w:rPr>
        <w:t xml:space="preserve">Mr </w:t>
      </w:r>
      <w:r w:rsidR="00485938">
        <w:rPr>
          <w:rFonts w:ascii="Arial" w:hAnsi="Arial" w:cs="Arial"/>
          <w:lang w:val="en-GB"/>
        </w:rPr>
        <w:t>Alastair Shields</w:t>
      </w:r>
      <w:r w:rsidR="003E231B">
        <w:rPr>
          <w:rFonts w:ascii="Arial" w:hAnsi="Arial" w:cs="Arial"/>
          <w:lang w:val="en-GB"/>
        </w:rPr>
        <w:t xml:space="preserve"> </w:t>
      </w:r>
      <w:r w:rsidR="000716C2" w:rsidRPr="003E231B">
        <w:rPr>
          <w:rFonts w:ascii="Arial" w:hAnsi="Arial" w:cs="Arial"/>
          <w:lang w:val="en-GB"/>
        </w:rPr>
        <w:t>(Presiding Member)</w:t>
      </w:r>
    </w:p>
    <w:p w14:paraId="7A1A4BF1" w14:textId="7ABA0FEF" w:rsidR="008E5F56" w:rsidRPr="003E231B" w:rsidRDefault="00DB64C1" w:rsidP="008E5F56">
      <w:pPr>
        <w:ind w:left="2835" w:hanging="2835"/>
        <w:rPr>
          <w:rFonts w:ascii="Arial" w:hAnsi="Arial" w:cs="Arial"/>
        </w:rPr>
      </w:pPr>
      <w:r w:rsidRPr="003E231B">
        <w:rPr>
          <w:rFonts w:ascii="Arial" w:hAnsi="Arial" w:cs="Arial"/>
          <w:b/>
        </w:rPr>
        <w:t>(</w:t>
      </w:r>
      <w:proofErr w:type="gramStart"/>
      <w:r w:rsidRPr="003E231B">
        <w:rPr>
          <w:rFonts w:ascii="Arial" w:hAnsi="Arial" w:cs="Arial"/>
          <w:b/>
        </w:rPr>
        <w:t>on</w:t>
      </w:r>
      <w:proofErr w:type="gramEnd"/>
      <w:r w:rsidRPr="003E231B">
        <w:rPr>
          <w:rFonts w:ascii="Arial" w:hAnsi="Arial" w:cs="Arial"/>
          <w:b/>
        </w:rPr>
        <w:t xml:space="preserve"> papers)</w:t>
      </w:r>
      <w:r w:rsidR="003E4F8E" w:rsidRPr="003E231B">
        <w:rPr>
          <w:rFonts w:ascii="Arial" w:hAnsi="Arial" w:cs="Arial"/>
          <w:b/>
        </w:rPr>
        <w:tab/>
      </w:r>
      <w:r w:rsidR="00485938">
        <w:rPr>
          <w:rFonts w:ascii="Arial" w:hAnsi="Arial" w:cs="Arial"/>
        </w:rPr>
        <w:t>Ms Amy Corcoran</w:t>
      </w:r>
    </w:p>
    <w:p w14:paraId="5DE05DA7" w14:textId="245D5946" w:rsidR="003E4F8E" w:rsidRPr="003E4F8E" w:rsidRDefault="003E4F8E" w:rsidP="008E5F56">
      <w:pPr>
        <w:ind w:left="2835" w:hanging="2835"/>
        <w:rPr>
          <w:rFonts w:ascii="Arial" w:hAnsi="Arial" w:cs="Arial"/>
        </w:rPr>
      </w:pPr>
      <w:r w:rsidRPr="003E231B">
        <w:rPr>
          <w:rFonts w:ascii="Arial" w:hAnsi="Arial" w:cs="Arial"/>
        </w:rPr>
        <w:tab/>
      </w:r>
      <w:r w:rsidR="00485938">
        <w:rPr>
          <w:rFonts w:ascii="Arial" w:hAnsi="Arial" w:cs="Arial"/>
        </w:rPr>
        <w:t>Mr James Pratt</w:t>
      </w:r>
    </w:p>
    <w:p w14:paraId="0375A850" w14:textId="77777777" w:rsidR="005F725E" w:rsidRPr="005F725E" w:rsidRDefault="00DB64C1" w:rsidP="008E5F56">
      <w:pPr>
        <w:ind w:left="2835" w:hanging="2835"/>
        <w:rPr>
          <w:rFonts w:ascii="Arial" w:hAnsi="Arial" w:cs="Arial"/>
        </w:rPr>
      </w:pPr>
      <w:r w:rsidRPr="005F725E">
        <w:rPr>
          <w:rFonts w:ascii="Arial" w:hAnsi="Arial" w:cs="Arial"/>
          <w:b/>
        </w:rPr>
        <w:tab/>
      </w:r>
    </w:p>
    <w:p w14:paraId="53C6B3F7" w14:textId="037C1CF9" w:rsidR="003B38E2" w:rsidRPr="003E231B" w:rsidRDefault="003B38E2" w:rsidP="003B38E2">
      <w:pPr>
        <w:spacing w:after="200"/>
        <w:ind w:left="2835" w:hanging="2835"/>
        <w:rPr>
          <w:rFonts w:ascii="Arial" w:hAnsi="Arial" w:cs="Arial"/>
        </w:rPr>
      </w:pPr>
      <w:r>
        <w:rPr>
          <w:rFonts w:ascii="Arial" w:hAnsi="Arial" w:cs="Arial"/>
          <w:b/>
        </w:rPr>
        <w:t xml:space="preserve">Date of </w:t>
      </w:r>
      <w:r w:rsidRPr="00A30195">
        <w:rPr>
          <w:rFonts w:ascii="Arial" w:hAnsi="Arial"/>
          <w:b/>
          <w:szCs w:val="20"/>
        </w:rPr>
        <w:t>Decision</w:t>
      </w:r>
      <w:r>
        <w:rPr>
          <w:rFonts w:ascii="Arial" w:hAnsi="Arial" w:cs="Arial"/>
          <w:b/>
        </w:rPr>
        <w:t>:</w:t>
      </w:r>
      <w:r w:rsidR="003E231B">
        <w:rPr>
          <w:rFonts w:ascii="Arial" w:hAnsi="Arial" w:cs="Arial"/>
          <w:b/>
        </w:rPr>
        <w:tab/>
      </w:r>
      <w:r w:rsidR="009A74D0" w:rsidRPr="00373E08">
        <w:rPr>
          <w:rFonts w:ascii="Arial" w:hAnsi="Arial" w:cs="Arial"/>
        </w:rPr>
        <w:t>2</w:t>
      </w:r>
      <w:r w:rsidR="009419EB">
        <w:rPr>
          <w:rFonts w:ascii="Arial" w:hAnsi="Arial" w:cs="Arial"/>
        </w:rPr>
        <w:t>5</w:t>
      </w:r>
      <w:bookmarkStart w:id="0" w:name="_GoBack"/>
      <w:bookmarkEnd w:id="0"/>
      <w:r w:rsidR="009A74D0" w:rsidRPr="00373E08">
        <w:rPr>
          <w:rFonts w:ascii="Arial" w:hAnsi="Arial" w:cs="Arial"/>
        </w:rPr>
        <w:t xml:space="preserve"> </w:t>
      </w:r>
      <w:r w:rsidR="009A74D0">
        <w:rPr>
          <w:rFonts w:ascii="Arial" w:hAnsi="Arial" w:cs="Arial"/>
        </w:rPr>
        <w:t>Octo</w:t>
      </w:r>
      <w:r w:rsidR="0087556A" w:rsidRPr="0087556A">
        <w:rPr>
          <w:rFonts w:ascii="Arial" w:hAnsi="Arial" w:cs="Arial"/>
        </w:rPr>
        <w:t>ber</w:t>
      </w:r>
      <w:r w:rsidR="00485938" w:rsidRPr="0087556A">
        <w:rPr>
          <w:rFonts w:ascii="Arial" w:hAnsi="Arial" w:cs="Arial"/>
        </w:rPr>
        <w:t xml:space="preserve"> 2018</w:t>
      </w:r>
    </w:p>
    <w:p w14:paraId="08F2FFB2" w14:textId="77777777" w:rsidR="003B38E2" w:rsidRPr="00A30195" w:rsidRDefault="003B38E2" w:rsidP="003B38E2">
      <w:pPr>
        <w:pStyle w:val="BottomLine"/>
      </w:pPr>
    </w:p>
    <w:p w14:paraId="6D4817E4" w14:textId="77777777" w:rsidR="0012027A" w:rsidRPr="008B5563" w:rsidRDefault="008E5F56" w:rsidP="00595E61">
      <w:pPr>
        <w:pStyle w:val="Heading2"/>
      </w:pPr>
      <w:r w:rsidRPr="008B5563">
        <w:t>Background</w:t>
      </w:r>
    </w:p>
    <w:p w14:paraId="422F6F02" w14:textId="67629472" w:rsidR="006B06F9" w:rsidRPr="008B5563" w:rsidRDefault="006B06F9" w:rsidP="00595E61">
      <w:pPr>
        <w:pStyle w:val="ListParagraph"/>
        <w:numPr>
          <w:ilvl w:val="0"/>
          <w:numId w:val="34"/>
        </w:numPr>
        <w:spacing w:before="120" w:after="240"/>
        <w:jc w:val="both"/>
        <w:rPr>
          <w:rFonts w:ascii="Arial" w:hAnsi="Arial" w:cs="Arial"/>
        </w:rPr>
      </w:pPr>
      <w:r w:rsidRPr="008B5563">
        <w:rPr>
          <w:rFonts w:ascii="Arial" w:hAnsi="Arial" w:cs="Arial"/>
        </w:rPr>
        <w:t xml:space="preserve">This dispute involves the </w:t>
      </w:r>
      <w:r w:rsidR="00A06BD9">
        <w:rPr>
          <w:rFonts w:ascii="Arial" w:hAnsi="Arial" w:cs="Arial"/>
        </w:rPr>
        <w:t>Complainant</w:t>
      </w:r>
      <w:r w:rsidRPr="008B5563">
        <w:rPr>
          <w:rFonts w:ascii="Arial" w:hAnsi="Arial" w:cs="Arial"/>
        </w:rPr>
        <w:t xml:space="preserve">, a </w:t>
      </w:r>
      <w:r w:rsidR="007A0D31" w:rsidRPr="008B5563">
        <w:rPr>
          <w:rFonts w:ascii="Arial" w:hAnsi="Arial" w:cs="Arial"/>
        </w:rPr>
        <w:t xml:space="preserve">known </w:t>
      </w:r>
      <w:r w:rsidRPr="008B5563">
        <w:rPr>
          <w:rFonts w:ascii="Arial" w:hAnsi="Arial" w:cs="Arial"/>
        </w:rPr>
        <w:t xml:space="preserve">problem gambler, who received promotional material from </w:t>
      </w:r>
      <w:r w:rsidR="00945719">
        <w:rPr>
          <w:rFonts w:ascii="Arial" w:hAnsi="Arial" w:cs="Arial"/>
          <w:lang w:val="en-GB"/>
        </w:rPr>
        <w:t>William Hill</w:t>
      </w:r>
      <w:r w:rsidRPr="008B5563">
        <w:rPr>
          <w:rFonts w:ascii="Arial" w:hAnsi="Arial" w:cs="Arial"/>
        </w:rPr>
        <w:t>.</w:t>
      </w:r>
    </w:p>
    <w:p w14:paraId="08B964FE" w14:textId="6B4970F1" w:rsidR="007A0D31" w:rsidRPr="008B5563" w:rsidRDefault="006B06F9" w:rsidP="00595E61">
      <w:pPr>
        <w:pStyle w:val="ListParagraph"/>
        <w:numPr>
          <w:ilvl w:val="0"/>
          <w:numId w:val="34"/>
        </w:numPr>
        <w:spacing w:before="120" w:after="240"/>
        <w:jc w:val="both"/>
        <w:rPr>
          <w:rFonts w:ascii="Arial" w:hAnsi="Arial" w:cs="Arial"/>
        </w:rPr>
      </w:pPr>
      <w:r w:rsidRPr="008B5563">
        <w:rPr>
          <w:rFonts w:ascii="Arial" w:hAnsi="Arial" w:cs="Arial"/>
        </w:rPr>
        <w:t xml:space="preserve">On 11 April 2017, the </w:t>
      </w:r>
      <w:r w:rsidR="00A06BD9">
        <w:rPr>
          <w:rFonts w:ascii="Arial" w:hAnsi="Arial" w:cs="Arial"/>
        </w:rPr>
        <w:t>Complainant</w:t>
      </w:r>
      <w:r w:rsidRPr="008B5563">
        <w:rPr>
          <w:rFonts w:ascii="Arial" w:hAnsi="Arial" w:cs="Arial"/>
        </w:rPr>
        <w:t xml:space="preserve"> lodged a gambling dispute alleging he had been sent promotional material from </w:t>
      </w:r>
      <w:r w:rsidR="007A0D31" w:rsidRPr="008B5563">
        <w:rPr>
          <w:rFonts w:ascii="Arial" w:hAnsi="Arial" w:cs="Arial"/>
        </w:rPr>
        <w:t>William Hill</w:t>
      </w:r>
      <w:r w:rsidRPr="008B5563">
        <w:rPr>
          <w:rFonts w:ascii="Arial" w:hAnsi="Arial" w:cs="Arial"/>
        </w:rPr>
        <w:t xml:space="preserve"> despite</w:t>
      </w:r>
      <w:r w:rsidR="00A06BD9">
        <w:rPr>
          <w:rFonts w:ascii="Arial" w:hAnsi="Arial" w:cs="Arial"/>
        </w:rPr>
        <w:t xml:space="preserve"> being excluded and having </w:t>
      </w:r>
      <w:r w:rsidRPr="008B5563">
        <w:rPr>
          <w:rFonts w:ascii="Arial" w:hAnsi="Arial" w:cs="Arial"/>
        </w:rPr>
        <w:t>previously requesting such material be stopped due to problem gambling.</w:t>
      </w:r>
      <w:r w:rsidR="007A0D31" w:rsidRPr="008B5563">
        <w:rPr>
          <w:rFonts w:ascii="Arial" w:hAnsi="Arial" w:cs="Arial"/>
        </w:rPr>
        <w:t xml:space="preserve">  </w:t>
      </w:r>
    </w:p>
    <w:p w14:paraId="476B2282" w14:textId="027D1373" w:rsidR="006B06F9" w:rsidRPr="008B5563" w:rsidRDefault="005A3736" w:rsidP="00595E61">
      <w:pPr>
        <w:pStyle w:val="ListParagraph"/>
        <w:numPr>
          <w:ilvl w:val="0"/>
          <w:numId w:val="34"/>
        </w:numPr>
        <w:spacing w:before="120" w:after="240"/>
        <w:jc w:val="both"/>
        <w:rPr>
          <w:rFonts w:ascii="Arial" w:hAnsi="Arial" w:cs="Arial"/>
        </w:rPr>
      </w:pPr>
      <w:r w:rsidRPr="008B5563">
        <w:rPr>
          <w:rFonts w:ascii="Arial" w:hAnsi="Arial" w:cs="Arial"/>
        </w:rPr>
        <w:t xml:space="preserve">Clause 16 of </w:t>
      </w:r>
      <w:r w:rsidR="00B40A12">
        <w:rPr>
          <w:rFonts w:ascii="Arial" w:hAnsi="Arial" w:cs="Arial"/>
        </w:rPr>
        <w:t>William Hill</w:t>
      </w:r>
      <w:r w:rsidRPr="008B5563">
        <w:rPr>
          <w:rFonts w:ascii="Arial" w:hAnsi="Arial" w:cs="Arial"/>
        </w:rPr>
        <w:t xml:space="preserve">’s </w:t>
      </w:r>
      <w:r w:rsidR="006B06F9" w:rsidRPr="008B5563">
        <w:rPr>
          <w:rFonts w:ascii="Arial" w:hAnsi="Arial" w:cs="Arial"/>
        </w:rPr>
        <w:t>licence states:</w:t>
      </w:r>
    </w:p>
    <w:p w14:paraId="7417B847" w14:textId="33A76A1A" w:rsidR="006B06F9" w:rsidRPr="008B5563" w:rsidRDefault="005A3736" w:rsidP="00595E61">
      <w:pPr>
        <w:pStyle w:val="ListParagraph"/>
        <w:spacing w:before="120" w:after="240"/>
        <w:jc w:val="both"/>
        <w:rPr>
          <w:rFonts w:ascii="Arial" w:hAnsi="Arial" w:cs="Arial"/>
          <w:i/>
        </w:rPr>
      </w:pPr>
      <w:r w:rsidRPr="008B5563">
        <w:rPr>
          <w:rFonts w:ascii="Arial" w:hAnsi="Arial" w:cs="Arial"/>
          <w:i/>
        </w:rPr>
        <w:t>“</w:t>
      </w:r>
      <w:r w:rsidR="006B06F9" w:rsidRPr="008B5563">
        <w:rPr>
          <w:rFonts w:ascii="Arial" w:hAnsi="Arial" w:cs="Arial"/>
          <w:i/>
        </w:rPr>
        <w:t>The Sports Bookmaker must comply with any Codes or Guidelines issued by the Commission pursuant to the Racing and Betting Act, and as amended from time to time.</w:t>
      </w:r>
      <w:r w:rsidRPr="008B5563">
        <w:rPr>
          <w:rFonts w:ascii="Arial" w:hAnsi="Arial" w:cs="Arial"/>
          <w:i/>
        </w:rPr>
        <w:t>”</w:t>
      </w:r>
    </w:p>
    <w:p w14:paraId="097BB38C" w14:textId="489FF4DC" w:rsidR="005A3736" w:rsidRPr="008B5563" w:rsidRDefault="005A3736" w:rsidP="00595E61">
      <w:pPr>
        <w:pStyle w:val="ListParagraph"/>
        <w:numPr>
          <w:ilvl w:val="0"/>
          <w:numId w:val="34"/>
        </w:numPr>
        <w:spacing w:before="120" w:after="240"/>
        <w:jc w:val="both"/>
        <w:rPr>
          <w:rFonts w:ascii="Arial" w:hAnsi="Arial" w:cs="Arial"/>
        </w:rPr>
      </w:pPr>
      <w:r w:rsidRPr="008B5563">
        <w:rPr>
          <w:rFonts w:ascii="Arial" w:hAnsi="Arial" w:cs="Arial"/>
        </w:rPr>
        <w:t>Condition 4.6 of Northern Territory Code of Practice for Responsible Online Gambling 2016 (</w:t>
      </w:r>
      <w:r w:rsidRPr="00D85346">
        <w:rPr>
          <w:rFonts w:ascii="Arial" w:hAnsi="Arial" w:cs="Arial"/>
          <w:b/>
        </w:rPr>
        <w:t>the Code</w:t>
      </w:r>
      <w:r w:rsidRPr="008B5563">
        <w:rPr>
          <w:rFonts w:ascii="Arial" w:hAnsi="Arial" w:cs="Arial"/>
        </w:rPr>
        <w:t>) states:</w:t>
      </w:r>
    </w:p>
    <w:p w14:paraId="3B8170BE" w14:textId="3154D964" w:rsidR="005A3736" w:rsidRPr="008B5563" w:rsidRDefault="005A3736" w:rsidP="00595E61">
      <w:pPr>
        <w:pStyle w:val="ListParagraph"/>
        <w:spacing w:before="120" w:after="240"/>
        <w:jc w:val="both"/>
        <w:rPr>
          <w:rFonts w:ascii="Arial" w:hAnsi="Arial" w:cs="Arial"/>
          <w:i/>
        </w:rPr>
      </w:pPr>
      <w:r w:rsidRPr="008B5563">
        <w:rPr>
          <w:rFonts w:ascii="Arial" w:hAnsi="Arial" w:cs="Arial"/>
          <w:i/>
        </w:rPr>
        <w:t>“Online gambling operators are to ensure they have in place suitable procedures to ensure correspondence or promotional material is not sent to clients who are excluded from their services or who request that this information not be sent to them.</w:t>
      </w:r>
      <w:r w:rsidR="008B5563" w:rsidRPr="008B5563">
        <w:rPr>
          <w:rFonts w:ascii="Arial" w:hAnsi="Arial" w:cs="Arial"/>
          <w:i/>
        </w:rPr>
        <w:t>”</w:t>
      </w:r>
    </w:p>
    <w:p w14:paraId="3FB0F204" w14:textId="478EDA8E" w:rsidR="007A0D31" w:rsidRPr="008B5563" w:rsidRDefault="005A3736" w:rsidP="00595E61">
      <w:pPr>
        <w:pStyle w:val="ListParagraph"/>
        <w:numPr>
          <w:ilvl w:val="0"/>
          <w:numId w:val="34"/>
        </w:numPr>
        <w:spacing w:before="120" w:after="240"/>
        <w:jc w:val="both"/>
        <w:rPr>
          <w:rFonts w:ascii="Arial" w:hAnsi="Arial" w:cs="Arial"/>
        </w:rPr>
      </w:pPr>
      <w:r w:rsidRPr="008B5563">
        <w:rPr>
          <w:rFonts w:ascii="Arial" w:hAnsi="Arial" w:cs="Arial"/>
        </w:rPr>
        <w:t xml:space="preserve">Where a bookmaker is found to have failed to comply with a condition of </w:t>
      </w:r>
      <w:r w:rsidR="00A06BD9">
        <w:rPr>
          <w:rFonts w:ascii="Arial" w:hAnsi="Arial" w:cs="Arial"/>
        </w:rPr>
        <w:t xml:space="preserve">its </w:t>
      </w:r>
      <w:r w:rsidRPr="008B5563">
        <w:rPr>
          <w:rFonts w:ascii="Arial" w:hAnsi="Arial" w:cs="Arial"/>
        </w:rPr>
        <w:t xml:space="preserve">licence under </w:t>
      </w:r>
      <w:r w:rsidRPr="000C6980">
        <w:rPr>
          <w:rFonts w:ascii="Arial" w:hAnsi="Arial" w:cs="Arial"/>
        </w:rPr>
        <w:t>section 80(1)(d) of</w:t>
      </w:r>
      <w:r w:rsidRPr="008B5563">
        <w:rPr>
          <w:rFonts w:ascii="Arial" w:hAnsi="Arial" w:cs="Arial"/>
        </w:rPr>
        <w:t xml:space="preserve"> the </w:t>
      </w:r>
      <w:r w:rsidRPr="00D85346">
        <w:rPr>
          <w:rFonts w:ascii="Arial" w:hAnsi="Arial" w:cs="Arial"/>
          <w:i/>
        </w:rPr>
        <w:t>Racing and Betting Act</w:t>
      </w:r>
      <w:r w:rsidR="00D85346">
        <w:rPr>
          <w:rFonts w:ascii="Arial" w:hAnsi="Arial" w:cs="Arial"/>
        </w:rPr>
        <w:t xml:space="preserve"> (</w:t>
      </w:r>
      <w:r w:rsidR="00D85346" w:rsidRPr="00D85346">
        <w:rPr>
          <w:rFonts w:ascii="Arial" w:hAnsi="Arial" w:cs="Arial"/>
          <w:b/>
        </w:rPr>
        <w:t>the Act</w:t>
      </w:r>
      <w:r w:rsidR="00D85346">
        <w:rPr>
          <w:rFonts w:ascii="Arial" w:hAnsi="Arial" w:cs="Arial"/>
        </w:rPr>
        <w:t>)</w:t>
      </w:r>
      <w:r w:rsidRPr="008B5563">
        <w:rPr>
          <w:rFonts w:ascii="Arial" w:hAnsi="Arial" w:cs="Arial"/>
        </w:rPr>
        <w:t>, the Commission may discipline the bookmaker</w:t>
      </w:r>
      <w:r w:rsidR="007A0D31" w:rsidRPr="008B5563">
        <w:rPr>
          <w:rFonts w:ascii="Arial" w:hAnsi="Arial" w:cs="Arial"/>
        </w:rPr>
        <w:t xml:space="preserve"> by “reprimanding him, imposing on him a fine not exceeding 17 penalty units or, in the case of a sports bookmaker, not exceeding 170 penalty units or suspending or cancelling a licence or permit”.</w:t>
      </w:r>
      <w:bookmarkStart w:id="1" w:name="_Toc455749976"/>
    </w:p>
    <w:p w14:paraId="394DF169" w14:textId="746D7883" w:rsidR="008B5563" w:rsidRDefault="007A0D31" w:rsidP="00595E61">
      <w:pPr>
        <w:pStyle w:val="ListParagraph"/>
        <w:numPr>
          <w:ilvl w:val="0"/>
          <w:numId w:val="34"/>
        </w:numPr>
        <w:spacing w:before="120" w:after="240"/>
        <w:jc w:val="both"/>
        <w:rPr>
          <w:rFonts w:ascii="Arial" w:hAnsi="Arial" w:cs="Arial"/>
        </w:rPr>
      </w:pPr>
      <w:r w:rsidRPr="008B5563">
        <w:rPr>
          <w:rFonts w:ascii="Arial" w:hAnsi="Arial" w:cs="Arial"/>
        </w:rPr>
        <w:t xml:space="preserve">Further, section 148A(4) makes it an offence for a bookmaker not to comply with a code of practice approved under that section with a maximum penalty of 17 penalty units. </w:t>
      </w:r>
      <w:bookmarkEnd w:id="1"/>
      <w:r w:rsidR="00A06BD9">
        <w:rPr>
          <w:rFonts w:ascii="Arial" w:hAnsi="Arial" w:cs="Arial"/>
        </w:rPr>
        <w:t>The Code being one of these codes of practice.</w:t>
      </w:r>
    </w:p>
    <w:p w14:paraId="46780B29" w14:textId="379DFB2B" w:rsidR="008B5563" w:rsidRPr="008B5563" w:rsidRDefault="00236815" w:rsidP="00595E61">
      <w:pPr>
        <w:pStyle w:val="ListParagraph"/>
        <w:numPr>
          <w:ilvl w:val="0"/>
          <w:numId w:val="34"/>
        </w:numPr>
        <w:spacing w:before="120" w:after="240"/>
        <w:jc w:val="both"/>
        <w:rPr>
          <w:rFonts w:ascii="Arial" w:hAnsi="Arial" w:cs="Arial"/>
        </w:rPr>
      </w:pPr>
      <w:r w:rsidRPr="008B5563">
        <w:rPr>
          <w:rFonts w:ascii="Arial" w:hAnsi="Arial" w:cs="Arial"/>
        </w:rPr>
        <w:t xml:space="preserve">The </w:t>
      </w:r>
      <w:r w:rsidR="00A06BD9">
        <w:rPr>
          <w:rFonts w:ascii="Arial" w:hAnsi="Arial" w:cs="Arial"/>
        </w:rPr>
        <w:t>Complainant</w:t>
      </w:r>
      <w:r w:rsidRPr="008B5563">
        <w:rPr>
          <w:rFonts w:ascii="Arial" w:hAnsi="Arial" w:cs="Arial"/>
        </w:rPr>
        <w:t xml:space="preserve"> states t</w:t>
      </w:r>
      <w:r w:rsidR="00B40A12">
        <w:rPr>
          <w:rFonts w:ascii="Arial" w:hAnsi="Arial" w:cs="Arial"/>
        </w:rPr>
        <w:t>hat William Hill</w:t>
      </w:r>
      <w:r w:rsidR="007A0D31" w:rsidRPr="008B5563">
        <w:rPr>
          <w:rFonts w:ascii="Arial" w:hAnsi="Arial" w:cs="Arial"/>
        </w:rPr>
        <w:t xml:space="preserve"> knew of his gambling problem and as a result of receiving promotional material is seeking compensation for failing in their duty of care and unconscionable conduct. </w:t>
      </w:r>
      <w:r w:rsidRPr="008B5563">
        <w:rPr>
          <w:rFonts w:ascii="Arial" w:hAnsi="Arial" w:cs="Arial"/>
        </w:rPr>
        <w:t xml:space="preserve"> </w:t>
      </w:r>
      <w:r w:rsidR="00B40A12">
        <w:rPr>
          <w:rFonts w:ascii="Arial" w:hAnsi="Arial" w:cs="Arial"/>
        </w:rPr>
        <w:t>William Hill</w:t>
      </w:r>
      <w:r w:rsidR="007A0D31" w:rsidRPr="008B5563">
        <w:rPr>
          <w:rFonts w:ascii="Arial" w:hAnsi="Arial" w:cs="Arial"/>
        </w:rPr>
        <w:t xml:space="preserve"> acknowledges the </w:t>
      </w:r>
      <w:r w:rsidR="00A06BD9">
        <w:rPr>
          <w:rFonts w:ascii="Arial" w:hAnsi="Arial" w:cs="Arial"/>
        </w:rPr>
        <w:lastRenderedPageBreak/>
        <w:t>Complainant</w:t>
      </w:r>
      <w:r w:rsidR="007A0D31" w:rsidRPr="008B5563">
        <w:rPr>
          <w:rFonts w:ascii="Arial" w:hAnsi="Arial" w:cs="Arial"/>
        </w:rPr>
        <w:t xml:space="preserve"> was sent promotional </w:t>
      </w:r>
      <w:r w:rsidR="007C3E6D">
        <w:rPr>
          <w:rFonts w:ascii="Arial" w:hAnsi="Arial" w:cs="Arial"/>
        </w:rPr>
        <w:t xml:space="preserve">material </w:t>
      </w:r>
      <w:r w:rsidR="007A0D31" w:rsidRPr="008B5563">
        <w:rPr>
          <w:rFonts w:ascii="Arial" w:hAnsi="Arial" w:cs="Arial"/>
        </w:rPr>
        <w:t xml:space="preserve">however as the </w:t>
      </w:r>
      <w:r w:rsidR="00A06BD9">
        <w:rPr>
          <w:rFonts w:ascii="Arial" w:hAnsi="Arial" w:cs="Arial"/>
        </w:rPr>
        <w:t>Complainant</w:t>
      </w:r>
      <w:r w:rsidR="007A0D31" w:rsidRPr="008B5563">
        <w:rPr>
          <w:rFonts w:ascii="Arial" w:hAnsi="Arial" w:cs="Arial"/>
        </w:rPr>
        <w:t xml:space="preserve"> has not wagered with W</w:t>
      </w:r>
      <w:r w:rsidR="008B5563">
        <w:rPr>
          <w:rFonts w:ascii="Arial" w:hAnsi="Arial" w:cs="Arial"/>
        </w:rPr>
        <w:t>illiam Hill there are no losses.</w:t>
      </w:r>
    </w:p>
    <w:p w14:paraId="73434E32" w14:textId="08E016D0" w:rsidR="0072402E" w:rsidRPr="008B5563" w:rsidRDefault="00541E56" w:rsidP="00595E61">
      <w:pPr>
        <w:pStyle w:val="ListParagraph"/>
        <w:numPr>
          <w:ilvl w:val="0"/>
          <w:numId w:val="34"/>
        </w:numPr>
        <w:spacing w:before="120" w:after="240"/>
        <w:jc w:val="both"/>
        <w:rPr>
          <w:rFonts w:ascii="Arial" w:hAnsi="Arial" w:cs="Arial"/>
        </w:rPr>
      </w:pPr>
      <w:r>
        <w:rPr>
          <w:rFonts w:ascii="Arial" w:hAnsi="Arial" w:cs="Arial"/>
        </w:rPr>
        <w:t>Information was gathered from both parties through Licensing NT and provided to the Commission to consider the matter on the papers</w:t>
      </w:r>
      <w:r w:rsidR="00A46C48">
        <w:rPr>
          <w:rFonts w:ascii="Arial" w:hAnsi="Arial" w:cs="Arial"/>
        </w:rPr>
        <w:t xml:space="preserve">. </w:t>
      </w:r>
    </w:p>
    <w:p w14:paraId="781BBA83" w14:textId="47CEF24B" w:rsidR="0072402E" w:rsidRPr="008B5563" w:rsidRDefault="00D85346" w:rsidP="00595E61">
      <w:pPr>
        <w:pStyle w:val="Heading2"/>
      </w:pPr>
      <w:r w:rsidRPr="008B5563">
        <w:t>Consideration of the Issues</w:t>
      </w:r>
    </w:p>
    <w:p w14:paraId="07493B92" w14:textId="3CEA3186" w:rsidR="00FF7646" w:rsidRPr="008B5563" w:rsidRDefault="00FF7646" w:rsidP="00595E61">
      <w:pPr>
        <w:pStyle w:val="ListParagraph"/>
        <w:numPr>
          <w:ilvl w:val="0"/>
          <w:numId w:val="34"/>
        </w:numPr>
        <w:spacing w:before="120" w:after="240"/>
        <w:jc w:val="both"/>
        <w:rPr>
          <w:rFonts w:ascii="Arial" w:hAnsi="Arial" w:cs="Arial"/>
        </w:rPr>
      </w:pPr>
      <w:r w:rsidRPr="008B5563">
        <w:rPr>
          <w:rFonts w:ascii="Arial" w:hAnsi="Arial" w:cs="Arial"/>
        </w:rPr>
        <w:t xml:space="preserve">It is not disputed that the </w:t>
      </w:r>
      <w:r w:rsidR="00A06BD9">
        <w:rPr>
          <w:rFonts w:ascii="Arial" w:hAnsi="Arial" w:cs="Arial"/>
        </w:rPr>
        <w:t>Complainant</w:t>
      </w:r>
      <w:r w:rsidRPr="008B5563">
        <w:rPr>
          <w:rFonts w:ascii="Arial" w:hAnsi="Arial" w:cs="Arial"/>
        </w:rPr>
        <w:t xml:space="preserve"> is a problem gambler and has experienced emotional and financial difficulties as a result of his wagering.  It is also </w:t>
      </w:r>
      <w:r w:rsidR="007C3E6D">
        <w:rPr>
          <w:rFonts w:ascii="Arial" w:hAnsi="Arial" w:cs="Arial"/>
        </w:rPr>
        <w:t xml:space="preserve">not disputed that the </w:t>
      </w:r>
      <w:r w:rsidR="00A06BD9">
        <w:rPr>
          <w:rFonts w:ascii="Arial" w:hAnsi="Arial" w:cs="Arial"/>
        </w:rPr>
        <w:t>Complainant</w:t>
      </w:r>
      <w:r w:rsidR="007C3E6D">
        <w:rPr>
          <w:rFonts w:ascii="Arial" w:hAnsi="Arial" w:cs="Arial"/>
        </w:rPr>
        <w:t xml:space="preserve"> should not have </w:t>
      </w:r>
      <w:r w:rsidR="00A06BD9">
        <w:rPr>
          <w:rFonts w:ascii="Arial" w:hAnsi="Arial" w:cs="Arial"/>
        </w:rPr>
        <w:t>received</w:t>
      </w:r>
      <w:r w:rsidR="007C3E6D">
        <w:rPr>
          <w:rFonts w:ascii="Arial" w:hAnsi="Arial" w:cs="Arial"/>
        </w:rPr>
        <w:t xml:space="preserve"> promotional material</w:t>
      </w:r>
      <w:r w:rsidR="00A06BD9">
        <w:rPr>
          <w:rFonts w:ascii="Arial" w:hAnsi="Arial" w:cs="Arial"/>
        </w:rPr>
        <w:t xml:space="preserve"> from William Hill</w:t>
      </w:r>
      <w:r w:rsidR="007C3E6D">
        <w:rPr>
          <w:rFonts w:ascii="Arial" w:hAnsi="Arial" w:cs="Arial"/>
        </w:rPr>
        <w:t xml:space="preserve">. </w:t>
      </w:r>
    </w:p>
    <w:p w14:paraId="7D02ACA5" w14:textId="6162299D" w:rsidR="004E1D5F" w:rsidRPr="008B5563" w:rsidRDefault="00B40A12" w:rsidP="00595E61">
      <w:pPr>
        <w:pStyle w:val="ListParagraph"/>
        <w:numPr>
          <w:ilvl w:val="0"/>
          <w:numId w:val="34"/>
        </w:numPr>
        <w:spacing w:before="120" w:after="240"/>
        <w:jc w:val="both"/>
        <w:rPr>
          <w:rFonts w:ascii="Arial" w:hAnsi="Arial" w:cs="Arial"/>
        </w:rPr>
      </w:pPr>
      <w:r>
        <w:rPr>
          <w:rFonts w:ascii="Arial" w:hAnsi="Arial" w:cs="Arial"/>
        </w:rPr>
        <w:t>William Hill</w:t>
      </w:r>
      <w:r w:rsidR="00FF7646" w:rsidRPr="008B5563">
        <w:rPr>
          <w:rFonts w:ascii="Arial" w:hAnsi="Arial" w:cs="Arial"/>
        </w:rPr>
        <w:t xml:space="preserve"> acquired Centrebet and Sportingbet from the Sportingbet Group in March 2013 and then acquired tomwaterhouse.com in August 2013. </w:t>
      </w:r>
    </w:p>
    <w:p w14:paraId="5329D88F" w14:textId="49512742" w:rsidR="004B1C28" w:rsidRPr="004B1C28" w:rsidRDefault="004E1D5F" w:rsidP="00595E61">
      <w:pPr>
        <w:pStyle w:val="ListParagraph"/>
        <w:numPr>
          <w:ilvl w:val="0"/>
          <w:numId w:val="34"/>
        </w:numPr>
        <w:spacing w:before="120" w:after="240"/>
        <w:jc w:val="both"/>
        <w:rPr>
          <w:rFonts w:ascii="Arial" w:hAnsi="Arial" w:cs="Arial"/>
        </w:rPr>
      </w:pPr>
      <w:r w:rsidRPr="008B5563">
        <w:rPr>
          <w:rFonts w:ascii="Arial" w:hAnsi="Arial" w:cs="Arial"/>
        </w:rPr>
        <w:t>T</w:t>
      </w:r>
      <w:r w:rsidR="00FF7646" w:rsidRPr="008B5563">
        <w:rPr>
          <w:rFonts w:ascii="Arial" w:hAnsi="Arial" w:cs="Arial"/>
        </w:rPr>
        <w:t xml:space="preserve">he </w:t>
      </w:r>
      <w:r w:rsidR="00A06BD9">
        <w:rPr>
          <w:rFonts w:ascii="Arial" w:hAnsi="Arial" w:cs="Arial"/>
        </w:rPr>
        <w:t>Complainant</w:t>
      </w:r>
      <w:r w:rsidR="00FF7646" w:rsidRPr="008B5563">
        <w:rPr>
          <w:rFonts w:ascii="Arial" w:hAnsi="Arial" w:cs="Arial"/>
        </w:rPr>
        <w:t xml:space="preserve"> held an account with tomwaterhouse.com which was opened prior to William Hill acquiring that company. The account was migrated to William Hill in January 2016</w:t>
      </w:r>
      <w:r w:rsidRPr="004B1C28">
        <w:rPr>
          <w:rFonts w:ascii="Arial" w:hAnsi="Arial" w:cs="Arial"/>
        </w:rPr>
        <w:t>.  Despite the account being closed and marked ‘Gambling Problem’,</w:t>
      </w:r>
      <w:r w:rsidR="00A06BD9">
        <w:rPr>
          <w:rFonts w:ascii="Arial" w:hAnsi="Arial" w:cs="Arial"/>
        </w:rPr>
        <w:t xml:space="preserve"> it w</w:t>
      </w:r>
      <w:r w:rsidR="0087556A">
        <w:rPr>
          <w:rFonts w:ascii="Arial" w:hAnsi="Arial" w:cs="Arial"/>
        </w:rPr>
        <w:t>a</w:t>
      </w:r>
      <w:r w:rsidR="00A06BD9">
        <w:rPr>
          <w:rFonts w:ascii="Arial" w:hAnsi="Arial" w:cs="Arial"/>
        </w:rPr>
        <w:t>s</w:t>
      </w:r>
      <w:r w:rsidRPr="004B1C28">
        <w:rPr>
          <w:rFonts w:ascii="Arial" w:hAnsi="Arial" w:cs="Arial"/>
        </w:rPr>
        <w:t xml:space="preserve"> </w:t>
      </w:r>
      <w:r w:rsidR="004B1C28">
        <w:rPr>
          <w:rFonts w:ascii="Arial" w:hAnsi="Arial" w:cs="Arial"/>
        </w:rPr>
        <w:t xml:space="preserve">during migration </w:t>
      </w:r>
      <w:r w:rsidR="00A06BD9">
        <w:rPr>
          <w:rFonts w:ascii="Arial" w:hAnsi="Arial" w:cs="Arial"/>
        </w:rPr>
        <w:t xml:space="preserve">that </w:t>
      </w:r>
      <w:r w:rsidRPr="004B1C28">
        <w:rPr>
          <w:rFonts w:ascii="Arial" w:hAnsi="Arial" w:cs="Arial"/>
        </w:rPr>
        <w:t xml:space="preserve">promotional </w:t>
      </w:r>
      <w:r w:rsidR="004B1C28">
        <w:rPr>
          <w:rFonts w:ascii="Arial" w:hAnsi="Arial" w:cs="Arial"/>
        </w:rPr>
        <w:t xml:space="preserve">material was sent to the </w:t>
      </w:r>
      <w:r w:rsidR="00A06BD9">
        <w:rPr>
          <w:rFonts w:ascii="Arial" w:hAnsi="Arial" w:cs="Arial"/>
        </w:rPr>
        <w:t>Complainant</w:t>
      </w:r>
      <w:r w:rsidR="004B1C28">
        <w:rPr>
          <w:rFonts w:ascii="Arial" w:hAnsi="Arial" w:cs="Arial"/>
        </w:rPr>
        <w:t xml:space="preserve"> </w:t>
      </w:r>
      <w:r w:rsidR="004B1C28" w:rsidRPr="008B5563">
        <w:rPr>
          <w:rFonts w:ascii="Arial" w:hAnsi="Arial" w:cs="Arial"/>
        </w:rPr>
        <w:t xml:space="preserve">in relation to </w:t>
      </w:r>
      <w:r w:rsidR="00A06BD9">
        <w:rPr>
          <w:rFonts w:ascii="Arial" w:hAnsi="Arial" w:cs="Arial"/>
        </w:rPr>
        <w:t>that tom</w:t>
      </w:r>
      <w:r w:rsidR="004B1C28" w:rsidRPr="004B1C28">
        <w:rPr>
          <w:rFonts w:ascii="Arial" w:hAnsi="Arial" w:cs="Arial"/>
        </w:rPr>
        <w:t>waterhouse.com account</w:t>
      </w:r>
      <w:r w:rsidRPr="004B1C28">
        <w:rPr>
          <w:rFonts w:ascii="Arial" w:hAnsi="Arial" w:cs="Arial"/>
        </w:rPr>
        <w:t>.</w:t>
      </w:r>
    </w:p>
    <w:p w14:paraId="567BE892" w14:textId="6B9CDB4E" w:rsidR="004B1C28" w:rsidRPr="004B1C28" w:rsidRDefault="004E1D5F" w:rsidP="00595E61">
      <w:pPr>
        <w:pStyle w:val="ListParagraph"/>
        <w:numPr>
          <w:ilvl w:val="0"/>
          <w:numId w:val="34"/>
        </w:numPr>
        <w:spacing w:before="120" w:after="240"/>
        <w:ind w:left="714" w:hanging="357"/>
        <w:jc w:val="both"/>
        <w:rPr>
          <w:rFonts w:ascii="Arial" w:hAnsi="Arial" w:cs="Arial"/>
        </w:rPr>
      </w:pPr>
      <w:r w:rsidRPr="004B1C28">
        <w:rPr>
          <w:rFonts w:ascii="Arial" w:hAnsi="Arial" w:cs="Arial"/>
        </w:rPr>
        <w:t xml:space="preserve">The </w:t>
      </w:r>
      <w:r w:rsidR="00A06BD9">
        <w:rPr>
          <w:rFonts w:ascii="Arial" w:hAnsi="Arial" w:cs="Arial"/>
        </w:rPr>
        <w:t>Complainant</w:t>
      </w:r>
      <w:r w:rsidRPr="004B1C28">
        <w:rPr>
          <w:rFonts w:ascii="Arial" w:hAnsi="Arial" w:cs="Arial"/>
        </w:rPr>
        <w:t xml:space="preserve"> also held accounts with other William Hill entities, namely Sportingbet (closed in February 2011) and Centrebet (closed in April 2010).</w:t>
      </w:r>
      <w:r w:rsidR="004B1C28" w:rsidRPr="004B1C28">
        <w:rPr>
          <w:rFonts w:ascii="Arial" w:hAnsi="Arial" w:cs="Arial"/>
        </w:rPr>
        <w:t xml:space="preserve"> </w:t>
      </w:r>
      <w:r w:rsidR="004B1C28" w:rsidRPr="004B1C28">
        <w:rPr>
          <w:rFonts w:ascii="Arial" w:hAnsi="Arial" w:cs="Arial"/>
          <w:lang w:val="en-US"/>
        </w:rPr>
        <w:t xml:space="preserve">The </w:t>
      </w:r>
      <w:r w:rsidR="00A06BD9">
        <w:rPr>
          <w:rFonts w:ascii="Arial" w:hAnsi="Arial" w:cs="Arial"/>
          <w:lang w:val="en-US"/>
        </w:rPr>
        <w:t>Complainant</w:t>
      </w:r>
      <w:r w:rsidR="004B1C28" w:rsidRPr="004B1C28">
        <w:rPr>
          <w:rFonts w:ascii="Arial" w:hAnsi="Arial" w:cs="Arial"/>
          <w:lang w:val="en-US"/>
        </w:rPr>
        <w:t xml:space="preserve"> has not received any marketing communications in</w:t>
      </w:r>
      <w:r w:rsidR="004B1C28">
        <w:rPr>
          <w:rFonts w:ascii="Arial" w:hAnsi="Arial" w:cs="Arial"/>
          <w:lang w:val="en-US"/>
        </w:rPr>
        <w:t xml:space="preserve"> relation to the abovementioned </w:t>
      </w:r>
      <w:r w:rsidR="004B1C28" w:rsidRPr="004B1C28">
        <w:rPr>
          <w:rFonts w:ascii="Arial" w:hAnsi="Arial" w:cs="Arial"/>
          <w:lang w:val="en-US"/>
        </w:rPr>
        <w:t>Sportingbet Australia  or Centrebet accounts since those accounts were closed</w:t>
      </w:r>
      <w:r w:rsidR="004B1C28">
        <w:rPr>
          <w:rFonts w:ascii="Arial" w:hAnsi="Arial" w:cs="Arial"/>
          <w:lang w:val="en-US"/>
        </w:rPr>
        <w:t>.</w:t>
      </w:r>
    </w:p>
    <w:p w14:paraId="3AD730DF" w14:textId="664C6DE5" w:rsidR="004B1C28" w:rsidRDefault="00B40A12" w:rsidP="00595E61">
      <w:pPr>
        <w:pStyle w:val="ListParagraph"/>
        <w:numPr>
          <w:ilvl w:val="0"/>
          <w:numId w:val="34"/>
        </w:numPr>
        <w:spacing w:before="120" w:after="240"/>
        <w:jc w:val="both"/>
        <w:rPr>
          <w:rFonts w:ascii="Arial" w:hAnsi="Arial" w:cs="Arial"/>
        </w:rPr>
      </w:pPr>
      <w:r>
        <w:rPr>
          <w:rFonts w:ascii="Arial" w:hAnsi="Arial" w:cs="Arial"/>
        </w:rPr>
        <w:t>William Hill</w:t>
      </w:r>
      <w:r w:rsidR="00FF7646" w:rsidRPr="004B1C28">
        <w:rPr>
          <w:rFonts w:ascii="Arial" w:hAnsi="Arial" w:cs="Arial"/>
        </w:rPr>
        <w:t xml:space="preserve"> </w:t>
      </w:r>
      <w:r w:rsidR="004E1D5F" w:rsidRPr="004B1C28">
        <w:rPr>
          <w:rFonts w:ascii="Arial" w:hAnsi="Arial" w:cs="Arial"/>
        </w:rPr>
        <w:t xml:space="preserve">provided the following reasons why </w:t>
      </w:r>
      <w:r w:rsidR="00FF7646" w:rsidRPr="004B1C28">
        <w:rPr>
          <w:rFonts w:ascii="Arial" w:hAnsi="Arial" w:cs="Arial"/>
        </w:rPr>
        <w:t xml:space="preserve">the </w:t>
      </w:r>
      <w:r w:rsidR="00A06BD9">
        <w:rPr>
          <w:rFonts w:ascii="Arial" w:hAnsi="Arial" w:cs="Arial"/>
        </w:rPr>
        <w:t>Complainant</w:t>
      </w:r>
      <w:r w:rsidR="00FF7646" w:rsidRPr="004B1C28">
        <w:rPr>
          <w:rFonts w:ascii="Arial" w:hAnsi="Arial" w:cs="Arial"/>
        </w:rPr>
        <w:t xml:space="preserve"> was sent promotional material </w:t>
      </w:r>
      <w:r w:rsidR="00A06BD9">
        <w:rPr>
          <w:rFonts w:ascii="Arial" w:hAnsi="Arial" w:cs="Arial"/>
        </w:rPr>
        <w:t xml:space="preserve">in relation to his tomwaterhouse.com account </w:t>
      </w:r>
      <w:r w:rsidR="004E1D5F" w:rsidRPr="004B1C28">
        <w:rPr>
          <w:rFonts w:ascii="Arial" w:hAnsi="Arial" w:cs="Arial"/>
        </w:rPr>
        <w:t>despite the fact he was</w:t>
      </w:r>
      <w:r w:rsidR="00FF7646" w:rsidRPr="004B1C28">
        <w:rPr>
          <w:rFonts w:ascii="Arial" w:hAnsi="Arial" w:cs="Arial"/>
        </w:rPr>
        <w:t xml:space="preserve"> excluded from the services of </w:t>
      </w:r>
      <w:r w:rsidR="004B1C28" w:rsidRPr="004B1C28">
        <w:rPr>
          <w:rFonts w:ascii="Arial" w:hAnsi="Arial" w:cs="Arial"/>
        </w:rPr>
        <w:t xml:space="preserve">all the acquired bookmakers: </w:t>
      </w:r>
    </w:p>
    <w:p w14:paraId="352D826A" w14:textId="6C7ABFB7" w:rsidR="00FF7646" w:rsidRPr="004B1C28" w:rsidRDefault="00FF7646" w:rsidP="00595E61">
      <w:pPr>
        <w:pStyle w:val="ListParagraph"/>
        <w:spacing w:before="120" w:after="240"/>
        <w:jc w:val="both"/>
        <w:rPr>
          <w:rFonts w:ascii="Arial" w:hAnsi="Arial" w:cs="Arial"/>
          <w:i/>
        </w:rPr>
      </w:pPr>
      <w:r w:rsidRPr="004B1C28">
        <w:rPr>
          <w:rFonts w:ascii="Arial" w:hAnsi="Arial" w:cs="Arial"/>
          <w:i/>
        </w:rPr>
        <w:t xml:space="preserve">‘We take our obligations in relation to responsible gambling very seriously and due care was taken to ensure that the problem gamblers were brought across at the time but it was difficult to have a 100% accuracy with this process for a number of reasons eg name differences etc.’ </w:t>
      </w:r>
    </w:p>
    <w:p w14:paraId="4E2183C6" w14:textId="5CCE43DC" w:rsidR="00246AFC" w:rsidRPr="00246AFC" w:rsidRDefault="00FF7646" w:rsidP="00246AFC">
      <w:pPr>
        <w:pStyle w:val="ListParagraph"/>
        <w:spacing w:before="120" w:after="240"/>
        <w:jc w:val="both"/>
        <w:rPr>
          <w:rFonts w:ascii="Arial" w:hAnsi="Arial" w:cs="Arial"/>
          <w:i/>
        </w:rPr>
      </w:pPr>
      <w:r w:rsidRPr="004B1C28">
        <w:rPr>
          <w:rFonts w:ascii="Arial" w:hAnsi="Arial" w:cs="Arial"/>
          <w:i/>
        </w:rPr>
        <w:t>‘We acknowledge that the marketing material should</w:t>
      </w:r>
      <w:r w:rsidR="004E1D5F" w:rsidRPr="004B1C28">
        <w:rPr>
          <w:rFonts w:ascii="Arial" w:hAnsi="Arial" w:cs="Arial"/>
          <w:i/>
        </w:rPr>
        <w:t xml:space="preserve"> not have been provided to the c</w:t>
      </w:r>
      <w:r w:rsidRPr="004B1C28">
        <w:rPr>
          <w:rFonts w:ascii="Arial" w:hAnsi="Arial" w:cs="Arial"/>
          <w:i/>
        </w:rPr>
        <w:t xml:space="preserve">lient. We have </w:t>
      </w:r>
      <w:r w:rsidR="004E1D5F" w:rsidRPr="004B1C28">
        <w:rPr>
          <w:rFonts w:ascii="Arial" w:hAnsi="Arial" w:cs="Arial"/>
          <w:i/>
        </w:rPr>
        <w:t>taken steps to ensure that the c</w:t>
      </w:r>
      <w:r w:rsidRPr="004B1C28">
        <w:rPr>
          <w:rFonts w:ascii="Arial" w:hAnsi="Arial" w:cs="Arial"/>
          <w:i/>
        </w:rPr>
        <w:t>lient will no longer receive any marketing material, and all his accounts are closed for problem gambling. …”</w:t>
      </w:r>
    </w:p>
    <w:p w14:paraId="34803744" w14:textId="729D3EB6" w:rsidR="0072402E" w:rsidRPr="008B5563" w:rsidRDefault="00D85346" w:rsidP="00595E61">
      <w:pPr>
        <w:pStyle w:val="Heading2"/>
      </w:pPr>
      <w:r>
        <w:t>Decision</w:t>
      </w:r>
    </w:p>
    <w:p w14:paraId="35D501CC" w14:textId="2F5D4BFB" w:rsidR="0072402E" w:rsidRPr="008B5563" w:rsidRDefault="0072402E" w:rsidP="00595E61">
      <w:pPr>
        <w:pStyle w:val="ListParagraph"/>
        <w:numPr>
          <w:ilvl w:val="0"/>
          <w:numId w:val="34"/>
        </w:numPr>
        <w:spacing w:before="120" w:after="240"/>
        <w:jc w:val="both"/>
        <w:rPr>
          <w:rFonts w:ascii="Arial" w:hAnsi="Arial" w:cs="Arial"/>
        </w:rPr>
      </w:pPr>
      <w:r w:rsidRPr="008B5563">
        <w:rPr>
          <w:rFonts w:ascii="Arial" w:hAnsi="Arial" w:cs="Arial"/>
        </w:rPr>
        <w:t>It is important to note that the Commission does not have the power to determine matters of compensation, this being the jurisdiction of the Courts.</w:t>
      </w:r>
    </w:p>
    <w:p w14:paraId="36E61112" w14:textId="6C2B3EC7" w:rsidR="004B1C28" w:rsidRPr="004B1C28" w:rsidRDefault="00D85346" w:rsidP="00595E61">
      <w:pPr>
        <w:pStyle w:val="ListParagraph"/>
        <w:numPr>
          <w:ilvl w:val="0"/>
          <w:numId w:val="34"/>
        </w:numPr>
        <w:spacing w:before="120" w:after="240"/>
        <w:jc w:val="both"/>
        <w:rPr>
          <w:rFonts w:ascii="Arial" w:hAnsi="Arial" w:cs="Arial"/>
        </w:rPr>
      </w:pPr>
      <w:r>
        <w:rPr>
          <w:rFonts w:ascii="Arial" w:hAnsi="Arial" w:cs="Arial"/>
        </w:rPr>
        <w:t>In this matter, t</w:t>
      </w:r>
      <w:r w:rsidR="0072402E" w:rsidRPr="008B5563">
        <w:rPr>
          <w:rFonts w:ascii="Arial" w:hAnsi="Arial" w:cs="Arial"/>
        </w:rPr>
        <w:t xml:space="preserve">he Commission </w:t>
      </w:r>
      <w:r>
        <w:rPr>
          <w:rFonts w:ascii="Arial" w:hAnsi="Arial" w:cs="Arial"/>
        </w:rPr>
        <w:t xml:space="preserve">must determine if </w:t>
      </w:r>
      <w:r w:rsidR="00B40A12">
        <w:rPr>
          <w:rFonts w:ascii="Arial" w:hAnsi="Arial" w:cs="Arial"/>
        </w:rPr>
        <w:t>William Hill</w:t>
      </w:r>
      <w:r w:rsidR="0072402E" w:rsidRPr="008B5563">
        <w:rPr>
          <w:rFonts w:ascii="Arial" w:hAnsi="Arial" w:cs="Arial"/>
        </w:rPr>
        <w:t xml:space="preserve"> has complied with its obligations unde</w:t>
      </w:r>
      <w:r w:rsidR="00236815" w:rsidRPr="008B5563">
        <w:rPr>
          <w:rFonts w:ascii="Arial" w:hAnsi="Arial" w:cs="Arial"/>
        </w:rPr>
        <w:t xml:space="preserve">r the </w:t>
      </w:r>
      <w:r>
        <w:rPr>
          <w:rFonts w:ascii="Arial" w:hAnsi="Arial" w:cs="Arial"/>
        </w:rPr>
        <w:t>Act</w:t>
      </w:r>
      <w:r w:rsidR="00236815" w:rsidRPr="008B5563">
        <w:rPr>
          <w:rFonts w:ascii="Arial" w:hAnsi="Arial" w:cs="Arial"/>
        </w:rPr>
        <w:t xml:space="preserve"> and the Code, specifically, </w:t>
      </w:r>
      <w:r w:rsidR="00233EC6">
        <w:rPr>
          <w:rFonts w:ascii="Arial" w:hAnsi="Arial" w:cs="Arial"/>
        </w:rPr>
        <w:t xml:space="preserve">whether </w:t>
      </w:r>
      <w:r w:rsidR="00236815" w:rsidRPr="008B5563">
        <w:rPr>
          <w:rFonts w:ascii="Arial" w:hAnsi="Arial" w:cs="Arial"/>
        </w:rPr>
        <w:t xml:space="preserve">pursuant to clause 4.6 of the Code, </w:t>
      </w:r>
      <w:r w:rsidR="00B40A12">
        <w:rPr>
          <w:rFonts w:ascii="Arial" w:hAnsi="Arial" w:cs="Arial"/>
        </w:rPr>
        <w:t>William Hill</w:t>
      </w:r>
      <w:r w:rsidR="00236815" w:rsidRPr="008B5563">
        <w:rPr>
          <w:rFonts w:ascii="Arial" w:hAnsi="Arial" w:cs="Arial"/>
        </w:rPr>
        <w:t xml:space="preserve"> had “</w:t>
      </w:r>
      <w:r w:rsidR="00236815" w:rsidRPr="00233EC6">
        <w:rPr>
          <w:rFonts w:ascii="Arial" w:hAnsi="Arial" w:cs="Arial"/>
          <w:i/>
        </w:rPr>
        <w:t>in place suitable procedures to ensure correspondence or promotional material is not sent to clients who are excluded from their services or who request that this information not be sent to them.</w:t>
      </w:r>
      <w:r w:rsidR="00236815" w:rsidRPr="008B5563">
        <w:rPr>
          <w:rFonts w:ascii="Arial" w:hAnsi="Arial" w:cs="Arial"/>
        </w:rPr>
        <w:t>”</w:t>
      </w:r>
    </w:p>
    <w:p w14:paraId="3331527A" w14:textId="47B17148" w:rsidR="00595E61" w:rsidRDefault="00B372B1" w:rsidP="00595E61">
      <w:pPr>
        <w:pStyle w:val="ListParagraph"/>
        <w:numPr>
          <w:ilvl w:val="0"/>
          <w:numId w:val="34"/>
        </w:numPr>
        <w:spacing w:before="120" w:after="240"/>
        <w:jc w:val="both"/>
        <w:rPr>
          <w:rFonts w:ascii="Arial" w:hAnsi="Arial" w:cs="Arial"/>
        </w:rPr>
      </w:pPr>
      <w:r w:rsidRPr="00595E61">
        <w:rPr>
          <w:rFonts w:ascii="Arial" w:hAnsi="Arial" w:cs="Arial"/>
        </w:rPr>
        <w:lastRenderedPageBreak/>
        <w:t>William Hill</w:t>
      </w:r>
      <w:r w:rsidR="00D85346">
        <w:rPr>
          <w:rFonts w:ascii="Arial" w:hAnsi="Arial" w:cs="Arial"/>
        </w:rPr>
        <w:t xml:space="preserve"> submit that</w:t>
      </w:r>
      <w:r w:rsidR="00233EC6" w:rsidRPr="00595E61">
        <w:rPr>
          <w:rFonts w:ascii="Arial" w:hAnsi="Arial" w:cs="Arial"/>
        </w:rPr>
        <w:t xml:space="preserve"> </w:t>
      </w:r>
      <w:r w:rsidR="00A06BD9">
        <w:rPr>
          <w:rFonts w:ascii="Arial" w:hAnsi="Arial" w:cs="Arial"/>
        </w:rPr>
        <w:t xml:space="preserve">the </w:t>
      </w:r>
      <w:r w:rsidR="00233EC6" w:rsidRPr="00595E61">
        <w:rPr>
          <w:rFonts w:ascii="Arial" w:hAnsi="Arial" w:cs="Arial"/>
        </w:rPr>
        <w:t xml:space="preserve">promotional material was </w:t>
      </w:r>
      <w:r w:rsidR="00D85346">
        <w:rPr>
          <w:rFonts w:ascii="Arial" w:hAnsi="Arial" w:cs="Arial"/>
        </w:rPr>
        <w:t xml:space="preserve">only </w:t>
      </w:r>
      <w:r w:rsidR="00233EC6" w:rsidRPr="00595E61">
        <w:rPr>
          <w:rFonts w:ascii="Arial" w:hAnsi="Arial" w:cs="Arial"/>
        </w:rPr>
        <w:t xml:space="preserve">sent to the </w:t>
      </w:r>
      <w:r w:rsidR="00A06BD9">
        <w:rPr>
          <w:rFonts w:ascii="Arial" w:hAnsi="Arial" w:cs="Arial"/>
        </w:rPr>
        <w:t>Complainant</w:t>
      </w:r>
      <w:r w:rsidR="00233EC6" w:rsidRPr="00595E61">
        <w:rPr>
          <w:rFonts w:ascii="Arial" w:hAnsi="Arial" w:cs="Arial"/>
        </w:rPr>
        <w:t xml:space="preserve"> due to migration issues when tomwaterhouse.com accounts were migrated to William Hill.  Promotional material</w:t>
      </w:r>
      <w:r w:rsidR="00D85346">
        <w:rPr>
          <w:rFonts w:ascii="Arial" w:hAnsi="Arial" w:cs="Arial"/>
        </w:rPr>
        <w:t>s</w:t>
      </w:r>
      <w:r w:rsidR="00233EC6" w:rsidRPr="00595E61">
        <w:rPr>
          <w:rFonts w:ascii="Arial" w:hAnsi="Arial" w:cs="Arial"/>
        </w:rPr>
        <w:t xml:space="preserve"> had not been sent to the </w:t>
      </w:r>
      <w:r w:rsidR="00A06BD9">
        <w:rPr>
          <w:rFonts w:ascii="Arial" w:hAnsi="Arial" w:cs="Arial"/>
        </w:rPr>
        <w:t>Complainant</w:t>
      </w:r>
      <w:r w:rsidR="00233EC6" w:rsidRPr="00595E61">
        <w:rPr>
          <w:rFonts w:ascii="Arial" w:hAnsi="Arial" w:cs="Arial"/>
        </w:rPr>
        <w:t xml:space="preserve"> by William Hill when </w:t>
      </w:r>
      <w:proofErr w:type="gramStart"/>
      <w:r w:rsidR="00D85346">
        <w:rPr>
          <w:rFonts w:ascii="Arial" w:hAnsi="Arial" w:cs="Arial"/>
        </w:rPr>
        <w:t>either the</w:t>
      </w:r>
      <w:r w:rsidR="00233EC6" w:rsidRPr="00595E61">
        <w:rPr>
          <w:rFonts w:ascii="Arial" w:hAnsi="Arial" w:cs="Arial"/>
        </w:rPr>
        <w:t xml:space="preserve"> Sportsbet and</w:t>
      </w:r>
      <w:proofErr w:type="gramEnd"/>
      <w:r w:rsidR="00233EC6" w:rsidRPr="00595E61">
        <w:rPr>
          <w:rFonts w:ascii="Arial" w:hAnsi="Arial" w:cs="Arial"/>
        </w:rPr>
        <w:t xml:space="preserve"> Centrebet accounts were migrated over</w:t>
      </w:r>
      <w:r w:rsidR="00595E61" w:rsidRPr="00595E61">
        <w:rPr>
          <w:rFonts w:ascii="Arial" w:hAnsi="Arial" w:cs="Arial"/>
        </w:rPr>
        <w:t xml:space="preserve">. </w:t>
      </w:r>
      <w:r w:rsidR="00D85346">
        <w:rPr>
          <w:rFonts w:ascii="Arial" w:hAnsi="Arial" w:cs="Arial"/>
        </w:rPr>
        <w:t xml:space="preserve"> </w:t>
      </w:r>
      <w:r w:rsidR="00233EC6" w:rsidRPr="00595E61">
        <w:rPr>
          <w:rFonts w:ascii="Arial" w:hAnsi="Arial" w:cs="Arial"/>
        </w:rPr>
        <w:t xml:space="preserve">This </w:t>
      </w:r>
      <w:r w:rsidR="00595E61" w:rsidRPr="00595E61">
        <w:rPr>
          <w:rFonts w:ascii="Arial" w:hAnsi="Arial" w:cs="Arial"/>
        </w:rPr>
        <w:t>indicate</w:t>
      </w:r>
      <w:r w:rsidR="00D85346">
        <w:rPr>
          <w:rFonts w:ascii="Arial" w:hAnsi="Arial" w:cs="Arial"/>
        </w:rPr>
        <w:t>s</w:t>
      </w:r>
      <w:r w:rsidR="00595E61" w:rsidRPr="00595E61">
        <w:rPr>
          <w:rFonts w:ascii="Arial" w:hAnsi="Arial" w:cs="Arial"/>
        </w:rPr>
        <w:t xml:space="preserve"> that W</w:t>
      </w:r>
      <w:r w:rsidR="00233EC6" w:rsidRPr="00595E61">
        <w:rPr>
          <w:rFonts w:ascii="Arial" w:hAnsi="Arial" w:cs="Arial"/>
        </w:rPr>
        <w:t xml:space="preserve">illiam Hill do have </w:t>
      </w:r>
      <w:r w:rsidR="00595E61" w:rsidRPr="00595E61">
        <w:rPr>
          <w:rFonts w:ascii="Arial" w:hAnsi="Arial" w:cs="Arial"/>
        </w:rPr>
        <w:t xml:space="preserve">suitable </w:t>
      </w:r>
      <w:r w:rsidR="00233EC6" w:rsidRPr="00595E61">
        <w:rPr>
          <w:rFonts w:ascii="Arial" w:hAnsi="Arial" w:cs="Arial"/>
        </w:rPr>
        <w:t>procedures in place</w:t>
      </w:r>
      <w:r w:rsidR="00595E61" w:rsidRPr="00595E61">
        <w:rPr>
          <w:rFonts w:ascii="Arial" w:hAnsi="Arial" w:cs="Arial"/>
        </w:rPr>
        <w:t xml:space="preserve"> to </w:t>
      </w:r>
      <w:r w:rsidR="00233EC6" w:rsidRPr="00595E61">
        <w:rPr>
          <w:rFonts w:ascii="Arial" w:hAnsi="Arial" w:cs="Arial"/>
        </w:rPr>
        <w:t>ensure promotional material</w:t>
      </w:r>
      <w:r w:rsidR="00D85346">
        <w:rPr>
          <w:rFonts w:ascii="Arial" w:hAnsi="Arial" w:cs="Arial"/>
        </w:rPr>
        <w:t>s</w:t>
      </w:r>
      <w:r w:rsidR="00233EC6" w:rsidRPr="00595E61">
        <w:rPr>
          <w:rFonts w:ascii="Arial" w:hAnsi="Arial" w:cs="Arial"/>
        </w:rPr>
        <w:t xml:space="preserve"> </w:t>
      </w:r>
      <w:r w:rsidR="00D85346">
        <w:rPr>
          <w:rFonts w:ascii="Arial" w:hAnsi="Arial" w:cs="Arial"/>
        </w:rPr>
        <w:t xml:space="preserve">are </w:t>
      </w:r>
      <w:r w:rsidR="00233EC6" w:rsidRPr="00595E61">
        <w:rPr>
          <w:rFonts w:ascii="Arial" w:hAnsi="Arial" w:cs="Arial"/>
        </w:rPr>
        <w:t xml:space="preserve">not sent to clients who are excluded </w:t>
      </w:r>
      <w:r w:rsidR="00595E61" w:rsidRPr="00595E61">
        <w:rPr>
          <w:rFonts w:ascii="Arial" w:hAnsi="Arial" w:cs="Arial"/>
        </w:rPr>
        <w:t xml:space="preserve">from their services.  </w:t>
      </w:r>
    </w:p>
    <w:p w14:paraId="29A3644E" w14:textId="567F6CB2" w:rsidR="00595E61" w:rsidRDefault="00D85346" w:rsidP="00595E61">
      <w:pPr>
        <w:pStyle w:val="ListParagraph"/>
        <w:numPr>
          <w:ilvl w:val="0"/>
          <w:numId w:val="34"/>
        </w:numPr>
        <w:spacing w:before="120" w:after="240"/>
        <w:jc w:val="both"/>
        <w:rPr>
          <w:rFonts w:ascii="Arial" w:hAnsi="Arial" w:cs="Arial"/>
        </w:rPr>
      </w:pPr>
      <w:r>
        <w:rPr>
          <w:rFonts w:ascii="Arial" w:hAnsi="Arial" w:cs="Arial"/>
        </w:rPr>
        <w:t>It is noted that t</w:t>
      </w:r>
      <w:r w:rsidR="00595E61">
        <w:rPr>
          <w:rFonts w:ascii="Arial" w:hAnsi="Arial" w:cs="Arial"/>
        </w:rPr>
        <w:t xml:space="preserve">he Commission has not received any other complaints of a similar nature regarding William Hill or the migration of </w:t>
      </w:r>
      <w:r w:rsidR="000C6980">
        <w:rPr>
          <w:rFonts w:ascii="Arial" w:hAnsi="Arial" w:cs="Arial"/>
        </w:rPr>
        <w:t xml:space="preserve">the </w:t>
      </w:r>
      <w:r w:rsidR="00595E61">
        <w:rPr>
          <w:rFonts w:ascii="Arial" w:hAnsi="Arial" w:cs="Arial"/>
        </w:rPr>
        <w:t>tomwaterhouse.com</w:t>
      </w:r>
      <w:r>
        <w:rPr>
          <w:rFonts w:ascii="Arial" w:hAnsi="Arial" w:cs="Arial"/>
        </w:rPr>
        <w:t xml:space="preserve"> </w:t>
      </w:r>
      <w:r w:rsidR="000C6980">
        <w:rPr>
          <w:rFonts w:ascii="Arial" w:hAnsi="Arial" w:cs="Arial"/>
        </w:rPr>
        <w:t xml:space="preserve">accounts </w:t>
      </w:r>
      <w:r>
        <w:rPr>
          <w:rFonts w:ascii="Arial" w:hAnsi="Arial" w:cs="Arial"/>
        </w:rPr>
        <w:t xml:space="preserve">and therefore </w:t>
      </w:r>
      <w:r w:rsidR="00595E61">
        <w:rPr>
          <w:rFonts w:ascii="Arial" w:hAnsi="Arial" w:cs="Arial"/>
        </w:rPr>
        <w:t>accepts that in this instance</w:t>
      </w:r>
      <w:r w:rsidR="000C6980">
        <w:rPr>
          <w:rFonts w:ascii="Arial" w:hAnsi="Arial" w:cs="Arial"/>
        </w:rPr>
        <w:t>,</w:t>
      </w:r>
      <w:r w:rsidR="00595E61">
        <w:rPr>
          <w:rFonts w:ascii="Arial" w:hAnsi="Arial" w:cs="Arial"/>
        </w:rPr>
        <w:t xml:space="preserve"> </w:t>
      </w:r>
      <w:r>
        <w:rPr>
          <w:rFonts w:ascii="Arial" w:hAnsi="Arial" w:cs="Arial"/>
        </w:rPr>
        <w:t xml:space="preserve">although </w:t>
      </w:r>
      <w:r w:rsidR="000C6980">
        <w:rPr>
          <w:rFonts w:ascii="Arial" w:hAnsi="Arial" w:cs="Arial"/>
        </w:rPr>
        <w:t>William Hill</w:t>
      </w:r>
      <w:r>
        <w:rPr>
          <w:rFonts w:ascii="Arial" w:hAnsi="Arial" w:cs="Arial"/>
        </w:rPr>
        <w:t xml:space="preserve"> does have suitable procedures in place, promotional material was sent </w:t>
      </w:r>
      <w:r w:rsidR="000C6980">
        <w:rPr>
          <w:rFonts w:ascii="Arial" w:hAnsi="Arial" w:cs="Arial"/>
        </w:rPr>
        <w:t>wrongly to</w:t>
      </w:r>
      <w:r>
        <w:rPr>
          <w:rFonts w:ascii="Arial" w:hAnsi="Arial" w:cs="Arial"/>
        </w:rPr>
        <w:t xml:space="preserve"> the </w:t>
      </w:r>
      <w:r w:rsidR="00A06BD9">
        <w:rPr>
          <w:rFonts w:ascii="Arial" w:hAnsi="Arial" w:cs="Arial"/>
        </w:rPr>
        <w:t>Complainant</w:t>
      </w:r>
      <w:r>
        <w:rPr>
          <w:rFonts w:ascii="Arial" w:hAnsi="Arial" w:cs="Arial"/>
        </w:rPr>
        <w:t xml:space="preserve"> due to </w:t>
      </w:r>
      <w:r w:rsidR="00595E61">
        <w:rPr>
          <w:rFonts w:ascii="Arial" w:hAnsi="Arial" w:cs="Arial"/>
        </w:rPr>
        <w:t xml:space="preserve">an inadvertent </w:t>
      </w:r>
      <w:r w:rsidR="000C6980">
        <w:rPr>
          <w:rFonts w:ascii="Arial" w:hAnsi="Arial" w:cs="Arial"/>
        </w:rPr>
        <w:t xml:space="preserve">and atypical </w:t>
      </w:r>
      <w:r w:rsidR="00595E61">
        <w:rPr>
          <w:rFonts w:ascii="Arial" w:hAnsi="Arial" w:cs="Arial"/>
        </w:rPr>
        <w:t xml:space="preserve">error when </w:t>
      </w:r>
      <w:r>
        <w:rPr>
          <w:rFonts w:ascii="Arial" w:hAnsi="Arial" w:cs="Arial"/>
        </w:rPr>
        <w:t xml:space="preserve">his account </w:t>
      </w:r>
      <w:r w:rsidR="00595E61">
        <w:rPr>
          <w:rFonts w:ascii="Arial" w:hAnsi="Arial" w:cs="Arial"/>
        </w:rPr>
        <w:t>w</w:t>
      </w:r>
      <w:r>
        <w:rPr>
          <w:rFonts w:ascii="Arial" w:hAnsi="Arial" w:cs="Arial"/>
        </w:rPr>
        <w:t>as</w:t>
      </w:r>
      <w:r w:rsidR="00595E61">
        <w:rPr>
          <w:rFonts w:ascii="Arial" w:hAnsi="Arial" w:cs="Arial"/>
        </w:rPr>
        <w:t xml:space="preserve"> being migrated.  </w:t>
      </w:r>
    </w:p>
    <w:p w14:paraId="6AF3AA5D" w14:textId="03B9377E" w:rsidR="00246AFC" w:rsidRDefault="00246AFC" w:rsidP="00595E61">
      <w:pPr>
        <w:pStyle w:val="ListParagraph"/>
        <w:numPr>
          <w:ilvl w:val="0"/>
          <w:numId w:val="34"/>
        </w:numPr>
        <w:spacing w:before="120" w:after="240"/>
        <w:jc w:val="both"/>
        <w:rPr>
          <w:rFonts w:ascii="Arial" w:hAnsi="Arial" w:cs="Arial"/>
        </w:rPr>
      </w:pPr>
      <w:r>
        <w:rPr>
          <w:rFonts w:ascii="Arial" w:hAnsi="Arial" w:cs="Arial"/>
        </w:rPr>
        <w:t>The Commission is satisfied that William Hill</w:t>
      </w:r>
      <w:r w:rsidRPr="004B1C28">
        <w:rPr>
          <w:rFonts w:ascii="Arial" w:hAnsi="Arial" w:cs="Arial"/>
        </w:rPr>
        <w:t xml:space="preserve"> </w:t>
      </w:r>
      <w:r>
        <w:rPr>
          <w:rFonts w:ascii="Arial" w:hAnsi="Arial" w:cs="Arial"/>
        </w:rPr>
        <w:t>has taken requisite action to prevent future promotional material being sent to the Complainant.</w:t>
      </w:r>
    </w:p>
    <w:p w14:paraId="60350168" w14:textId="152FD044" w:rsidR="0072402E" w:rsidRPr="008B5563" w:rsidRDefault="0072402E" w:rsidP="00595E61">
      <w:pPr>
        <w:pStyle w:val="ListParagraph"/>
        <w:numPr>
          <w:ilvl w:val="0"/>
          <w:numId w:val="34"/>
        </w:numPr>
        <w:spacing w:before="120" w:after="240"/>
        <w:jc w:val="both"/>
        <w:rPr>
          <w:rFonts w:ascii="Arial" w:hAnsi="Arial" w:cs="Arial"/>
        </w:rPr>
      </w:pPr>
      <w:r w:rsidRPr="008B5563">
        <w:rPr>
          <w:rFonts w:ascii="Arial" w:hAnsi="Arial" w:cs="Arial"/>
        </w:rPr>
        <w:t xml:space="preserve">The Commission </w:t>
      </w:r>
      <w:r w:rsidR="00595E61">
        <w:rPr>
          <w:rFonts w:ascii="Arial" w:hAnsi="Arial" w:cs="Arial"/>
        </w:rPr>
        <w:t xml:space="preserve">determines that </w:t>
      </w:r>
      <w:r w:rsidR="00B40A12">
        <w:rPr>
          <w:rFonts w:ascii="Arial" w:hAnsi="Arial" w:cs="Arial"/>
        </w:rPr>
        <w:t>William Hill</w:t>
      </w:r>
      <w:r w:rsidR="00595E61">
        <w:rPr>
          <w:rFonts w:ascii="Arial" w:hAnsi="Arial" w:cs="Arial"/>
        </w:rPr>
        <w:t xml:space="preserve"> has </w:t>
      </w:r>
      <w:r w:rsidR="00246AFC">
        <w:rPr>
          <w:rFonts w:ascii="Arial" w:hAnsi="Arial" w:cs="Arial"/>
        </w:rPr>
        <w:t xml:space="preserve">complied with </w:t>
      </w:r>
      <w:r w:rsidR="00A06BD9">
        <w:rPr>
          <w:rFonts w:ascii="Arial" w:hAnsi="Arial" w:cs="Arial"/>
        </w:rPr>
        <w:t xml:space="preserve">the Code and </w:t>
      </w:r>
      <w:r w:rsidR="00246AFC">
        <w:rPr>
          <w:rFonts w:ascii="Arial" w:hAnsi="Arial" w:cs="Arial"/>
        </w:rPr>
        <w:t xml:space="preserve">therefore has not breached either </w:t>
      </w:r>
      <w:r w:rsidR="00A06BD9">
        <w:rPr>
          <w:rFonts w:ascii="Arial" w:hAnsi="Arial" w:cs="Arial"/>
        </w:rPr>
        <w:t xml:space="preserve">sections 80(1)(d) and </w:t>
      </w:r>
      <w:r w:rsidR="00595E61">
        <w:rPr>
          <w:rFonts w:ascii="Arial" w:hAnsi="Arial" w:cs="Arial"/>
        </w:rPr>
        <w:t xml:space="preserve">148A of the Act. </w:t>
      </w:r>
    </w:p>
    <w:p w14:paraId="1B7E656E" w14:textId="44430AAA" w:rsidR="006F160D" w:rsidRDefault="006F160D" w:rsidP="006F160D">
      <w:pPr>
        <w:spacing w:before="120" w:after="240"/>
        <w:jc w:val="both"/>
        <w:rPr>
          <w:rFonts w:ascii="Arial" w:hAnsi="Arial" w:cs="Arial"/>
        </w:rPr>
      </w:pPr>
      <w:r>
        <w:rPr>
          <w:rFonts w:ascii="Arial" w:hAnsi="Arial" w:cs="Arial"/>
          <w:noProof/>
        </w:rPr>
        <w:drawing>
          <wp:inline distT="0" distB="0" distL="0" distR="0" wp14:anchorId="7999C744" wp14:editId="6B76B678">
            <wp:extent cx="2275205" cy="457200"/>
            <wp:effectExtent l="0" t="0" r="0" b="0"/>
            <wp:docPr id="1" name="Picture 1" descr="AS Signatur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Signature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5205" cy="457200"/>
                    </a:xfrm>
                    <a:prstGeom prst="rect">
                      <a:avLst/>
                    </a:prstGeom>
                    <a:noFill/>
                    <a:ln>
                      <a:noFill/>
                    </a:ln>
                  </pic:spPr>
                </pic:pic>
              </a:graphicData>
            </a:graphic>
          </wp:inline>
        </w:drawing>
      </w:r>
    </w:p>
    <w:p w14:paraId="5B05EBD3" w14:textId="77777777" w:rsidR="006F160D" w:rsidRDefault="006F160D" w:rsidP="006F160D">
      <w:pPr>
        <w:spacing w:before="120" w:after="240"/>
        <w:rPr>
          <w:rFonts w:ascii="Arial" w:hAnsi="Arial" w:cs="Arial"/>
          <w:b/>
        </w:rPr>
      </w:pPr>
      <w:r>
        <w:rPr>
          <w:rFonts w:ascii="Arial" w:hAnsi="Arial" w:cs="Arial"/>
          <w:b/>
        </w:rPr>
        <w:t>Alastair Shields</w:t>
      </w:r>
      <w:r>
        <w:rPr>
          <w:rFonts w:ascii="Arial" w:hAnsi="Arial" w:cs="Arial"/>
        </w:rPr>
        <w:br/>
        <w:t>Presiding Member</w:t>
      </w:r>
      <w:r>
        <w:rPr>
          <w:rFonts w:ascii="Arial" w:hAnsi="Arial" w:cs="Arial"/>
        </w:rPr>
        <w:br/>
        <w:t>Racing Commission</w:t>
      </w:r>
    </w:p>
    <w:p w14:paraId="0D34E6B5" w14:textId="0F01D010" w:rsidR="006F160D" w:rsidRDefault="006F160D" w:rsidP="006F160D">
      <w:pPr>
        <w:spacing w:before="120" w:after="240"/>
        <w:rPr>
          <w:rFonts w:ascii="Arial" w:hAnsi="Arial" w:cs="Arial"/>
          <w:b/>
        </w:rPr>
      </w:pPr>
      <w:r>
        <w:rPr>
          <w:rFonts w:ascii="Arial" w:hAnsi="Arial" w:cs="Arial"/>
        </w:rPr>
        <w:t>2</w:t>
      </w:r>
      <w:r>
        <w:rPr>
          <w:rFonts w:ascii="Arial" w:hAnsi="Arial" w:cs="Arial"/>
        </w:rPr>
        <w:t>5</w:t>
      </w:r>
      <w:r>
        <w:rPr>
          <w:rFonts w:ascii="Arial" w:hAnsi="Arial" w:cs="Arial"/>
        </w:rPr>
        <w:t xml:space="preserve"> October 2018</w:t>
      </w:r>
    </w:p>
    <w:sectPr w:rsidR="006F160D" w:rsidSect="00313A54">
      <w:headerReference w:type="even" r:id="rId9"/>
      <w:headerReference w:type="default" r:id="rId10"/>
      <w:footerReference w:type="even" r:id="rId11"/>
      <w:footerReference w:type="default" r:id="rId12"/>
      <w:headerReference w:type="first" r:id="rId13"/>
      <w:footerReference w:type="first" r:id="rId14"/>
      <w:pgSz w:w="11906" w:h="16838" w:code="9"/>
      <w:pgMar w:top="1440" w:right="1134"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CCD57" w14:textId="77777777" w:rsidR="00A06BD9" w:rsidRDefault="00A06BD9">
      <w:r>
        <w:separator/>
      </w:r>
    </w:p>
  </w:endnote>
  <w:endnote w:type="continuationSeparator" w:id="0">
    <w:p w14:paraId="4C038F35" w14:textId="77777777" w:rsidR="00A06BD9" w:rsidRDefault="00A0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7DC24" w14:textId="77777777" w:rsidR="00373E08" w:rsidRDefault="00373E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CDC3A" w14:textId="77777777" w:rsidR="00373E08" w:rsidRDefault="00373E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91398" w14:textId="77777777" w:rsidR="00373E08" w:rsidRDefault="00373E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45F66" w14:textId="77777777" w:rsidR="00A06BD9" w:rsidRDefault="00A06BD9">
      <w:r>
        <w:separator/>
      </w:r>
    </w:p>
  </w:footnote>
  <w:footnote w:type="continuationSeparator" w:id="0">
    <w:p w14:paraId="201B66B1" w14:textId="77777777" w:rsidR="00A06BD9" w:rsidRDefault="00A06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AE145" w14:textId="16A0DCEB" w:rsidR="00A06BD9" w:rsidRDefault="00A06BD9"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B0E54A" w14:textId="77777777" w:rsidR="00A06BD9" w:rsidRDefault="00A06BD9"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A0E9B" w14:textId="0406DEE0" w:rsidR="00A06BD9" w:rsidRDefault="009419EB">
    <w:pPr>
      <w:pStyle w:val="Header"/>
      <w:jc w:val="right"/>
    </w:pPr>
    <w:sdt>
      <w:sdtPr>
        <w:id w:val="-552932062"/>
        <w:docPartObj>
          <w:docPartGallery w:val="Page Numbers (Top of Page)"/>
          <w:docPartUnique/>
        </w:docPartObj>
      </w:sdtPr>
      <w:sdtEndPr>
        <w:rPr>
          <w:noProof/>
        </w:rPr>
      </w:sdtEndPr>
      <w:sdtContent>
        <w:r w:rsidR="00A06BD9" w:rsidRPr="00614B00">
          <w:rPr>
            <w:rFonts w:ascii="Arial" w:hAnsi="Arial" w:cs="Arial"/>
          </w:rPr>
          <w:fldChar w:fldCharType="begin"/>
        </w:r>
        <w:r w:rsidR="00A06BD9" w:rsidRPr="00614B00">
          <w:rPr>
            <w:rFonts w:ascii="Arial" w:hAnsi="Arial" w:cs="Arial"/>
          </w:rPr>
          <w:instrText xml:space="preserve"> PAGE   \* MERGEFORMAT </w:instrText>
        </w:r>
        <w:r w:rsidR="00A06BD9" w:rsidRPr="00614B00">
          <w:rPr>
            <w:rFonts w:ascii="Arial" w:hAnsi="Arial" w:cs="Arial"/>
          </w:rPr>
          <w:fldChar w:fldCharType="separate"/>
        </w:r>
        <w:r>
          <w:rPr>
            <w:rFonts w:ascii="Arial" w:hAnsi="Arial" w:cs="Arial"/>
            <w:noProof/>
          </w:rPr>
          <w:t>3</w:t>
        </w:r>
        <w:r w:rsidR="00A06BD9" w:rsidRPr="00614B00">
          <w:rPr>
            <w:rFonts w:ascii="Arial" w:hAnsi="Arial" w:cs="Arial"/>
            <w:noProof/>
          </w:rPr>
          <w:fldChar w:fldCharType="end"/>
        </w:r>
      </w:sdtContent>
    </w:sdt>
  </w:p>
  <w:p w14:paraId="216F19D1" w14:textId="77777777" w:rsidR="00A06BD9" w:rsidRDefault="00A06BD9" w:rsidP="00340E1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E868B" w14:textId="3447D6EC" w:rsidR="00A06BD9" w:rsidRDefault="00A06BD9" w:rsidP="003B38E2">
    <w:pPr>
      <w:jc w:val="center"/>
      <w:rPr>
        <w:rFonts w:ascii="Arial" w:hAnsi="Arial"/>
        <w:b/>
        <w:sz w:val="32"/>
      </w:rPr>
    </w:pPr>
  </w:p>
  <w:p w14:paraId="0C9C7225" w14:textId="77777777" w:rsidR="00A06BD9" w:rsidRDefault="00A06BD9" w:rsidP="003B38E2">
    <w:pPr>
      <w:jc w:val="center"/>
    </w:pPr>
    <w:r w:rsidRPr="00C26AA1">
      <w:rPr>
        <w:rFonts w:ascii="Arial" w:hAnsi="Arial"/>
        <w:b/>
        <w:sz w:val="32"/>
      </w:rPr>
      <w:t xml:space="preserve">NORTHERN TERRITORY </w:t>
    </w:r>
    <w:r>
      <w:rPr>
        <w:rFonts w:ascii="Arial" w:hAnsi="Arial"/>
        <w:b/>
        <w:sz w:val="32"/>
      </w:rPr>
      <w:t>RACING</w:t>
    </w:r>
    <w:r w:rsidRPr="00C26AA1">
      <w:rPr>
        <w:rFonts w:ascii="Arial" w:hAnsi="Arial"/>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A92568"/>
    <w:multiLevelType w:val="hybridMultilevel"/>
    <w:tmpl w:val="32C2C904"/>
    <w:lvl w:ilvl="0" w:tplc="07467D5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AC2B97"/>
    <w:multiLevelType w:val="hybridMultilevel"/>
    <w:tmpl w:val="DF36DC2A"/>
    <w:lvl w:ilvl="0" w:tplc="EFB47C52">
      <w:start w:val="1"/>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4" w15:restartNumberingAfterBreak="0">
    <w:nsid w:val="099F3D7E"/>
    <w:multiLevelType w:val="hybridMultilevel"/>
    <w:tmpl w:val="721064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D3259AA"/>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3F33B8"/>
    <w:multiLevelType w:val="hybridMultilevel"/>
    <w:tmpl w:val="2FC8701A"/>
    <w:lvl w:ilvl="0" w:tplc="2A64AC16">
      <w:start w:val="1"/>
      <w:numFmt w:val="decimal"/>
      <w:lvlText w:val="%1."/>
      <w:lvlJc w:val="left"/>
      <w:pPr>
        <w:ind w:left="720" w:hanging="360"/>
      </w:pPr>
      <w:rPr>
        <w:rFonts w:ascii="Arial" w:eastAsia="Times New Roman" w:hAnsi="Arial" w:cs="Arial"/>
        <w:b w:val="0"/>
        <w:i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771127"/>
    <w:multiLevelType w:val="hybridMultilevel"/>
    <w:tmpl w:val="8820A5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DD827DE"/>
    <w:multiLevelType w:val="hybridMultilevel"/>
    <w:tmpl w:val="4E7C3FF0"/>
    <w:lvl w:ilvl="0" w:tplc="45FE9B0C">
      <w:start w:val="1"/>
      <w:numFmt w:val="decimal"/>
      <w:lvlText w:val="%1."/>
      <w:lvlJc w:val="left"/>
      <w:pPr>
        <w:ind w:left="152" w:hanging="360"/>
      </w:pPr>
      <w:rPr>
        <w:b w:val="0"/>
      </w:rPr>
    </w:lvl>
    <w:lvl w:ilvl="1" w:tplc="0C090019">
      <w:start w:val="1"/>
      <w:numFmt w:val="lowerLetter"/>
      <w:lvlText w:val="%2."/>
      <w:lvlJc w:val="left"/>
      <w:pPr>
        <w:ind w:left="872" w:hanging="360"/>
      </w:pPr>
    </w:lvl>
    <w:lvl w:ilvl="2" w:tplc="0C09001B">
      <w:start w:val="1"/>
      <w:numFmt w:val="lowerRoman"/>
      <w:lvlText w:val="%3."/>
      <w:lvlJc w:val="right"/>
      <w:pPr>
        <w:ind w:left="1592" w:hanging="180"/>
      </w:pPr>
    </w:lvl>
    <w:lvl w:ilvl="3" w:tplc="0C09000F">
      <w:start w:val="1"/>
      <w:numFmt w:val="decimal"/>
      <w:lvlText w:val="%4."/>
      <w:lvlJc w:val="left"/>
      <w:pPr>
        <w:ind w:left="2312" w:hanging="360"/>
      </w:pPr>
    </w:lvl>
    <w:lvl w:ilvl="4" w:tplc="0C090019">
      <w:start w:val="1"/>
      <w:numFmt w:val="lowerLetter"/>
      <w:lvlText w:val="%5."/>
      <w:lvlJc w:val="left"/>
      <w:pPr>
        <w:ind w:left="3032" w:hanging="360"/>
      </w:pPr>
    </w:lvl>
    <w:lvl w:ilvl="5" w:tplc="0C09001B">
      <w:start w:val="1"/>
      <w:numFmt w:val="lowerRoman"/>
      <w:lvlText w:val="%6."/>
      <w:lvlJc w:val="right"/>
      <w:pPr>
        <w:ind w:left="3752" w:hanging="180"/>
      </w:pPr>
    </w:lvl>
    <w:lvl w:ilvl="6" w:tplc="0C09000F">
      <w:start w:val="1"/>
      <w:numFmt w:val="decimal"/>
      <w:lvlText w:val="%7."/>
      <w:lvlJc w:val="left"/>
      <w:pPr>
        <w:ind w:left="4472" w:hanging="360"/>
      </w:pPr>
    </w:lvl>
    <w:lvl w:ilvl="7" w:tplc="0C090019">
      <w:start w:val="1"/>
      <w:numFmt w:val="lowerLetter"/>
      <w:lvlText w:val="%8."/>
      <w:lvlJc w:val="left"/>
      <w:pPr>
        <w:ind w:left="5192" w:hanging="360"/>
      </w:pPr>
    </w:lvl>
    <w:lvl w:ilvl="8" w:tplc="0C09001B">
      <w:start w:val="1"/>
      <w:numFmt w:val="lowerRoman"/>
      <w:lvlText w:val="%9."/>
      <w:lvlJc w:val="right"/>
      <w:pPr>
        <w:ind w:left="5912" w:hanging="180"/>
      </w:pPr>
    </w:lvl>
  </w:abstractNum>
  <w:abstractNum w:abstractNumId="10" w15:restartNumberingAfterBreak="0">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FF0659A"/>
    <w:multiLevelType w:val="hybridMultilevel"/>
    <w:tmpl w:val="2FC8701A"/>
    <w:lvl w:ilvl="0" w:tplc="2A64AC16">
      <w:start w:val="1"/>
      <w:numFmt w:val="decimal"/>
      <w:lvlText w:val="%1."/>
      <w:lvlJc w:val="left"/>
      <w:pPr>
        <w:ind w:left="720" w:hanging="360"/>
      </w:pPr>
      <w:rPr>
        <w:rFonts w:ascii="Arial" w:eastAsia="Times New Roman" w:hAnsi="Arial" w:cs="Arial"/>
        <w:b w:val="0"/>
        <w:i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A34989"/>
    <w:multiLevelType w:val="hybridMultilevel"/>
    <w:tmpl w:val="7C24DD4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F2505B"/>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5" w15:restartNumberingAfterBreak="0">
    <w:nsid w:val="3BC83A9D"/>
    <w:multiLevelType w:val="hybridMultilevel"/>
    <w:tmpl w:val="2FC8701A"/>
    <w:lvl w:ilvl="0" w:tplc="2A64AC16">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2D1F43"/>
    <w:multiLevelType w:val="hybridMultilevel"/>
    <w:tmpl w:val="478E83FA"/>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24B019D"/>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4E72A1"/>
    <w:multiLevelType w:val="hybridMultilevel"/>
    <w:tmpl w:val="DA9E8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F5D5D62"/>
    <w:multiLevelType w:val="hybridMultilevel"/>
    <w:tmpl w:val="1B3066C8"/>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CF0135"/>
    <w:multiLevelType w:val="hybridMultilevel"/>
    <w:tmpl w:val="FA88EF8A"/>
    <w:lvl w:ilvl="0" w:tplc="0C09000F">
      <w:start w:val="1"/>
      <w:numFmt w:val="decimal"/>
      <w:lvlText w:val="%1."/>
      <w:lvlJc w:val="left"/>
      <w:pPr>
        <w:ind w:left="1287" w:hanging="360"/>
      </w:p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25" w15:restartNumberingAfterBreak="0">
    <w:nsid w:val="5E1D4D65"/>
    <w:multiLevelType w:val="hybridMultilevel"/>
    <w:tmpl w:val="E668E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FF3DD0"/>
    <w:multiLevelType w:val="hybridMultilevel"/>
    <w:tmpl w:val="0C043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41219F4"/>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30" w15:restartNumberingAfterBreak="0">
    <w:nsid w:val="7768209F"/>
    <w:multiLevelType w:val="hybridMultilevel"/>
    <w:tmpl w:val="7360831E"/>
    <w:lvl w:ilvl="0" w:tplc="2A64AC16">
      <w:start w:val="1"/>
      <w:numFmt w:val="decimal"/>
      <w:lvlText w:val="%1."/>
      <w:lvlJc w:val="left"/>
      <w:pPr>
        <w:ind w:left="720" w:hanging="360"/>
      </w:pPr>
      <w:rPr>
        <w:rFonts w:ascii="Arial" w:eastAsia="Times New Roman" w:hAnsi="Arial" w:cs="Arial"/>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A0E71"/>
    <w:multiLevelType w:val="hybridMultilevel"/>
    <w:tmpl w:val="5DD6763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2" w15:restartNumberingAfterBreak="0">
    <w:nsid w:val="7A6D7104"/>
    <w:multiLevelType w:val="hybridMultilevel"/>
    <w:tmpl w:val="2E8AF216"/>
    <w:lvl w:ilvl="0" w:tplc="BC7A1628">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1C4B90"/>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4"/>
  </w:num>
  <w:num w:numId="3">
    <w:abstractNumId w:val="10"/>
  </w:num>
  <w:num w:numId="4">
    <w:abstractNumId w:val="8"/>
  </w:num>
  <w:num w:numId="5">
    <w:abstractNumId w:val="23"/>
  </w:num>
  <w:num w:numId="6">
    <w:abstractNumId w:val="27"/>
  </w:num>
  <w:num w:numId="7">
    <w:abstractNumId w:val="20"/>
  </w:num>
  <w:num w:numId="8">
    <w:abstractNumId w:val="1"/>
  </w:num>
  <w:num w:numId="9">
    <w:abstractNumId w:val="29"/>
  </w:num>
  <w:num w:numId="10">
    <w:abstractNumId w:val="19"/>
  </w:num>
  <w:num w:numId="11">
    <w:abstractNumId w:val="3"/>
  </w:num>
  <w:num w:numId="12">
    <w:abstractNumId w:val="4"/>
  </w:num>
  <w:num w:numId="13">
    <w:abstractNumId w:val="18"/>
  </w:num>
  <w:num w:numId="14">
    <w:abstractNumId w:val="21"/>
  </w:num>
  <w:num w:numId="15">
    <w:abstractNumId w:val="2"/>
  </w:num>
  <w:num w:numId="16">
    <w:abstractNumId w:val="15"/>
  </w:num>
  <w:num w:numId="17">
    <w:abstractNumId w:val="5"/>
  </w:num>
  <w:num w:numId="18">
    <w:abstractNumId w:val="7"/>
  </w:num>
  <w:num w:numId="19">
    <w:abstractNumId w:val="22"/>
  </w:num>
  <w:num w:numId="20">
    <w:abstractNumId w:val="26"/>
  </w:num>
  <w:num w:numId="21">
    <w:abstractNumId w:val="12"/>
  </w:num>
  <w:num w:numId="22">
    <w:abstractNumId w:val="33"/>
  </w:num>
  <w:num w:numId="23">
    <w:abstractNumId w:val="32"/>
  </w:num>
  <w:num w:numId="24">
    <w:abstractNumId w:val="28"/>
  </w:num>
  <w:num w:numId="25">
    <w:abstractNumId w:val="17"/>
  </w:num>
  <w:num w:numId="26">
    <w:abstractNumId w:val="13"/>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lvlOverride w:ilvl="2"/>
    <w:lvlOverride w:ilvl="3"/>
    <w:lvlOverride w:ilvl="4"/>
    <w:lvlOverride w:ilvl="5"/>
    <w:lvlOverride w:ilvl="6"/>
    <w:lvlOverride w:ilvl="7"/>
    <w:lvlOverride w:ilvl="8"/>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1"/>
  </w:num>
  <w:num w:numId="32">
    <w:abstractNumId w:val="25"/>
  </w:num>
  <w:num w:numId="33">
    <w:abstractNumId w:val="6"/>
  </w:num>
  <w:num w:numId="34">
    <w:abstractNumId w:val="3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5E"/>
    <w:rsid w:val="00000D37"/>
    <w:rsid w:val="00000E60"/>
    <w:rsid w:val="000020F8"/>
    <w:rsid w:val="000048F3"/>
    <w:rsid w:val="00020858"/>
    <w:rsid w:val="00035446"/>
    <w:rsid w:val="00043F15"/>
    <w:rsid w:val="00055A44"/>
    <w:rsid w:val="00060698"/>
    <w:rsid w:val="0006656F"/>
    <w:rsid w:val="000716C2"/>
    <w:rsid w:val="000808B9"/>
    <w:rsid w:val="00082CE5"/>
    <w:rsid w:val="00091732"/>
    <w:rsid w:val="000A71E5"/>
    <w:rsid w:val="000C6980"/>
    <w:rsid w:val="000E1540"/>
    <w:rsid w:val="00102517"/>
    <w:rsid w:val="001106D6"/>
    <w:rsid w:val="0012027A"/>
    <w:rsid w:val="00126EF4"/>
    <w:rsid w:val="0012714B"/>
    <w:rsid w:val="001304C4"/>
    <w:rsid w:val="00140933"/>
    <w:rsid w:val="001444A8"/>
    <w:rsid w:val="00173BD9"/>
    <w:rsid w:val="00180CE5"/>
    <w:rsid w:val="00184F2E"/>
    <w:rsid w:val="00192903"/>
    <w:rsid w:val="001C03C0"/>
    <w:rsid w:val="001D6307"/>
    <w:rsid w:val="001D6966"/>
    <w:rsid w:val="001F335D"/>
    <w:rsid w:val="00203D7E"/>
    <w:rsid w:val="00204481"/>
    <w:rsid w:val="00206E6E"/>
    <w:rsid w:val="002339C1"/>
    <w:rsid w:val="00233EC6"/>
    <w:rsid w:val="00236815"/>
    <w:rsid w:val="00246AFC"/>
    <w:rsid w:val="00254409"/>
    <w:rsid w:val="00254D9A"/>
    <w:rsid w:val="00262155"/>
    <w:rsid w:val="00277AE9"/>
    <w:rsid w:val="002A25AA"/>
    <w:rsid w:val="002B6BBF"/>
    <w:rsid w:val="002C0774"/>
    <w:rsid w:val="002C46C5"/>
    <w:rsid w:val="002C6BB7"/>
    <w:rsid w:val="002E6113"/>
    <w:rsid w:val="002F03D5"/>
    <w:rsid w:val="002F0E22"/>
    <w:rsid w:val="002F720B"/>
    <w:rsid w:val="00311798"/>
    <w:rsid w:val="00313A54"/>
    <w:rsid w:val="00320DA3"/>
    <w:rsid w:val="00334303"/>
    <w:rsid w:val="00340E1B"/>
    <w:rsid w:val="00341AC5"/>
    <w:rsid w:val="003502BB"/>
    <w:rsid w:val="00352D6D"/>
    <w:rsid w:val="00355742"/>
    <w:rsid w:val="00357B7A"/>
    <w:rsid w:val="003672BA"/>
    <w:rsid w:val="00373E08"/>
    <w:rsid w:val="0039542A"/>
    <w:rsid w:val="003A37FE"/>
    <w:rsid w:val="003A3E83"/>
    <w:rsid w:val="003B38E2"/>
    <w:rsid w:val="003B3C8B"/>
    <w:rsid w:val="003C2416"/>
    <w:rsid w:val="003C3F82"/>
    <w:rsid w:val="003C4E27"/>
    <w:rsid w:val="003E231B"/>
    <w:rsid w:val="003E4F8E"/>
    <w:rsid w:val="003E507B"/>
    <w:rsid w:val="003F0044"/>
    <w:rsid w:val="003F35EB"/>
    <w:rsid w:val="003F7E8F"/>
    <w:rsid w:val="004028ED"/>
    <w:rsid w:val="00403E6D"/>
    <w:rsid w:val="004124E8"/>
    <w:rsid w:val="00423AFA"/>
    <w:rsid w:val="0042631D"/>
    <w:rsid w:val="00454068"/>
    <w:rsid w:val="004717FF"/>
    <w:rsid w:val="00476F03"/>
    <w:rsid w:val="00480975"/>
    <w:rsid w:val="00485938"/>
    <w:rsid w:val="004B1C28"/>
    <w:rsid w:val="004B422E"/>
    <w:rsid w:val="004D373A"/>
    <w:rsid w:val="004E1D5F"/>
    <w:rsid w:val="004F33F5"/>
    <w:rsid w:val="00511172"/>
    <w:rsid w:val="00517D0F"/>
    <w:rsid w:val="005223B7"/>
    <w:rsid w:val="00530C3A"/>
    <w:rsid w:val="00532A8E"/>
    <w:rsid w:val="00541E56"/>
    <w:rsid w:val="00550AC8"/>
    <w:rsid w:val="005717A0"/>
    <w:rsid w:val="00584B53"/>
    <w:rsid w:val="00591161"/>
    <w:rsid w:val="00595E61"/>
    <w:rsid w:val="005A3736"/>
    <w:rsid w:val="005A5E6A"/>
    <w:rsid w:val="005C38DC"/>
    <w:rsid w:val="005C403D"/>
    <w:rsid w:val="005D116B"/>
    <w:rsid w:val="005D29CB"/>
    <w:rsid w:val="005D5F2F"/>
    <w:rsid w:val="005F1D75"/>
    <w:rsid w:val="005F725E"/>
    <w:rsid w:val="00612471"/>
    <w:rsid w:val="00614B00"/>
    <w:rsid w:val="00615992"/>
    <w:rsid w:val="00616E4E"/>
    <w:rsid w:val="00624E09"/>
    <w:rsid w:val="0063050D"/>
    <w:rsid w:val="00633D51"/>
    <w:rsid w:val="00634062"/>
    <w:rsid w:val="00682899"/>
    <w:rsid w:val="00682C3C"/>
    <w:rsid w:val="006A7AED"/>
    <w:rsid w:val="006B06F9"/>
    <w:rsid w:val="006D06D6"/>
    <w:rsid w:val="006F160D"/>
    <w:rsid w:val="007010AC"/>
    <w:rsid w:val="007046C6"/>
    <w:rsid w:val="00712274"/>
    <w:rsid w:val="00712415"/>
    <w:rsid w:val="00720AD8"/>
    <w:rsid w:val="0072402E"/>
    <w:rsid w:val="00735AB3"/>
    <w:rsid w:val="00741C28"/>
    <w:rsid w:val="00742D00"/>
    <w:rsid w:val="007635FA"/>
    <w:rsid w:val="00763830"/>
    <w:rsid w:val="00770B78"/>
    <w:rsid w:val="00790A8E"/>
    <w:rsid w:val="00792389"/>
    <w:rsid w:val="007A0D31"/>
    <w:rsid w:val="007B0F27"/>
    <w:rsid w:val="007C3E6D"/>
    <w:rsid w:val="007D15A0"/>
    <w:rsid w:val="007E7020"/>
    <w:rsid w:val="00803403"/>
    <w:rsid w:val="008132FB"/>
    <w:rsid w:val="00817FA8"/>
    <w:rsid w:val="00821B56"/>
    <w:rsid w:val="00824D04"/>
    <w:rsid w:val="00826A40"/>
    <w:rsid w:val="0085039A"/>
    <w:rsid w:val="00851D26"/>
    <w:rsid w:val="00861250"/>
    <w:rsid w:val="008707D3"/>
    <w:rsid w:val="0087556A"/>
    <w:rsid w:val="008968EA"/>
    <w:rsid w:val="008B5563"/>
    <w:rsid w:val="008D5E6F"/>
    <w:rsid w:val="008D711D"/>
    <w:rsid w:val="008E1DAA"/>
    <w:rsid w:val="008E4D7C"/>
    <w:rsid w:val="008E5F56"/>
    <w:rsid w:val="008F3193"/>
    <w:rsid w:val="00903E87"/>
    <w:rsid w:val="00933C41"/>
    <w:rsid w:val="009419EB"/>
    <w:rsid w:val="00945719"/>
    <w:rsid w:val="00956916"/>
    <w:rsid w:val="00961A91"/>
    <w:rsid w:val="00974EEC"/>
    <w:rsid w:val="00990D5A"/>
    <w:rsid w:val="00992F18"/>
    <w:rsid w:val="00993B76"/>
    <w:rsid w:val="009A20E6"/>
    <w:rsid w:val="009A2184"/>
    <w:rsid w:val="009A6124"/>
    <w:rsid w:val="009A74D0"/>
    <w:rsid w:val="009E2C01"/>
    <w:rsid w:val="009E7B70"/>
    <w:rsid w:val="00A06BD9"/>
    <w:rsid w:val="00A07D57"/>
    <w:rsid w:val="00A10C4F"/>
    <w:rsid w:val="00A179CF"/>
    <w:rsid w:val="00A300E9"/>
    <w:rsid w:val="00A3148D"/>
    <w:rsid w:val="00A467CA"/>
    <w:rsid w:val="00A46C48"/>
    <w:rsid w:val="00A520B3"/>
    <w:rsid w:val="00A85362"/>
    <w:rsid w:val="00A86E47"/>
    <w:rsid w:val="00A94982"/>
    <w:rsid w:val="00AA05C2"/>
    <w:rsid w:val="00AA19E5"/>
    <w:rsid w:val="00AA1AD2"/>
    <w:rsid w:val="00AB4D34"/>
    <w:rsid w:val="00AC6516"/>
    <w:rsid w:val="00AD0566"/>
    <w:rsid w:val="00AD7B16"/>
    <w:rsid w:val="00AE3ED6"/>
    <w:rsid w:val="00AF4879"/>
    <w:rsid w:val="00B00073"/>
    <w:rsid w:val="00B04326"/>
    <w:rsid w:val="00B30299"/>
    <w:rsid w:val="00B372B1"/>
    <w:rsid w:val="00B40A12"/>
    <w:rsid w:val="00B502C4"/>
    <w:rsid w:val="00B50B06"/>
    <w:rsid w:val="00B60D8B"/>
    <w:rsid w:val="00B760BD"/>
    <w:rsid w:val="00B92758"/>
    <w:rsid w:val="00BC79A2"/>
    <w:rsid w:val="00BD3B4B"/>
    <w:rsid w:val="00BD67DF"/>
    <w:rsid w:val="00BE3A88"/>
    <w:rsid w:val="00C02779"/>
    <w:rsid w:val="00C300AF"/>
    <w:rsid w:val="00C32F2B"/>
    <w:rsid w:val="00C5025D"/>
    <w:rsid w:val="00C5070C"/>
    <w:rsid w:val="00C735CA"/>
    <w:rsid w:val="00C817B3"/>
    <w:rsid w:val="00C90498"/>
    <w:rsid w:val="00C921AB"/>
    <w:rsid w:val="00CA530C"/>
    <w:rsid w:val="00CA53CE"/>
    <w:rsid w:val="00CB1FB5"/>
    <w:rsid w:val="00CB49CF"/>
    <w:rsid w:val="00CC1E53"/>
    <w:rsid w:val="00CE6D02"/>
    <w:rsid w:val="00CF2AE7"/>
    <w:rsid w:val="00CF3964"/>
    <w:rsid w:val="00CF6AE3"/>
    <w:rsid w:val="00D01945"/>
    <w:rsid w:val="00D07B98"/>
    <w:rsid w:val="00D1617A"/>
    <w:rsid w:val="00D54C0A"/>
    <w:rsid w:val="00D76980"/>
    <w:rsid w:val="00D81BCB"/>
    <w:rsid w:val="00D85346"/>
    <w:rsid w:val="00DA37E9"/>
    <w:rsid w:val="00DB64C1"/>
    <w:rsid w:val="00DB77E4"/>
    <w:rsid w:val="00DC6365"/>
    <w:rsid w:val="00DE0C6D"/>
    <w:rsid w:val="00E0130B"/>
    <w:rsid w:val="00E023C4"/>
    <w:rsid w:val="00E05510"/>
    <w:rsid w:val="00E05D93"/>
    <w:rsid w:val="00E30D0A"/>
    <w:rsid w:val="00E64F46"/>
    <w:rsid w:val="00E70BF8"/>
    <w:rsid w:val="00E735FB"/>
    <w:rsid w:val="00E95BC9"/>
    <w:rsid w:val="00EA2275"/>
    <w:rsid w:val="00EA606F"/>
    <w:rsid w:val="00EA65EF"/>
    <w:rsid w:val="00EB0E4C"/>
    <w:rsid w:val="00ED6AC5"/>
    <w:rsid w:val="00EF3278"/>
    <w:rsid w:val="00EF7574"/>
    <w:rsid w:val="00F0254E"/>
    <w:rsid w:val="00F06E17"/>
    <w:rsid w:val="00F11069"/>
    <w:rsid w:val="00F128F0"/>
    <w:rsid w:val="00F23322"/>
    <w:rsid w:val="00F27918"/>
    <w:rsid w:val="00F74D1D"/>
    <w:rsid w:val="00F914E2"/>
    <w:rsid w:val="00F94AEF"/>
    <w:rsid w:val="00F94C5D"/>
    <w:rsid w:val="00FA095C"/>
    <w:rsid w:val="00FA3B90"/>
    <w:rsid w:val="00FB1A9E"/>
    <w:rsid w:val="00FB7BF2"/>
    <w:rsid w:val="00FC22BE"/>
    <w:rsid w:val="00FC33D6"/>
    <w:rsid w:val="00FD1314"/>
    <w:rsid w:val="00FD5796"/>
    <w:rsid w:val="00FD5946"/>
    <w:rsid w:val="00FF764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A4FBBB2"/>
  <w15:docId w15:val="{05833C3E-2FCE-48FE-B16F-F4BFE7ED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3B38E2"/>
    <w:pPr>
      <w:keepNext/>
      <w:spacing w:before="360" w:after="120"/>
      <w:jc w:val="both"/>
      <w:outlineLvl w:val="1"/>
    </w:pPr>
    <w:rPr>
      <w:rFonts w:ascii="Arial" w:hAnsi="Arial"/>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uiPriority w:val="10"/>
    <w:locked/>
    <w:rsid w:val="000808B9"/>
    <w:rPr>
      <w:rFonts w:ascii="Arial" w:eastAsia="Calibri" w:hAnsi="Arial"/>
      <w:b/>
      <w:sz w:val="24"/>
      <w:szCs w:val="24"/>
      <w:u w:val="single"/>
      <w:lang w:val="en-GB" w:eastAsia="x-none" w:bidi="ar-SA"/>
    </w:rPr>
  </w:style>
  <w:style w:type="paragraph" w:styleId="Header">
    <w:name w:val="header"/>
    <w:basedOn w:val="Normal"/>
    <w:link w:val="HeaderChar"/>
    <w:uiPriority w:val="99"/>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uiPriority w:val="99"/>
    <w:rsid w:val="003502BB"/>
    <w:rPr>
      <w:sz w:val="20"/>
      <w:szCs w:val="20"/>
    </w:rPr>
  </w:style>
  <w:style w:type="character" w:customStyle="1" w:styleId="FootnoteTextChar">
    <w:name w:val="Footnote Text Char"/>
    <w:basedOn w:val="DefaultParagraphFont"/>
    <w:link w:val="FootnoteText"/>
    <w:uiPriority w:val="99"/>
    <w:rsid w:val="003502BB"/>
  </w:style>
  <w:style w:type="character" w:styleId="FootnoteReference">
    <w:name w:val="footnote reference"/>
    <w:uiPriority w:val="99"/>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link w:val="SubsectionChar"/>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rFonts w:ascii="Arial" w:hAnsi="Arial"/>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table" w:styleId="TableGrid">
    <w:name w:val="Table Grid"/>
    <w:basedOn w:val="TableNormal"/>
    <w:uiPriority w:val="59"/>
    <w:rsid w:val="005F72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14B00"/>
    <w:rPr>
      <w:sz w:val="24"/>
      <w:szCs w:val="24"/>
    </w:rPr>
  </w:style>
  <w:style w:type="paragraph" w:styleId="BodyText3">
    <w:name w:val="Body Text 3"/>
    <w:basedOn w:val="Normal"/>
    <w:link w:val="BodyText3Char"/>
    <w:uiPriority w:val="99"/>
    <w:semiHidden/>
    <w:unhideWhenUsed/>
    <w:rsid w:val="0012027A"/>
    <w:pPr>
      <w:spacing w:after="120"/>
    </w:pPr>
    <w:rPr>
      <w:rFonts w:ascii="Arial" w:eastAsiaTheme="minorHAnsi" w:hAnsi="Arial" w:cs="Arial"/>
      <w:sz w:val="16"/>
      <w:szCs w:val="16"/>
    </w:rPr>
  </w:style>
  <w:style w:type="character" w:customStyle="1" w:styleId="BodyText3Char">
    <w:name w:val="Body Text 3 Char"/>
    <w:basedOn w:val="DefaultParagraphFont"/>
    <w:link w:val="BodyText3"/>
    <w:uiPriority w:val="99"/>
    <w:semiHidden/>
    <w:rsid w:val="0012027A"/>
    <w:rPr>
      <w:rFonts w:ascii="Arial" w:eastAsiaTheme="minorHAnsi" w:hAnsi="Arial" w:cs="Arial"/>
      <w:sz w:val="16"/>
      <w:szCs w:val="16"/>
    </w:rPr>
  </w:style>
  <w:style w:type="paragraph" w:styleId="PlainText">
    <w:name w:val="Plain Text"/>
    <w:basedOn w:val="Normal"/>
    <w:link w:val="PlainTextChar"/>
    <w:uiPriority w:val="99"/>
    <w:semiHidden/>
    <w:unhideWhenUsed/>
    <w:rsid w:val="0012027A"/>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12027A"/>
    <w:rPr>
      <w:rFonts w:ascii="Calibri" w:eastAsiaTheme="minorHAnsi" w:hAnsi="Calibri" w:cs="Calibri"/>
      <w:sz w:val="22"/>
      <w:szCs w:val="22"/>
      <w:lang w:eastAsia="en-US"/>
    </w:rPr>
  </w:style>
  <w:style w:type="character" w:customStyle="1" w:styleId="SubsectionChar">
    <w:name w:val="Subsection Char"/>
    <w:basedOn w:val="DefaultParagraphFont"/>
    <w:link w:val="Subsection"/>
    <w:locked/>
    <w:rsid w:val="0012027A"/>
    <w:rPr>
      <w:rFonts w:ascii="Helvetica" w:hAnsi="Helvetica"/>
      <w:sz w:val="24"/>
      <w:szCs w:val="24"/>
    </w:rPr>
  </w:style>
  <w:style w:type="paragraph" w:customStyle="1" w:styleId="cunumber3">
    <w:name w:val="cunumber3"/>
    <w:basedOn w:val="Normal"/>
    <w:rsid w:val="0012027A"/>
    <w:pPr>
      <w:spacing w:before="100" w:beforeAutospacing="1" w:after="100" w:afterAutospacing="1"/>
    </w:pPr>
    <w:rPr>
      <w:rFonts w:eastAsiaTheme="minorHAnsi"/>
    </w:rPr>
  </w:style>
  <w:style w:type="paragraph" w:styleId="NormalWeb">
    <w:name w:val="Normal (Web)"/>
    <w:basedOn w:val="Normal"/>
    <w:uiPriority w:val="99"/>
    <w:semiHidden/>
    <w:unhideWhenUsed/>
    <w:rsid w:val="00476F03"/>
    <w:pPr>
      <w:spacing w:before="100" w:beforeAutospacing="1" w:after="100" w:afterAutospacing="1"/>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08324">
      <w:bodyDiv w:val="1"/>
      <w:marLeft w:val="0"/>
      <w:marRight w:val="0"/>
      <w:marTop w:val="0"/>
      <w:marBottom w:val="0"/>
      <w:divBdr>
        <w:top w:val="none" w:sz="0" w:space="0" w:color="auto"/>
        <w:left w:val="none" w:sz="0" w:space="0" w:color="auto"/>
        <w:bottom w:val="none" w:sz="0" w:space="0" w:color="auto"/>
        <w:right w:val="none" w:sz="0" w:space="0" w:color="auto"/>
      </w:divBdr>
    </w:div>
    <w:div w:id="286201073">
      <w:bodyDiv w:val="1"/>
      <w:marLeft w:val="0"/>
      <w:marRight w:val="0"/>
      <w:marTop w:val="0"/>
      <w:marBottom w:val="0"/>
      <w:divBdr>
        <w:top w:val="none" w:sz="0" w:space="0" w:color="auto"/>
        <w:left w:val="none" w:sz="0" w:space="0" w:color="auto"/>
        <w:bottom w:val="none" w:sz="0" w:space="0" w:color="auto"/>
        <w:right w:val="none" w:sz="0" w:space="0" w:color="auto"/>
      </w:divBdr>
    </w:div>
    <w:div w:id="701594678">
      <w:bodyDiv w:val="1"/>
      <w:marLeft w:val="0"/>
      <w:marRight w:val="0"/>
      <w:marTop w:val="0"/>
      <w:marBottom w:val="0"/>
      <w:divBdr>
        <w:top w:val="none" w:sz="0" w:space="0" w:color="auto"/>
        <w:left w:val="none" w:sz="0" w:space="0" w:color="auto"/>
        <w:bottom w:val="none" w:sz="0" w:space="0" w:color="auto"/>
        <w:right w:val="none" w:sz="0" w:space="0" w:color="auto"/>
      </w:divBdr>
    </w:div>
    <w:div w:id="87662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C6006-130A-47D1-88C4-6E9F2F14B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954</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TSmart</dc:creator>
  <cp:lastModifiedBy>Louise Ranger</cp:lastModifiedBy>
  <cp:revision>7</cp:revision>
  <cp:lastPrinted>2018-08-29T01:34:00Z</cp:lastPrinted>
  <dcterms:created xsi:type="dcterms:W3CDTF">2018-10-24T00:10:00Z</dcterms:created>
  <dcterms:modified xsi:type="dcterms:W3CDTF">2018-10-25T04:34:00Z</dcterms:modified>
</cp:coreProperties>
</file>