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A4F6A8" w14:textId="1E5DDA22" w:rsidR="009F1605" w:rsidRPr="00C46BD8" w:rsidRDefault="009F1605" w:rsidP="009F1605">
      <w:pPr>
        <w:rPr>
          <w:b/>
          <w:bCs/>
        </w:rPr>
      </w:pPr>
      <w:r>
        <w:rPr>
          <w:b/>
          <w:bCs/>
        </w:rPr>
        <w:t>I</w:t>
      </w:r>
      <w:r w:rsidRPr="00C46BD8">
        <w:rPr>
          <w:b/>
          <w:bCs/>
        </w:rPr>
        <w:t xml:space="preserve">N THE MATTER OF A DISCIPLINARY </w:t>
      </w:r>
    </w:p>
    <w:p w14:paraId="3E9779C7" w14:textId="77777777" w:rsidR="009F1605" w:rsidRPr="00C46BD8" w:rsidRDefault="009F1605" w:rsidP="009F1605">
      <w:pPr>
        <w:rPr>
          <w:b/>
          <w:bCs/>
        </w:rPr>
      </w:pPr>
      <w:r w:rsidRPr="00C46BD8">
        <w:rPr>
          <w:b/>
          <w:bCs/>
        </w:rPr>
        <w:t xml:space="preserve">INQUIRY PURSUANT TO THE </w:t>
      </w:r>
    </w:p>
    <w:p w14:paraId="54279811" w14:textId="77777777" w:rsidR="009F1605" w:rsidRDefault="009F1605" w:rsidP="009F1605">
      <w:pPr>
        <w:rPr>
          <w:b/>
          <w:bCs/>
        </w:rPr>
      </w:pPr>
      <w:r w:rsidRPr="00C46BD8">
        <w:rPr>
          <w:b/>
          <w:bCs/>
          <w:i/>
          <w:iCs/>
        </w:rPr>
        <w:t>AGENTS LICENSING ACT</w:t>
      </w:r>
      <w:r w:rsidRPr="00C46BD8">
        <w:rPr>
          <w:b/>
          <w:bCs/>
        </w:rPr>
        <w:t xml:space="preserve"> NT, 1979</w:t>
      </w:r>
    </w:p>
    <w:p w14:paraId="0E0196AD" w14:textId="77777777" w:rsidR="009F1605" w:rsidRDefault="009F1605" w:rsidP="009F1605">
      <w:pPr>
        <w:rPr>
          <w:b/>
          <w:bCs/>
        </w:rPr>
      </w:pPr>
    </w:p>
    <w:p w14:paraId="6DFE1DCC" w14:textId="77777777" w:rsidR="009F1605" w:rsidRPr="00C46BD8" w:rsidRDefault="009F1605" w:rsidP="009F1605">
      <w:pPr>
        <w:rPr>
          <w:b/>
          <w:bCs/>
        </w:rPr>
      </w:pPr>
    </w:p>
    <w:p w14:paraId="48CA08BB" w14:textId="77777777" w:rsidR="009F1605" w:rsidRDefault="009F1605" w:rsidP="009F1605">
      <w:bookmarkStart w:id="0" w:name="_GoBack"/>
      <w:bookmarkEnd w:id="0"/>
    </w:p>
    <w:p w14:paraId="09BDBDE3" w14:textId="77777777" w:rsidR="009F1605" w:rsidRPr="00C46BD8" w:rsidRDefault="009F1605" w:rsidP="009F1605">
      <w:pPr>
        <w:ind w:firstLine="720"/>
        <w:rPr>
          <w:b/>
          <w:bCs/>
        </w:rPr>
      </w:pPr>
      <w:r>
        <w:t xml:space="preserve"> </w:t>
      </w:r>
      <w:r>
        <w:tab/>
      </w:r>
      <w:r>
        <w:tab/>
      </w:r>
      <w:r>
        <w:tab/>
      </w:r>
      <w:r>
        <w:tab/>
      </w:r>
      <w:r w:rsidRPr="00C46BD8">
        <w:rPr>
          <w:b/>
          <w:bCs/>
        </w:rPr>
        <w:t xml:space="preserve">REGISTRAR OF LAND, BUSINESS AND CONVEYANCING </w:t>
      </w:r>
    </w:p>
    <w:p w14:paraId="4F2A59AC" w14:textId="77777777" w:rsidR="009F1605" w:rsidRPr="00C46BD8" w:rsidRDefault="009F1605" w:rsidP="009F1605">
      <w:pPr>
        <w:rPr>
          <w:b/>
          <w:bCs/>
        </w:rPr>
      </w:pPr>
      <w:r w:rsidRPr="00C46BD8">
        <w:rPr>
          <w:b/>
          <w:bCs/>
        </w:rPr>
        <w:tab/>
      </w:r>
      <w:r w:rsidRPr="00C46BD8">
        <w:rPr>
          <w:b/>
          <w:bCs/>
        </w:rPr>
        <w:tab/>
      </w:r>
      <w:r w:rsidRPr="00C46BD8">
        <w:rPr>
          <w:b/>
          <w:bCs/>
        </w:rPr>
        <w:tab/>
      </w:r>
      <w:r w:rsidRPr="00C46BD8">
        <w:rPr>
          <w:b/>
          <w:bCs/>
        </w:rPr>
        <w:tab/>
      </w:r>
      <w:r w:rsidRPr="00C46BD8">
        <w:rPr>
          <w:b/>
          <w:bCs/>
        </w:rPr>
        <w:tab/>
        <w:t>AGENTS</w:t>
      </w:r>
    </w:p>
    <w:p w14:paraId="26BEFBC5" w14:textId="77777777" w:rsidR="009F1605" w:rsidRDefault="009F1605" w:rsidP="009F1605">
      <w:r>
        <w:tab/>
      </w:r>
      <w:r>
        <w:tab/>
      </w:r>
      <w:r>
        <w:tab/>
      </w:r>
      <w:r>
        <w:tab/>
      </w:r>
      <w:r>
        <w:tab/>
      </w:r>
      <w:r>
        <w:tab/>
      </w:r>
      <w:r>
        <w:tab/>
      </w:r>
      <w:r>
        <w:tab/>
      </w:r>
      <w:r>
        <w:tab/>
        <w:t>Applicant</w:t>
      </w:r>
    </w:p>
    <w:p w14:paraId="07CD77B5" w14:textId="77777777" w:rsidR="009F1605" w:rsidRDefault="009F1605" w:rsidP="009F1605"/>
    <w:p w14:paraId="707604A3" w14:textId="77777777" w:rsidR="009F1605" w:rsidRDefault="009F1605" w:rsidP="009F1605">
      <w:pPr>
        <w:ind w:left="2880" w:firstLine="720"/>
      </w:pPr>
      <w:r>
        <w:t>AND:</w:t>
      </w:r>
    </w:p>
    <w:p w14:paraId="7A9CCFA8" w14:textId="77777777" w:rsidR="009F1605" w:rsidRDefault="009F1605" w:rsidP="009F1605"/>
    <w:p w14:paraId="1C1280E0" w14:textId="452C3D8F" w:rsidR="009F1605" w:rsidRPr="009F1605" w:rsidRDefault="009F1605" w:rsidP="009F1605">
      <w:pPr>
        <w:rPr>
          <w:b/>
          <w:bCs/>
        </w:rPr>
      </w:pPr>
      <w:r>
        <w:tab/>
      </w:r>
      <w:r>
        <w:tab/>
      </w:r>
      <w:r>
        <w:tab/>
      </w:r>
      <w:r>
        <w:tab/>
      </w:r>
      <w:r>
        <w:tab/>
      </w:r>
      <w:r>
        <w:rPr>
          <w:b/>
          <w:bCs/>
        </w:rPr>
        <w:t>ROXANNA PTY LTD</w:t>
      </w:r>
      <w:r w:rsidRPr="00C46BD8">
        <w:rPr>
          <w:b/>
          <w:bCs/>
        </w:rPr>
        <w:t xml:space="preserve"> </w:t>
      </w:r>
    </w:p>
    <w:p w14:paraId="0CE6DA95" w14:textId="77777777" w:rsidR="009F1605" w:rsidRDefault="009F1605" w:rsidP="009F1605">
      <w:r>
        <w:tab/>
      </w:r>
      <w:r>
        <w:tab/>
      </w:r>
      <w:r>
        <w:tab/>
      </w:r>
      <w:r>
        <w:tab/>
      </w:r>
      <w:r>
        <w:tab/>
      </w:r>
      <w:r>
        <w:tab/>
      </w:r>
      <w:r>
        <w:tab/>
      </w:r>
      <w:r>
        <w:tab/>
      </w:r>
      <w:r>
        <w:tab/>
        <w:t>Respondent</w:t>
      </w:r>
    </w:p>
    <w:p w14:paraId="0F5C4B5E" w14:textId="77777777" w:rsidR="009F1605" w:rsidRDefault="009F1605" w:rsidP="009F1605"/>
    <w:p w14:paraId="62C40254" w14:textId="77777777" w:rsidR="009F1605" w:rsidRDefault="009F1605" w:rsidP="009F1605"/>
    <w:p w14:paraId="149A3EAA" w14:textId="77777777" w:rsidR="009F1605" w:rsidRDefault="009F1605" w:rsidP="009F1605">
      <w:r>
        <w:t xml:space="preserve">Date of hearing: </w:t>
      </w:r>
      <w:r>
        <w:tab/>
      </w:r>
      <w:r>
        <w:tab/>
      </w:r>
      <w:r>
        <w:tab/>
        <w:t>22 February 2023</w:t>
      </w:r>
    </w:p>
    <w:p w14:paraId="7C62B3AE" w14:textId="77777777" w:rsidR="009F1605" w:rsidRDefault="009F1605" w:rsidP="009F1605"/>
    <w:p w14:paraId="719415B1" w14:textId="77777777" w:rsidR="009F1605" w:rsidRDefault="009F1605" w:rsidP="009F1605">
      <w:r>
        <w:t xml:space="preserve">Chairperson: </w:t>
      </w:r>
      <w:r>
        <w:tab/>
      </w:r>
      <w:r>
        <w:tab/>
      </w:r>
      <w:r>
        <w:tab/>
      </w:r>
      <w:r>
        <w:tab/>
        <w:t>Mr Mark Thomas</w:t>
      </w:r>
    </w:p>
    <w:p w14:paraId="59110E53" w14:textId="77777777" w:rsidR="009F1605" w:rsidRDefault="009F1605" w:rsidP="009F1605">
      <w:r>
        <w:t xml:space="preserve">Consumer representative: </w:t>
      </w:r>
      <w:r>
        <w:tab/>
      </w:r>
      <w:r>
        <w:tab/>
        <w:t>Ms Lea Aitken</w:t>
      </w:r>
    </w:p>
    <w:p w14:paraId="7E5F7D0F" w14:textId="77777777" w:rsidR="009F1605" w:rsidRDefault="009F1605" w:rsidP="009F1605">
      <w:r>
        <w:t>Departmental representative:</w:t>
      </w:r>
      <w:r>
        <w:tab/>
        <w:t>Mr Robert Bradshaw</w:t>
      </w:r>
    </w:p>
    <w:p w14:paraId="304DB2C5" w14:textId="77777777" w:rsidR="009F1605" w:rsidRDefault="009F1605" w:rsidP="009F1605"/>
    <w:p w14:paraId="2FCFEEE2" w14:textId="77777777" w:rsidR="009F1605" w:rsidRDefault="009F1605" w:rsidP="009F1605"/>
    <w:p w14:paraId="570C1A3C" w14:textId="77777777" w:rsidR="009F1605" w:rsidRDefault="009F1605" w:rsidP="009F1605">
      <w:r>
        <w:t xml:space="preserve">Appearances: </w:t>
      </w:r>
      <w:r>
        <w:tab/>
      </w:r>
      <w:r>
        <w:tab/>
      </w:r>
      <w:r>
        <w:tab/>
      </w:r>
      <w:r>
        <w:tab/>
        <w:t>Self-represented</w:t>
      </w:r>
    </w:p>
    <w:p w14:paraId="06574A3D" w14:textId="77777777" w:rsidR="009F1605" w:rsidRDefault="009F1605" w:rsidP="009F1605"/>
    <w:p w14:paraId="5DC7C2DA" w14:textId="20A3AE59" w:rsidR="009F1605" w:rsidRDefault="009F1605" w:rsidP="009F1605">
      <w:r>
        <w:t>Date of decision:</w:t>
      </w:r>
      <w:r>
        <w:tab/>
      </w:r>
      <w:r>
        <w:tab/>
      </w:r>
      <w:r>
        <w:tab/>
      </w:r>
      <w:r w:rsidR="006D0AF4">
        <w:t xml:space="preserve">30 </w:t>
      </w:r>
      <w:r>
        <w:t>Oct 2023</w:t>
      </w:r>
    </w:p>
    <w:p w14:paraId="538B03FB" w14:textId="77777777" w:rsidR="009F1605" w:rsidRDefault="009F1605" w:rsidP="009F1605"/>
    <w:p w14:paraId="3FCFDDA2" w14:textId="77777777" w:rsidR="00A80C0B" w:rsidRDefault="00A80C0B" w:rsidP="009F1605"/>
    <w:p w14:paraId="093AEC2A" w14:textId="77777777" w:rsidR="009F1605" w:rsidRDefault="009F1605" w:rsidP="009F1605"/>
    <w:p w14:paraId="3482AA66" w14:textId="77777777" w:rsidR="009F1605" w:rsidRPr="007B2F6C" w:rsidRDefault="009F1605" w:rsidP="009F1605">
      <w:pPr>
        <w:jc w:val="center"/>
        <w:rPr>
          <w:b/>
          <w:bCs/>
          <w:u w:val="single"/>
        </w:rPr>
      </w:pPr>
      <w:r w:rsidRPr="007B2F6C">
        <w:rPr>
          <w:b/>
          <w:bCs/>
          <w:u w:val="single"/>
        </w:rPr>
        <w:t>STATEMENT OF REASONS FOR DECISION</w:t>
      </w:r>
    </w:p>
    <w:p w14:paraId="743C0AD9" w14:textId="13CFEC2A" w:rsidR="00586C07" w:rsidRDefault="00586C07"/>
    <w:p w14:paraId="0C2EB692" w14:textId="77777777" w:rsidR="00A25C62" w:rsidRDefault="00A25C62">
      <w:pPr>
        <w:rPr>
          <w:b/>
          <w:bCs/>
        </w:rPr>
      </w:pPr>
    </w:p>
    <w:p w14:paraId="3EB9211E" w14:textId="771EBECD" w:rsidR="00A25C62" w:rsidRDefault="00A25C62">
      <w:pPr>
        <w:rPr>
          <w:b/>
          <w:bCs/>
        </w:rPr>
      </w:pPr>
      <w:r w:rsidRPr="00A25C62">
        <w:rPr>
          <w:b/>
          <w:bCs/>
        </w:rPr>
        <w:t>PART A: BACKGROUND</w:t>
      </w:r>
    </w:p>
    <w:p w14:paraId="1E837D32" w14:textId="77777777" w:rsidR="00C35963" w:rsidRDefault="00C35963">
      <w:pPr>
        <w:rPr>
          <w:b/>
          <w:bCs/>
        </w:rPr>
      </w:pPr>
    </w:p>
    <w:p w14:paraId="29149563" w14:textId="0DD4C834" w:rsidR="00C35963" w:rsidRDefault="00C35963" w:rsidP="00C35963">
      <w:pPr>
        <w:pStyle w:val="ListParagraph"/>
        <w:numPr>
          <w:ilvl w:val="0"/>
          <w:numId w:val="1"/>
        </w:numPr>
      </w:pPr>
      <w:r>
        <w:t>The Registrar of Land, Business and Conveyancing Agents applied, pursuant to section 68 (2)</w:t>
      </w:r>
      <w:r>
        <w:rPr>
          <w:rStyle w:val="FootnoteReference"/>
        </w:rPr>
        <w:footnoteReference w:id="1"/>
      </w:r>
      <w:r>
        <w:t xml:space="preserve"> of the Agents Licensing Act 1979 (hereafter “The Act”), for disciplinary action to be taken against a licensed agent Roxanna Pty Ltd</w:t>
      </w:r>
      <w:r>
        <w:rPr>
          <w:rStyle w:val="FootnoteReference"/>
        </w:rPr>
        <w:footnoteReference w:id="2"/>
      </w:r>
      <w:r>
        <w:t xml:space="preserve"> trading as Homezone NT.</w:t>
      </w:r>
      <w:r w:rsidR="002A18AB">
        <w:t xml:space="preserve"> Mr Roxley Pearce is the branch manager of Roxanna Pty Ltd</w:t>
      </w:r>
      <w:r w:rsidR="006D0AF4">
        <w:t>.</w:t>
      </w:r>
    </w:p>
    <w:p w14:paraId="410FE028" w14:textId="34C70337" w:rsidR="00C35963" w:rsidRPr="00C35963" w:rsidRDefault="00C35963" w:rsidP="00C35963">
      <w:pPr>
        <w:pStyle w:val="ListParagraph"/>
      </w:pPr>
    </w:p>
    <w:p w14:paraId="2872382F" w14:textId="04864A11" w:rsidR="007F7B9A" w:rsidRDefault="007F7B9A" w:rsidP="007F7B9A">
      <w:pPr>
        <w:rPr>
          <w:b/>
          <w:bCs/>
        </w:rPr>
      </w:pPr>
      <w:r w:rsidRPr="00987F7D">
        <w:rPr>
          <w:b/>
          <w:bCs/>
        </w:rPr>
        <w:t xml:space="preserve">PART B: GROUNDS </w:t>
      </w:r>
      <w:r>
        <w:rPr>
          <w:b/>
          <w:bCs/>
        </w:rPr>
        <w:t xml:space="preserve">&amp; PARTICULARS </w:t>
      </w:r>
      <w:r w:rsidRPr="00987F7D">
        <w:rPr>
          <w:b/>
          <w:bCs/>
        </w:rPr>
        <w:t>OF APPLICATION</w:t>
      </w:r>
    </w:p>
    <w:p w14:paraId="40E2295B" w14:textId="77777777" w:rsidR="007F7B9A" w:rsidRDefault="007F7B9A" w:rsidP="007F7B9A">
      <w:pPr>
        <w:rPr>
          <w:b/>
          <w:bCs/>
        </w:rPr>
      </w:pPr>
    </w:p>
    <w:p w14:paraId="3F59706F" w14:textId="5C2EBE90" w:rsidR="007F7B9A" w:rsidRDefault="007F7B9A" w:rsidP="004E7F76">
      <w:pPr>
        <w:pStyle w:val="ListParagraph"/>
        <w:numPr>
          <w:ilvl w:val="0"/>
          <w:numId w:val="1"/>
        </w:numPr>
        <w:jc w:val="both"/>
      </w:pPr>
      <w:r>
        <w:rPr>
          <w:rFonts w:ascii="Calibri" w:hAnsi="Calibri" w:cs="Calibri"/>
        </w:rPr>
        <w:t>Section</w:t>
      </w:r>
      <w:r w:rsidRPr="00987F7D">
        <w:rPr>
          <w:rFonts w:ascii="Calibri" w:hAnsi="Calibri" w:cs="Calibri"/>
        </w:rPr>
        <w:t xml:space="preserve"> 68 (2) of the Act</w:t>
      </w:r>
      <w:r>
        <w:rPr>
          <w:rFonts w:ascii="Calibri" w:hAnsi="Calibri" w:cs="Calibri"/>
        </w:rPr>
        <w:t xml:space="preserve"> </w:t>
      </w:r>
      <w:r w:rsidRPr="00987F7D">
        <w:rPr>
          <w:rFonts w:ascii="Calibri" w:hAnsi="Calibri" w:cs="Calibri"/>
        </w:rPr>
        <w:t xml:space="preserve">states that the Registrar may apply, by notice in writing, for disciplinary action to be taken against a licensed agent on one or more of the grounds </w:t>
      </w:r>
      <w:r w:rsidRPr="00987F7D">
        <w:rPr>
          <w:rFonts w:ascii="Calibri" w:hAnsi="Calibri" w:cs="Calibri"/>
        </w:rPr>
        <w:lastRenderedPageBreak/>
        <w:t>referred to in section 67</w:t>
      </w:r>
      <w:r>
        <w:rPr>
          <w:rFonts w:ascii="Calibri" w:hAnsi="Calibri" w:cs="Calibri"/>
        </w:rPr>
        <w:t xml:space="preserve"> of the Act</w:t>
      </w:r>
      <w:r w:rsidRPr="00987F7D">
        <w:rPr>
          <w:rFonts w:ascii="Calibri" w:hAnsi="Calibri" w:cs="Calibri"/>
        </w:rPr>
        <w:t xml:space="preserve">. </w:t>
      </w:r>
      <w:r w:rsidRPr="00B24F2A">
        <w:t>T</w:t>
      </w:r>
      <w:r>
        <w:t>he ground referred to in the application is contained in section 67 (m), which states:</w:t>
      </w:r>
    </w:p>
    <w:p w14:paraId="653B2D23" w14:textId="77777777" w:rsidR="007F7B9A" w:rsidRDefault="007F7B9A" w:rsidP="004E7F76">
      <w:pPr>
        <w:pStyle w:val="ListParagraph"/>
        <w:jc w:val="both"/>
      </w:pPr>
    </w:p>
    <w:p w14:paraId="2A3F7740" w14:textId="77777777" w:rsidR="007F7B9A" w:rsidRPr="00EF6D20" w:rsidRDefault="007F7B9A" w:rsidP="004E7F76">
      <w:pPr>
        <w:ind w:left="2160"/>
        <w:jc w:val="both"/>
        <w:rPr>
          <w:i/>
          <w:iCs/>
        </w:rPr>
      </w:pPr>
      <w:r>
        <w:t>“</w:t>
      </w:r>
      <w:r w:rsidRPr="00EF6D20">
        <w:rPr>
          <w:i/>
          <w:iCs/>
        </w:rPr>
        <w:t>Any other reasonable ground, which in the opinion of the Board, is sufficient to warrant revocation of the licence of the agent.”</w:t>
      </w:r>
    </w:p>
    <w:p w14:paraId="5FCE9C6D" w14:textId="77777777" w:rsidR="007F7B9A" w:rsidRPr="00BC394D" w:rsidRDefault="007F7B9A" w:rsidP="004E7F76">
      <w:pPr>
        <w:jc w:val="both"/>
      </w:pPr>
    </w:p>
    <w:p w14:paraId="74D332C8" w14:textId="77777777" w:rsidR="007F7B9A" w:rsidRDefault="007F7B9A" w:rsidP="004E7F76">
      <w:pPr>
        <w:pStyle w:val="ListParagraph"/>
        <w:numPr>
          <w:ilvl w:val="0"/>
          <w:numId w:val="1"/>
        </w:numPr>
        <w:jc w:val="both"/>
      </w:pPr>
      <w:r>
        <w:t>The Registrar in its application then refers to section s55 of the Act, which is stated in full. The principal components of s55, upon which reliance is placed, are:</w:t>
      </w:r>
    </w:p>
    <w:p w14:paraId="655015AB" w14:textId="77777777" w:rsidR="007F7B9A" w:rsidRDefault="007F7B9A" w:rsidP="004E7F76">
      <w:pPr>
        <w:pStyle w:val="ListParagraph"/>
        <w:jc w:val="both"/>
      </w:pPr>
    </w:p>
    <w:p w14:paraId="4C5C3A6E" w14:textId="77777777" w:rsidR="007F7B9A" w:rsidRPr="00F747A1" w:rsidRDefault="007F7B9A" w:rsidP="004E7F76">
      <w:pPr>
        <w:pStyle w:val="ListParagraph"/>
        <w:jc w:val="both"/>
        <w:rPr>
          <w:i/>
          <w:iCs/>
        </w:rPr>
      </w:pPr>
      <w:r w:rsidRPr="00F747A1">
        <w:rPr>
          <w:i/>
          <w:iCs/>
        </w:rPr>
        <w:t xml:space="preserve">Ss (1): a licensed agent shall keep such accounting records as disclose particulars of </w:t>
      </w:r>
    </w:p>
    <w:p w14:paraId="093A6ABA" w14:textId="77777777" w:rsidR="007F7B9A" w:rsidRPr="00F747A1" w:rsidRDefault="007F7B9A" w:rsidP="004E7F76">
      <w:pPr>
        <w:pStyle w:val="ListParagraph"/>
        <w:jc w:val="both"/>
        <w:rPr>
          <w:i/>
          <w:iCs/>
        </w:rPr>
      </w:pPr>
    </w:p>
    <w:p w14:paraId="211D101A" w14:textId="77777777" w:rsidR="007F7B9A" w:rsidRPr="00F747A1" w:rsidRDefault="007F7B9A" w:rsidP="004E7F76">
      <w:pPr>
        <w:pStyle w:val="ListParagraph"/>
        <w:numPr>
          <w:ilvl w:val="0"/>
          <w:numId w:val="3"/>
        </w:numPr>
        <w:jc w:val="both"/>
        <w:rPr>
          <w:i/>
          <w:iCs/>
        </w:rPr>
      </w:pPr>
      <w:r w:rsidRPr="00F747A1">
        <w:rPr>
          <w:i/>
          <w:iCs/>
        </w:rPr>
        <w:t xml:space="preserve">All trust moneys received from day to day by the agent on behalf of each client for whom he or she acts; and </w:t>
      </w:r>
    </w:p>
    <w:p w14:paraId="72FF8790" w14:textId="77777777" w:rsidR="007F7B9A" w:rsidRPr="00F747A1" w:rsidRDefault="007F7B9A" w:rsidP="004E7F76">
      <w:pPr>
        <w:pStyle w:val="ListParagraph"/>
        <w:numPr>
          <w:ilvl w:val="0"/>
          <w:numId w:val="3"/>
        </w:numPr>
        <w:jc w:val="both"/>
        <w:rPr>
          <w:i/>
          <w:iCs/>
        </w:rPr>
      </w:pPr>
      <w:r w:rsidRPr="00F747A1">
        <w:rPr>
          <w:i/>
          <w:iCs/>
        </w:rPr>
        <w:t>All payments made by the agent from day to day out of the trust moneys so received.</w:t>
      </w:r>
    </w:p>
    <w:p w14:paraId="5000A283" w14:textId="77777777" w:rsidR="007F7B9A" w:rsidRPr="00F747A1" w:rsidRDefault="007F7B9A" w:rsidP="004E7F76">
      <w:pPr>
        <w:rPr>
          <w:i/>
          <w:iCs/>
        </w:rPr>
      </w:pPr>
    </w:p>
    <w:p w14:paraId="43675787" w14:textId="77777777" w:rsidR="007F7B9A" w:rsidRPr="00F747A1" w:rsidRDefault="007F7B9A" w:rsidP="004E7F76">
      <w:pPr>
        <w:ind w:left="720"/>
        <w:rPr>
          <w:i/>
          <w:iCs/>
        </w:rPr>
      </w:pPr>
      <w:r w:rsidRPr="00F747A1">
        <w:rPr>
          <w:i/>
          <w:iCs/>
        </w:rPr>
        <w:t>Ss (2): a licensed agent shall …</w:t>
      </w:r>
    </w:p>
    <w:p w14:paraId="6E95AB02" w14:textId="77777777" w:rsidR="007F7B9A" w:rsidRPr="00F747A1" w:rsidRDefault="007F7B9A" w:rsidP="007F7B9A">
      <w:pPr>
        <w:ind w:left="720"/>
        <w:jc w:val="both"/>
        <w:rPr>
          <w:i/>
          <w:iCs/>
        </w:rPr>
      </w:pPr>
    </w:p>
    <w:p w14:paraId="7ECE6B2D" w14:textId="77777777" w:rsidR="007F7B9A" w:rsidRDefault="007F7B9A" w:rsidP="007F7B9A">
      <w:pPr>
        <w:pStyle w:val="ListParagraph"/>
        <w:numPr>
          <w:ilvl w:val="0"/>
          <w:numId w:val="3"/>
        </w:numPr>
        <w:jc w:val="both"/>
        <w:rPr>
          <w:i/>
          <w:iCs/>
        </w:rPr>
      </w:pPr>
      <w:r w:rsidRPr="005857F5">
        <w:rPr>
          <w:i/>
          <w:iCs/>
        </w:rPr>
        <w:t>cause those records to be kept in such a manner th</w:t>
      </w:r>
      <w:r>
        <w:rPr>
          <w:i/>
          <w:iCs/>
        </w:rPr>
        <w:t>at</w:t>
      </w:r>
      <w:r w:rsidRPr="005857F5">
        <w:rPr>
          <w:i/>
          <w:iCs/>
        </w:rPr>
        <w:t xml:space="preserve"> they can be conveniently and properly audited.</w:t>
      </w:r>
    </w:p>
    <w:p w14:paraId="4FF29C80" w14:textId="77777777" w:rsidR="007F7B9A" w:rsidRPr="005857F5" w:rsidRDefault="007F7B9A" w:rsidP="007F7B9A">
      <w:pPr>
        <w:pStyle w:val="ListParagraph"/>
        <w:ind w:left="1800"/>
        <w:jc w:val="both"/>
        <w:rPr>
          <w:i/>
          <w:iCs/>
        </w:rPr>
      </w:pPr>
    </w:p>
    <w:p w14:paraId="296ABDC8" w14:textId="77777777" w:rsidR="007F7B9A" w:rsidRDefault="007F7B9A" w:rsidP="007F7B9A">
      <w:pPr>
        <w:pStyle w:val="ListParagraph"/>
        <w:numPr>
          <w:ilvl w:val="0"/>
          <w:numId w:val="1"/>
        </w:numPr>
        <w:jc w:val="both"/>
      </w:pPr>
      <w:r>
        <w:t>Section 55 is not the only section relevant to the allegation. The others are sections 52 and 59.</w:t>
      </w:r>
    </w:p>
    <w:p w14:paraId="630BC6E5" w14:textId="77777777" w:rsidR="00B63689" w:rsidRDefault="00B63689" w:rsidP="00B63689">
      <w:pPr>
        <w:pStyle w:val="ListParagraph"/>
        <w:jc w:val="both"/>
      </w:pPr>
    </w:p>
    <w:p w14:paraId="778EC86A" w14:textId="70ED5B0A" w:rsidR="00846E00" w:rsidRDefault="00846E00" w:rsidP="007F7B9A">
      <w:pPr>
        <w:pStyle w:val="ListParagraph"/>
        <w:numPr>
          <w:ilvl w:val="0"/>
          <w:numId w:val="1"/>
        </w:numPr>
        <w:jc w:val="both"/>
      </w:pPr>
      <w:r>
        <w:t>The particulars of the allegation forming the basis of the ground are</w:t>
      </w:r>
      <w:r w:rsidR="00E17B86">
        <w:t xml:space="preserve"> stated</w:t>
      </w:r>
      <w:r>
        <w:t xml:space="preserve"> as follows:</w:t>
      </w:r>
    </w:p>
    <w:p w14:paraId="62990800" w14:textId="77777777" w:rsidR="00846E00" w:rsidRDefault="00846E00" w:rsidP="00846E00">
      <w:pPr>
        <w:pStyle w:val="ListParagraph"/>
        <w:jc w:val="both"/>
      </w:pPr>
    </w:p>
    <w:p w14:paraId="38925370" w14:textId="5628EFCD" w:rsidR="00846E00" w:rsidRDefault="00846E00" w:rsidP="00846E00">
      <w:pPr>
        <w:pStyle w:val="ListParagraph"/>
        <w:numPr>
          <w:ilvl w:val="1"/>
          <w:numId w:val="1"/>
        </w:numPr>
        <w:jc w:val="both"/>
      </w:pPr>
      <w:r>
        <w:t xml:space="preserve">Ms Lina Gilmour of </w:t>
      </w:r>
      <w:r w:rsidRPr="00846E00">
        <w:rPr>
          <w:i/>
          <w:iCs/>
        </w:rPr>
        <w:t>Absolute Accounting</w:t>
      </w:r>
      <w:r>
        <w:t xml:space="preserve"> advised that she was unable to reconcile the annual return for Roxanna Pty Ltd for the year ending 30 June 2021. She outlined her concerns to the Dept at D</w:t>
      </w:r>
      <w:r w:rsidR="00DA1C4E">
        <w:t xml:space="preserve">OCUMENT 5, ATTACHMENT </w:t>
      </w:r>
      <w:r>
        <w:t>B. Those concerns included rent receipts being mistakenly receipted twice; bonds mistakenly receipted as rent; some tenancies, consequently, having a nil security deposit; multiple tenancy files requiring refunds, which did not occur; lack of understanding of the reconciliation process; non-recording of transfers from the trust to office account;</w:t>
      </w:r>
    </w:p>
    <w:p w14:paraId="2E0FD646" w14:textId="77777777" w:rsidR="00B63689" w:rsidRDefault="00B63689" w:rsidP="00B63689">
      <w:pPr>
        <w:pStyle w:val="ListParagraph"/>
        <w:ind w:left="1080"/>
        <w:jc w:val="both"/>
      </w:pPr>
    </w:p>
    <w:p w14:paraId="5276B866" w14:textId="38FEB572" w:rsidR="00846E00" w:rsidRDefault="00846E00" w:rsidP="00846E00">
      <w:pPr>
        <w:pStyle w:val="ListParagraph"/>
        <w:numPr>
          <w:ilvl w:val="1"/>
          <w:numId w:val="1"/>
        </w:numPr>
        <w:jc w:val="both"/>
      </w:pPr>
      <w:r>
        <w:t>Mr Peter Hill, auditor of Perks, advised that he had resigned as auditor due to the issues specified by Ms Lina Gilmour;</w:t>
      </w:r>
    </w:p>
    <w:p w14:paraId="6DFAA1F6" w14:textId="77777777" w:rsidR="00B63689" w:rsidRDefault="00B63689" w:rsidP="00B63689">
      <w:pPr>
        <w:pStyle w:val="ListParagraph"/>
      </w:pPr>
    </w:p>
    <w:p w14:paraId="6CF7801C" w14:textId="77777777" w:rsidR="00B63689" w:rsidRDefault="00B63689" w:rsidP="00B63689">
      <w:pPr>
        <w:jc w:val="both"/>
      </w:pPr>
    </w:p>
    <w:p w14:paraId="7B7CBC97" w14:textId="6623934C" w:rsidR="00846E00" w:rsidRDefault="00E17B86" w:rsidP="00846E00">
      <w:pPr>
        <w:pStyle w:val="ListParagraph"/>
        <w:numPr>
          <w:ilvl w:val="1"/>
          <w:numId w:val="1"/>
        </w:numPr>
        <w:jc w:val="both"/>
      </w:pPr>
      <w:r>
        <w:t xml:space="preserve">Mr Roxley Pearce sought an extension of time to complete and submit the audit due to the auditor’s </w:t>
      </w:r>
      <w:r w:rsidR="00880FF8">
        <w:t>resignation</w:t>
      </w:r>
      <w:r>
        <w:t>;</w:t>
      </w:r>
    </w:p>
    <w:p w14:paraId="1DE3AFE3" w14:textId="77777777" w:rsidR="00B63689" w:rsidRDefault="00B63689" w:rsidP="00B63689">
      <w:pPr>
        <w:pStyle w:val="ListParagraph"/>
        <w:ind w:left="1080"/>
        <w:jc w:val="both"/>
      </w:pPr>
    </w:p>
    <w:p w14:paraId="2056FDE2" w14:textId="1D0E1261" w:rsidR="00E17B86" w:rsidRDefault="00E17B86" w:rsidP="00846E00">
      <w:pPr>
        <w:pStyle w:val="ListParagraph"/>
        <w:numPr>
          <w:ilvl w:val="1"/>
          <w:numId w:val="1"/>
        </w:numPr>
        <w:jc w:val="both"/>
      </w:pPr>
      <w:r>
        <w:t>Mr McLaren of the Dept sent formal correspondence to Mr Pearce on 14 Sept 2021 in which he made Mr Pearce aware of the deficiencies identified by Ms Gilmour;</w:t>
      </w:r>
    </w:p>
    <w:p w14:paraId="0BD7AAE4" w14:textId="77777777" w:rsidR="00B63689" w:rsidRDefault="00B63689" w:rsidP="00B63689">
      <w:pPr>
        <w:jc w:val="both"/>
      </w:pPr>
    </w:p>
    <w:p w14:paraId="2230F64C" w14:textId="2710E04C" w:rsidR="00E17B86" w:rsidRDefault="00E17B86" w:rsidP="00846E00">
      <w:pPr>
        <w:pStyle w:val="ListParagraph"/>
        <w:numPr>
          <w:ilvl w:val="1"/>
          <w:numId w:val="1"/>
        </w:numPr>
        <w:jc w:val="both"/>
      </w:pPr>
      <w:r>
        <w:lastRenderedPageBreak/>
        <w:t xml:space="preserve">At the invitation of Occupational Licensing Mr Pearce attending a meeting with the Dept on 14 September </w:t>
      </w:r>
      <w:r w:rsidRPr="00A42E9D">
        <w:rPr>
          <w:b/>
          <w:bCs/>
          <w:u w:val="single"/>
        </w:rPr>
        <w:t>202</w:t>
      </w:r>
      <w:r w:rsidR="006D0AF4">
        <w:rPr>
          <w:b/>
          <w:bCs/>
          <w:u w:val="single"/>
        </w:rPr>
        <w:t>1</w:t>
      </w:r>
      <w:r w:rsidR="003C1037">
        <w:rPr>
          <w:rStyle w:val="FootnoteReference"/>
        </w:rPr>
        <w:footnoteReference w:id="3"/>
      </w:r>
      <w:r w:rsidR="00880FF8">
        <w:t xml:space="preserve"> </w:t>
      </w:r>
      <w:r>
        <w:t>to discuss the request for an extension of time;</w:t>
      </w:r>
    </w:p>
    <w:p w14:paraId="47CFFDB6" w14:textId="77777777" w:rsidR="00B63689" w:rsidRDefault="00B63689" w:rsidP="00B63689">
      <w:pPr>
        <w:jc w:val="both"/>
      </w:pPr>
    </w:p>
    <w:p w14:paraId="067AEDF2" w14:textId="41786DC0" w:rsidR="00E17B86" w:rsidRDefault="00E17B86" w:rsidP="00846E00">
      <w:pPr>
        <w:pStyle w:val="ListParagraph"/>
        <w:numPr>
          <w:ilvl w:val="1"/>
          <w:numId w:val="1"/>
        </w:numPr>
        <w:jc w:val="both"/>
      </w:pPr>
      <w:r>
        <w:t xml:space="preserve">At the </w:t>
      </w:r>
      <w:r w:rsidR="00880FF8">
        <w:t xml:space="preserve">meeting on </w:t>
      </w:r>
      <w:r>
        <w:t>14 September 202</w:t>
      </w:r>
      <w:r w:rsidR="00880FF8">
        <w:t>1</w:t>
      </w:r>
      <w:r>
        <w:t xml:space="preserve"> Mr McLaren issued Mr Pearce formal correspondence setting out the concerns raised by Ms Gilmour and Mr Hill;</w:t>
      </w:r>
    </w:p>
    <w:p w14:paraId="19158306" w14:textId="77777777" w:rsidR="00B63689" w:rsidRDefault="00B63689" w:rsidP="00B63689">
      <w:pPr>
        <w:jc w:val="both"/>
      </w:pPr>
    </w:p>
    <w:p w14:paraId="04C0E8B9" w14:textId="713F67CD" w:rsidR="00E17B86" w:rsidRDefault="00E17B86" w:rsidP="00846E00">
      <w:pPr>
        <w:pStyle w:val="ListParagraph"/>
        <w:numPr>
          <w:ilvl w:val="1"/>
          <w:numId w:val="1"/>
        </w:numPr>
        <w:jc w:val="both"/>
      </w:pPr>
      <w:r>
        <w:t>At the 14 Sept 202</w:t>
      </w:r>
      <w:r w:rsidR="00880FF8">
        <w:t>1</w:t>
      </w:r>
      <w:r>
        <w:t xml:space="preserve"> meeting Mr Pearce advised that Perks had now agreed to undertake the audit </w:t>
      </w:r>
      <w:r w:rsidR="00AD620D">
        <w:t>provided the</w:t>
      </w:r>
      <w:r>
        <w:t xml:space="preserve"> software known as </w:t>
      </w:r>
      <w:r w:rsidRPr="00F329A1">
        <w:rPr>
          <w:i/>
          <w:iCs/>
        </w:rPr>
        <w:t>Property Tree</w:t>
      </w:r>
      <w:r>
        <w:t xml:space="preserve"> was corrected and the accounts in order. Mr Pearce advised that the audit could commence in Nov 2021;</w:t>
      </w:r>
    </w:p>
    <w:p w14:paraId="19ABCCFF" w14:textId="77777777" w:rsidR="00B63689" w:rsidRDefault="00B63689" w:rsidP="00B63689">
      <w:pPr>
        <w:jc w:val="both"/>
      </w:pPr>
    </w:p>
    <w:p w14:paraId="48E49D56" w14:textId="099EAAEF" w:rsidR="00E17B86" w:rsidRDefault="00E17B86" w:rsidP="00E17B86">
      <w:pPr>
        <w:pStyle w:val="ListParagraph"/>
        <w:numPr>
          <w:ilvl w:val="1"/>
          <w:numId w:val="1"/>
        </w:numPr>
        <w:jc w:val="both"/>
      </w:pPr>
      <w:r>
        <w:t>Mr Pearce has not been able to provide an audit for the trust account of Roxanna for the financial year ending 30 June 2021.</w:t>
      </w:r>
    </w:p>
    <w:p w14:paraId="757318D0" w14:textId="77777777" w:rsidR="00880FF8" w:rsidRDefault="00880FF8" w:rsidP="00880FF8">
      <w:pPr>
        <w:pStyle w:val="ListParagraph"/>
        <w:ind w:left="1080"/>
        <w:jc w:val="both"/>
      </w:pPr>
    </w:p>
    <w:p w14:paraId="33B3C4CC" w14:textId="1DD406FF" w:rsidR="00880FF8" w:rsidRDefault="00880FF8" w:rsidP="00880FF8">
      <w:pPr>
        <w:pStyle w:val="ListParagraph"/>
        <w:numPr>
          <w:ilvl w:val="0"/>
          <w:numId w:val="1"/>
        </w:numPr>
        <w:jc w:val="both"/>
      </w:pPr>
      <w:r>
        <w:t xml:space="preserve">Of </w:t>
      </w:r>
      <w:r w:rsidR="00AD620D">
        <w:t>the items</w:t>
      </w:r>
      <w:r>
        <w:t xml:space="preserve"> in para [5] which are stated to</w:t>
      </w:r>
      <w:r w:rsidR="00B63689">
        <w:t xml:space="preserve"> be</w:t>
      </w:r>
      <w:r>
        <w:t xml:space="preserve"> particulars of the ground, it is only </w:t>
      </w:r>
      <w:r w:rsidR="00B63689">
        <w:t>t</w:t>
      </w:r>
      <w:r>
        <w:t xml:space="preserve">he first </w:t>
      </w:r>
      <w:r w:rsidR="00B63689">
        <w:t>sub-clause</w:t>
      </w:r>
      <w:r>
        <w:t xml:space="preserve"> that provide specific particulars of the ground, namely details of the failure to provide appropriate records for the purpose </w:t>
      </w:r>
      <w:r w:rsidR="00AD620D">
        <w:t>of s</w:t>
      </w:r>
      <w:r>
        <w:t xml:space="preserve"> 55 of the Act. The other items address the </w:t>
      </w:r>
      <w:r w:rsidR="00DA1C4E">
        <w:t xml:space="preserve">history of the matter, namely the </w:t>
      </w:r>
      <w:r>
        <w:t xml:space="preserve">resignation of the auditor, the application </w:t>
      </w:r>
      <w:r w:rsidR="00B63689">
        <w:t xml:space="preserve">for an </w:t>
      </w:r>
      <w:r>
        <w:t>extension</w:t>
      </w:r>
      <w:r w:rsidR="00817841">
        <w:t xml:space="preserve"> of time to file the audit</w:t>
      </w:r>
      <w:r>
        <w:t xml:space="preserve">, </w:t>
      </w:r>
      <w:r w:rsidR="00B63689">
        <w:t xml:space="preserve">the failure to provide an audit, </w:t>
      </w:r>
      <w:r w:rsidR="00AD620D">
        <w:t>and, finally</w:t>
      </w:r>
      <w:r w:rsidR="00817841">
        <w:t>,</w:t>
      </w:r>
      <w:r>
        <w:t xml:space="preserve"> present a history of the interactions between Mr Pearce and the Department concerning the 14 Sept 2021 meeting.</w:t>
      </w:r>
    </w:p>
    <w:p w14:paraId="37881C95" w14:textId="77777777" w:rsidR="00E17B86" w:rsidRDefault="00E17B86" w:rsidP="00E17B86">
      <w:pPr>
        <w:pStyle w:val="ListParagraph"/>
        <w:ind w:left="1080"/>
        <w:jc w:val="both"/>
      </w:pPr>
    </w:p>
    <w:p w14:paraId="3D6D7986" w14:textId="49093F1E" w:rsidR="004D09F3" w:rsidRPr="00837A7C" w:rsidRDefault="004D09F3" w:rsidP="00837A7C">
      <w:pPr>
        <w:jc w:val="both"/>
        <w:rPr>
          <w:b/>
          <w:bCs/>
        </w:rPr>
      </w:pPr>
      <w:r w:rsidRPr="00837A7C">
        <w:rPr>
          <w:b/>
          <w:bCs/>
        </w:rPr>
        <w:t>PART C: OUTLINE OF EVENTS TO DATE OF HEARING</w:t>
      </w:r>
    </w:p>
    <w:p w14:paraId="7594CBD6" w14:textId="77777777" w:rsidR="004D09F3" w:rsidRPr="004D09F3" w:rsidRDefault="004D09F3" w:rsidP="00E17B86">
      <w:pPr>
        <w:pStyle w:val="ListParagraph"/>
        <w:ind w:left="1080"/>
        <w:jc w:val="both"/>
        <w:rPr>
          <w:b/>
          <w:bCs/>
        </w:rPr>
      </w:pPr>
    </w:p>
    <w:p w14:paraId="5FBCF642" w14:textId="21D87DE7" w:rsidR="004D09F3" w:rsidRDefault="007D3C23" w:rsidP="00E17B86">
      <w:pPr>
        <w:pStyle w:val="ListParagraph"/>
        <w:numPr>
          <w:ilvl w:val="0"/>
          <w:numId w:val="1"/>
        </w:numPr>
        <w:jc w:val="both"/>
      </w:pPr>
      <w:r>
        <w:t xml:space="preserve">Mr Pearce made an application to the Registrar to grant a further extension of time in which to lodge the trust account audit for the year ending 30/6/21. He sought </w:t>
      </w:r>
      <w:r w:rsidR="002A2463">
        <w:t xml:space="preserve">an extension to </w:t>
      </w:r>
      <w:r>
        <w:t>30/9/2022 and proposed to lodge audits for both the financial year</w:t>
      </w:r>
      <w:r w:rsidR="00546291">
        <w:t>s</w:t>
      </w:r>
      <w:r>
        <w:t xml:space="preserve"> ending 30/6/2021 and 30/6/2022 at the same time. </w:t>
      </w:r>
      <w:r w:rsidR="002A2463">
        <w:t>On 20 April 2022 t</w:t>
      </w:r>
      <w:r>
        <w:t>h</w:t>
      </w:r>
      <w:r w:rsidR="002A2463">
        <w:t>e Dept granted this</w:t>
      </w:r>
      <w:r>
        <w:t xml:space="preserve"> request</w:t>
      </w:r>
      <w:r w:rsidR="002A2463">
        <w:t>.</w:t>
      </w:r>
    </w:p>
    <w:p w14:paraId="5B4B9BE8" w14:textId="77777777" w:rsidR="007D3C23" w:rsidRDefault="007D3C23" w:rsidP="007D3C23">
      <w:pPr>
        <w:pStyle w:val="ListParagraph"/>
        <w:jc w:val="both"/>
      </w:pPr>
    </w:p>
    <w:p w14:paraId="6D22059D" w14:textId="6FE8CDD0" w:rsidR="007D3C23" w:rsidRDefault="007D3C23" w:rsidP="00E17B86">
      <w:pPr>
        <w:pStyle w:val="ListParagraph"/>
        <w:numPr>
          <w:ilvl w:val="0"/>
          <w:numId w:val="1"/>
        </w:numPr>
        <w:jc w:val="both"/>
      </w:pPr>
      <w:r>
        <w:t xml:space="preserve">On 11/3/2022 Mr Pearce advised that he had located </w:t>
      </w:r>
      <w:r w:rsidR="00546291">
        <w:t>an</w:t>
      </w:r>
      <w:r>
        <w:t xml:space="preserve"> accounting </w:t>
      </w:r>
      <w:r w:rsidR="00546291">
        <w:t xml:space="preserve">firm </w:t>
      </w:r>
      <w:r>
        <w:t>named Hastings and Co</w:t>
      </w:r>
      <w:r w:rsidR="00546291">
        <w:t xml:space="preserve">, who specialised in an accounting property management software system named </w:t>
      </w:r>
      <w:r w:rsidR="00546291" w:rsidRPr="00546291">
        <w:rPr>
          <w:i/>
          <w:iCs/>
        </w:rPr>
        <w:t>Property Tree</w:t>
      </w:r>
      <w:r>
        <w:t>, and that Roxanna was working to rectify the trust accounts.</w:t>
      </w:r>
    </w:p>
    <w:p w14:paraId="501B1D69" w14:textId="77777777" w:rsidR="007D3C23" w:rsidRDefault="007D3C23" w:rsidP="007D3C23">
      <w:pPr>
        <w:pStyle w:val="ListParagraph"/>
      </w:pPr>
    </w:p>
    <w:p w14:paraId="6AF83BCD" w14:textId="3BA7F752" w:rsidR="007D3C23" w:rsidRDefault="0026677B" w:rsidP="00E17B86">
      <w:pPr>
        <w:pStyle w:val="ListParagraph"/>
        <w:numPr>
          <w:ilvl w:val="0"/>
          <w:numId w:val="1"/>
        </w:numPr>
        <w:jc w:val="both"/>
      </w:pPr>
      <w:r>
        <w:t xml:space="preserve">For approximately 2 years </w:t>
      </w:r>
      <w:r w:rsidR="002A2463">
        <w:t>Roxanna</w:t>
      </w:r>
      <w:r w:rsidR="00546291">
        <w:t xml:space="preserve"> Pty Ltd</w:t>
      </w:r>
      <w:r w:rsidR="002A2463">
        <w:t xml:space="preserve"> employed a property manager named Ms Paige To</w:t>
      </w:r>
      <w:r w:rsidR="00546291">
        <w:t>rne</w:t>
      </w:r>
      <w:r w:rsidR="002A2463">
        <w:t xml:space="preserve">y. Her </w:t>
      </w:r>
      <w:r>
        <w:t xml:space="preserve">interim registration as an </w:t>
      </w:r>
      <w:r w:rsidR="00AD620D">
        <w:t>agent’s</w:t>
      </w:r>
      <w:r>
        <w:t xml:space="preserve"> representative </w:t>
      </w:r>
      <w:r w:rsidR="002A2463">
        <w:t xml:space="preserve">expired on 1 May 2020. She continued to operate unlicensed after that date (DOCUMENT 5, ANNEXURE A). She has since left Roxanna. Employment of a non-licensed agent is not one of the particulars. Nevertheless, this state of affairs did not </w:t>
      </w:r>
      <w:r w:rsidR="00AD620D">
        <w:t>assist Roxanna</w:t>
      </w:r>
      <w:r w:rsidR="002A2463">
        <w:t xml:space="preserve"> to get its trust accounting system </w:t>
      </w:r>
      <w:r w:rsidR="00546291">
        <w:t>in order.</w:t>
      </w:r>
    </w:p>
    <w:p w14:paraId="420E3732" w14:textId="77777777" w:rsidR="00DE7EEB" w:rsidRDefault="00DE7EEB" w:rsidP="00DE7EEB">
      <w:pPr>
        <w:pStyle w:val="ListParagraph"/>
      </w:pPr>
    </w:p>
    <w:p w14:paraId="4EF32915" w14:textId="0BC60F1E" w:rsidR="0026677B" w:rsidRPr="00DE7EEB" w:rsidRDefault="00DE7EEB" w:rsidP="00DE7EEB">
      <w:pPr>
        <w:rPr>
          <w:b/>
          <w:bCs/>
        </w:rPr>
      </w:pPr>
      <w:r>
        <w:rPr>
          <w:b/>
          <w:bCs/>
        </w:rPr>
        <w:t>P</w:t>
      </w:r>
      <w:r w:rsidR="0026677B" w:rsidRPr="00DE7EEB">
        <w:rPr>
          <w:b/>
          <w:bCs/>
        </w:rPr>
        <w:t>ART D: THE INQUIRY OF 22 FEBRUARY 2023</w:t>
      </w:r>
    </w:p>
    <w:p w14:paraId="3502348E" w14:textId="77777777" w:rsidR="0026677B" w:rsidRDefault="0026677B" w:rsidP="002A2463">
      <w:pPr>
        <w:pStyle w:val="ListParagraph"/>
      </w:pPr>
    </w:p>
    <w:p w14:paraId="7147E3F7" w14:textId="69176F19" w:rsidR="002A2463" w:rsidRDefault="0026677B" w:rsidP="00E17B86">
      <w:pPr>
        <w:pStyle w:val="ListParagraph"/>
        <w:numPr>
          <w:ilvl w:val="0"/>
          <w:numId w:val="1"/>
        </w:numPr>
        <w:jc w:val="both"/>
      </w:pPr>
      <w:r>
        <w:lastRenderedPageBreak/>
        <w:t xml:space="preserve">Mr Roxley Pearce appeared before the Board unrepresented. </w:t>
      </w:r>
      <w:r w:rsidR="00340EB0">
        <w:t xml:space="preserve">The material tendered (exhibit 1) was the Application for Disciplinary Action against Roxanna Pty Ltd DOCUMENT 1); email correspondence between Mr Pearce and the Dept regarding a bookkeeper (DOCUMENT 2); emails concerning a meeting with Mr Pearce (DOCUMENT 3); emails concerning an application for extension of the </w:t>
      </w:r>
      <w:r w:rsidR="00AD620D">
        <w:t>audit filing</w:t>
      </w:r>
      <w:r w:rsidR="00340EB0">
        <w:t xml:space="preserve"> time DOCUMENT 4); Compliance report and Annexures A, B, C, D and H (DOCUMENT 5).</w:t>
      </w:r>
    </w:p>
    <w:p w14:paraId="0803F8CF" w14:textId="77777777" w:rsidR="00DF5DA0" w:rsidRDefault="00DF5DA0" w:rsidP="00DF5DA0">
      <w:pPr>
        <w:pStyle w:val="ListParagraph"/>
        <w:jc w:val="both"/>
      </w:pPr>
    </w:p>
    <w:p w14:paraId="4735D911" w14:textId="5AB99B22" w:rsidR="00340EB0" w:rsidRPr="005857F5" w:rsidRDefault="00DF5DA0" w:rsidP="00E17B86">
      <w:pPr>
        <w:pStyle w:val="ListParagraph"/>
        <w:numPr>
          <w:ilvl w:val="0"/>
          <w:numId w:val="1"/>
        </w:numPr>
        <w:jc w:val="both"/>
      </w:pPr>
      <w:r>
        <w:t>Mr Pearce candidly admitted that the breach</w:t>
      </w:r>
      <w:r w:rsidR="00DE7EEB">
        <w:t>es</w:t>
      </w:r>
      <w:r>
        <w:t xml:space="preserve"> of section </w:t>
      </w:r>
      <w:r w:rsidR="00AD620D">
        <w:t>55 of</w:t>
      </w:r>
      <w:r w:rsidR="00316376">
        <w:t xml:space="preserve"> the Act </w:t>
      </w:r>
      <w:r>
        <w:t>w</w:t>
      </w:r>
      <w:r w:rsidR="00DE7EEB">
        <w:t>ere</w:t>
      </w:r>
      <w:r>
        <w:t xml:space="preserve"> made out. He said that he had </w:t>
      </w:r>
      <w:r w:rsidR="00316376">
        <w:t xml:space="preserve">been </w:t>
      </w:r>
      <w:r w:rsidR="00F850B0">
        <w:t xml:space="preserve">affected (adversely) </w:t>
      </w:r>
      <w:r w:rsidR="00AD620D">
        <w:t>by Ms</w:t>
      </w:r>
      <w:r w:rsidR="00DE7EEB">
        <w:t xml:space="preserve"> </w:t>
      </w:r>
      <w:r>
        <w:t xml:space="preserve">Torney’s </w:t>
      </w:r>
      <w:r w:rsidR="00F850B0">
        <w:t xml:space="preserve">work </w:t>
      </w:r>
      <w:r>
        <w:t>in Roxanna</w:t>
      </w:r>
      <w:r w:rsidR="00DE7EEB">
        <w:t xml:space="preserve">. </w:t>
      </w:r>
      <w:r w:rsidR="00AD620D">
        <w:t>He had</w:t>
      </w:r>
      <w:r w:rsidR="00DE7EEB">
        <w:t xml:space="preserve"> to terminate her employment. </w:t>
      </w:r>
      <w:r>
        <w:t xml:space="preserve">  He said that he had spent $9,900 of his own money to </w:t>
      </w:r>
      <w:r w:rsidR="00DE7EEB">
        <w:t xml:space="preserve">in an endeavour to </w:t>
      </w:r>
      <w:r>
        <w:t xml:space="preserve">put the rental trust account in order. He said he was not aware that after 1 May 2020 Ms Torney was working whilst unlicensed. He accepted that for a lengthy period of </w:t>
      </w:r>
      <w:r w:rsidR="00AD620D">
        <w:t>time the</w:t>
      </w:r>
      <w:r w:rsidR="00DE7EEB">
        <w:t xml:space="preserve"> trust account was not compliant with the law. It was obvious that Roxanna’s trust account records were seriously defective for the reasons specified by Ms Lina Gilmour.  Mr Pearce said that he had no defence and that he was in the process of trying to remedy the problem.</w:t>
      </w:r>
    </w:p>
    <w:p w14:paraId="061426FF" w14:textId="77777777" w:rsidR="00A25C62" w:rsidRDefault="00A25C62"/>
    <w:p w14:paraId="6D8F359E" w14:textId="35713E5E" w:rsidR="00DE7EEB" w:rsidRPr="00DE7EEB" w:rsidRDefault="00DE7EEB">
      <w:pPr>
        <w:rPr>
          <w:b/>
          <w:bCs/>
        </w:rPr>
      </w:pPr>
      <w:r w:rsidRPr="00DE7EEB">
        <w:rPr>
          <w:b/>
          <w:bCs/>
        </w:rPr>
        <w:t>PART E: THE BOARD’S FINDINGS</w:t>
      </w:r>
    </w:p>
    <w:p w14:paraId="4739302B" w14:textId="77777777" w:rsidR="00DE7EEB" w:rsidRDefault="00DE7EEB"/>
    <w:p w14:paraId="40BC4502" w14:textId="7BEABDBB" w:rsidR="00DE7EEB" w:rsidRDefault="00316376" w:rsidP="00A717DB">
      <w:pPr>
        <w:pStyle w:val="ListParagraph"/>
        <w:numPr>
          <w:ilvl w:val="0"/>
          <w:numId w:val="1"/>
        </w:numPr>
        <w:jc w:val="both"/>
      </w:pPr>
      <w:r>
        <w:t xml:space="preserve">The issues regarding Roxanna’s trust account </w:t>
      </w:r>
      <w:r w:rsidR="00AD620D">
        <w:t>have</w:t>
      </w:r>
      <w:r>
        <w:t xml:space="preserve"> been a protracted problem for a number of years. </w:t>
      </w:r>
      <w:r w:rsidR="00A717DB">
        <w:t>There is no issue that</w:t>
      </w:r>
      <w:r w:rsidR="002B270B">
        <w:t xml:space="preserve"> </w:t>
      </w:r>
      <w:r w:rsidR="00A717DB">
        <w:t>the particulars relating to the ground are made out. There have been many delays preceding the hearing of this matter, not all of which are the fault of Roxanna. They include the delay from the date of the filing of the Registrar’s application (on/about 3 August 202</w:t>
      </w:r>
      <w:r w:rsidR="002B270B">
        <w:t>2</w:t>
      </w:r>
      <w:r w:rsidR="00AD620D">
        <w:t>) and the</w:t>
      </w:r>
      <w:r w:rsidR="00A717DB">
        <w:t xml:space="preserve"> hearing in February 2023.</w:t>
      </w:r>
    </w:p>
    <w:p w14:paraId="3EA9F2FA" w14:textId="77777777" w:rsidR="00A717DB" w:rsidRDefault="00A717DB" w:rsidP="00A717DB">
      <w:pPr>
        <w:pStyle w:val="ListParagraph"/>
        <w:jc w:val="both"/>
      </w:pPr>
    </w:p>
    <w:p w14:paraId="1E072C10" w14:textId="79948510" w:rsidR="00A717DB" w:rsidRPr="002B270B" w:rsidRDefault="00A717DB" w:rsidP="00A717DB">
      <w:pPr>
        <w:pStyle w:val="ListParagraph"/>
        <w:numPr>
          <w:ilvl w:val="0"/>
          <w:numId w:val="1"/>
        </w:numPr>
        <w:jc w:val="both"/>
        <w:rPr>
          <w:i/>
          <w:iCs/>
        </w:rPr>
      </w:pPr>
      <w:r>
        <w:t xml:space="preserve">The state of </w:t>
      </w:r>
      <w:r w:rsidR="004E11B6">
        <w:t>Roxanna’s</w:t>
      </w:r>
      <w:r>
        <w:t xml:space="preserve"> trust account records was clearly very poor. </w:t>
      </w:r>
      <w:r w:rsidR="004E11B6">
        <w:t>It was affected by a</w:t>
      </w:r>
      <w:r>
        <w:t xml:space="preserve"> chronic issue constituted by a failure by those charged with administering the trust accounting system to not </w:t>
      </w:r>
      <w:r w:rsidR="00F850B0">
        <w:t xml:space="preserve">properly </w:t>
      </w:r>
      <w:r>
        <w:t>understand</w:t>
      </w:r>
      <w:r w:rsidR="004E11B6">
        <w:t xml:space="preserve"> and implement</w:t>
      </w:r>
      <w:r>
        <w:t xml:space="preserve"> their obligations under s 55. </w:t>
      </w:r>
      <w:r w:rsidR="00AD620D">
        <w:t>There also</w:t>
      </w:r>
      <w:r>
        <w:t xml:space="preserve"> appeared to be a systems failure regarding the competent use of </w:t>
      </w:r>
      <w:r w:rsidRPr="002B270B">
        <w:rPr>
          <w:i/>
          <w:iCs/>
        </w:rPr>
        <w:t xml:space="preserve">Property Tree </w:t>
      </w:r>
      <w:r>
        <w:t xml:space="preserve">to administer the trust account system. </w:t>
      </w:r>
      <w:r w:rsidR="004E11B6">
        <w:t xml:space="preserve"> A further failure was not </w:t>
      </w:r>
      <w:r w:rsidR="00AD620D">
        <w:t>ensuring that</w:t>
      </w:r>
      <w:r w:rsidR="004E11B6">
        <w:t xml:space="preserve"> monthly reconciliations of the trust account w</w:t>
      </w:r>
      <w:r w:rsidR="00CA1DF8">
        <w:t xml:space="preserve">ere </w:t>
      </w:r>
      <w:r w:rsidR="004E11B6">
        <w:t xml:space="preserve">done- </w:t>
      </w:r>
      <w:r w:rsidR="008E6795">
        <w:t>in order</w:t>
      </w:r>
      <w:r w:rsidR="004E11B6">
        <w:t xml:space="preserve"> to identify problems with the trust account at an early stage. Fixing these </w:t>
      </w:r>
      <w:r>
        <w:t>problem</w:t>
      </w:r>
      <w:r w:rsidR="00C14387">
        <w:t>s</w:t>
      </w:r>
      <w:r>
        <w:t xml:space="preserve"> was not assisted by </w:t>
      </w:r>
      <w:r w:rsidR="002B270B">
        <w:t>a problem in retaining trust account auditors.</w:t>
      </w:r>
    </w:p>
    <w:p w14:paraId="0DFC5202" w14:textId="77777777" w:rsidR="002B270B" w:rsidRPr="002B270B" w:rsidRDefault="002B270B" w:rsidP="002B270B">
      <w:pPr>
        <w:jc w:val="both"/>
        <w:rPr>
          <w:i/>
          <w:iCs/>
        </w:rPr>
      </w:pPr>
    </w:p>
    <w:p w14:paraId="34899ADF" w14:textId="539DE240" w:rsidR="00A717DB" w:rsidRDefault="004E11B6" w:rsidP="00A717DB">
      <w:pPr>
        <w:pStyle w:val="ListParagraph"/>
        <w:numPr>
          <w:ilvl w:val="0"/>
          <w:numId w:val="1"/>
        </w:numPr>
        <w:jc w:val="both"/>
      </w:pPr>
      <w:r>
        <w:t>The breaches of s 55, which are specified by Ms Lina Gilmour at DOCUMENT 5, ATTACHMENT B, constitute key breaches of core requirements of Roxanna’s trust account legal obligations, namely, to keep records as to the details of those monies, that is who they are obtained from and when. This is a key responsibility to the public, the failure of which can lead to integral issues concerning a general lowering of trust in real estate agents.</w:t>
      </w:r>
    </w:p>
    <w:p w14:paraId="2330108F" w14:textId="77777777" w:rsidR="004E11B6" w:rsidRDefault="004E11B6" w:rsidP="004E11B6">
      <w:pPr>
        <w:pStyle w:val="ListParagraph"/>
      </w:pPr>
    </w:p>
    <w:p w14:paraId="4A54B114" w14:textId="170F529B" w:rsidR="004E11B6" w:rsidRPr="00D86040" w:rsidRDefault="004E11B6" w:rsidP="004E11B6">
      <w:pPr>
        <w:pStyle w:val="ListParagraph"/>
        <w:numPr>
          <w:ilvl w:val="0"/>
          <w:numId w:val="1"/>
        </w:numPr>
        <w:jc w:val="both"/>
      </w:pPr>
      <w:r>
        <w:t xml:space="preserve"> The Board must determine if the particularised breaches constitute a reasonable ground, which in the opinion of the </w:t>
      </w:r>
      <w:r w:rsidR="00AD620D">
        <w:t>Board, is</w:t>
      </w:r>
      <w:r>
        <w:t xml:space="preserve"> sufficient to warrant the revocation of Roxanna’s licence. Rental receipts receipted </w:t>
      </w:r>
      <w:r w:rsidR="00AD620D">
        <w:t>twice,</w:t>
      </w:r>
      <w:r>
        <w:t xml:space="preserve"> and bonds mistakenly </w:t>
      </w:r>
      <w:r w:rsidR="00490F31">
        <w:t>receipted as rent, leading to nil balances in rental bonds</w:t>
      </w:r>
      <w:r w:rsidR="00A5377D">
        <w:t xml:space="preserve"> accounts</w:t>
      </w:r>
      <w:r w:rsidR="00536373">
        <w:t>,</w:t>
      </w:r>
      <w:r w:rsidR="00490F31">
        <w:t xml:space="preserve"> are of fundamental concern, as is the apparent lack of understanding of </w:t>
      </w:r>
      <w:r w:rsidR="00AD620D">
        <w:t>the legal</w:t>
      </w:r>
      <w:r w:rsidR="002B270B">
        <w:t xml:space="preserve"> obligations associated with the </w:t>
      </w:r>
      <w:r w:rsidR="00490F31">
        <w:t xml:space="preserve">trust account reconciliation process. </w:t>
      </w:r>
      <w:r>
        <w:t>Due to the seriousness</w:t>
      </w:r>
      <w:r w:rsidR="00490F31">
        <w:t xml:space="preserve"> (and persistence)</w:t>
      </w:r>
      <w:r>
        <w:t xml:space="preserve"> of th</w:t>
      </w:r>
      <w:r w:rsidR="00536373">
        <w:t>ese</w:t>
      </w:r>
      <w:r>
        <w:t xml:space="preserve"> </w:t>
      </w:r>
      <w:r w:rsidR="00536373">
        <w:lastRenderedPageBreak/>
        <w:t>breaches</w:t>
      </w:r>
      <w:r>
        <w:t xml:space="preserve">, the Board considers that </w:t>
      </w:r>
      <w:r w:rsidR="00AD620D">
        <w:t>the breaches</w:t>
      </w:r>
      <w:r w:rsidR="00490F31">
        <w:t xml:space="preserve"> </w:t>
      </w:r>
      <w:r>
        <w:t>could lead to the revocation of</w:t>
      </w:r>
      <w:r w:rsidR="00490F31">
        <w:t xml:space="preserve"> Roxanna</w:t>
      </w:r>
      <w:r>
        <w:t>’s real estate agent licence.</w:t>
      </w:r>
      <w:r w:rsidR="002B270B">
        <w:t xml:space="preserve"> Hence, the ground is made out.</w:t>
      </w:r>
    </w:p>
    <w:p w14:paraId="7F982A81" w14:textId="77777777" w:rsidR="00045483" w:rsidRDefault="00045483" w:rsidP="0085588D">
      <w:pPr>
        <w:jc w:val="both"/>
        <w:rPr>
          <w:b/>
          <w:bCs/>
        </w:rPr>
      </w:pPr>
    </w:p>
    <w:p w14:paraId="288359B5" w14:textId="459EFE8C" w:rsidR="0085588D" w:rsidRDefault="0085588D" w:rsidP="0085588D">
      <w:pPr>
        <w:jc w:val="both"/>
        <w:rPr>
          <w:b/>
          <w:bCs/>
        </w:rPr>
      </w:pPr>
      <w:r w:rsidRPr="006322F6">
        <w:rPr>
          <w:b/>
          <w:bCs/>
        </w:rPr>
        <w:t>PART F: SANCTION</w:t>
      </w:r>
    </w:p>
    <w:p w14:paraId="521530FF" w14:textId="77777777" w:rsidR="0085588D" w:rsidRDefault="0085588D" w:rsidP="0085588D">
      <w:pPr>
        <w:jc w:val="both"/>
        <w:rPr>
          <w:b/>
          <w:bCs/>
        </w:rPr>
      </w:pPr>
    </w:p>
    <w:p w14:paraId="120581FA" w14:textId="4C636249" w:rsidR="0085588D" w:rsidRPr="006322F6" w:rsidRDefault="0085588D" w:rsidP="0085588D">
      <w:pPr>
        <w:pStyle w:val="ListParagraph"/>
        <w:numPr>
          <w:ilvl w:val="0"/>
          <w:numId w:val="1"/>
        </w:numPr>
        <w:jc w:val="both"/>
      </w:pPr>
      <w:r>
        <w:rPr>
          <w:rFonts w:ascii="Calibri" w:hAnsi="Calibri" w:cs="Calibri"/>
        </w:rPr>
        <w:t xml:space="preserve">The Board is satisfied, pursuant to s 69(1) of the Act, that it is authorised to take disciplinary action against </w:t>
      </w:r>
      <w:r w:rsidR="00841543">
        <w:rPr>
          <w:rFonts w:ascii="Calibri" w:hAnsi="Calibri" w:cs="Calibri"/>
        </w:rPr>
        <w:t xml:space="preserve">Roxanna </w:t>
      </w:r>
      <w:r>
        <w:rPr>
          <w:rFonts w:ascii="Calibri" w:hAnsi="Calibri" w:cs="Calibri"/>
        </w:rPr>
        <w:t xml:space="preserve">Pty Ltd.  The Board finds that there has been conduct that is sufficient to warrant the revocation of </w:t>
      </w:r>
      <w:r w:rsidR="00841543">
        <w:rPr>
          <w:rFonts w:ascii="Calibri" w:hAnsi="Calibri" w:cs="Calibri"/>
        </w:rPr>
        <w:t>Roxanna</w:t>
      </w:r>
      <w:r>
        <w:rPr>
          <w:rFonts w:ascii="Calibri" w:hAnsi="Calibri" w:cs="Calibri"/>
        </w:rPr>
        <w:t xml:space="preserve">’s real estate licence. </w:t>
      </w:r>
      <w:r w:rsidR="00C14387">
        <w:rPr>
          <w:rFonts w:ascii="Calibri" w:hAnsi="Calibri" w:cs="Calibri"/>
        </w:rPr>
        <w:t xml:space="preserve"> Despite this finding, the Board</w:t>
      </w:r>
      <w:r w:rsidR="00F850B0">
        <w:rPr>
          <w:rFonts w:ascii="Calibri" w:hAnsi="Calibri" w:cs="Calibri"/>
        </w:rPr>
        <w:t xml:space="preserve">, </w:t>
      </w:r>
      <w:r w:rsidR="00375D6E">
        <w:rPr>
          <w:rFonts w:ascii="Calibri" w:hAnsi="Calibri" w:cs="Calibri"/>
        </w:rPr>
        <w:t xml:space="preserve">in determining the appropriate penalty under s 69 of the Act, </w:t>
      </w:r>
      <w:r w:rsidR="00A5377D">
        <w:rPr>
          <w:rFonts w:ascii="Calibri" w:hAnsi="Calibri" w:cs="Calibri"/>
        </w:rPr>
        <w:t xml:space="preserve">it </w:t>
      </w:r>
      <w:r w:rsidR="00375D6E">
        <w:rPr>
          <w:rFonts w:ascii="Calibri" w:hAnsi="Calibri" w:cs="Calibri"/>
        </w:rPr>
        <w:t xml:space="preserve">is not </w:t>
      </w:r>
      <w:r w:rsidR="00C14387">
        <w:rPr>
          <w:rFonts w:ascii="Calibri" w:hAnsi="Calibri" w:cs="Calibri"/>
        </w:rPr>
        <w:t xml:space="preserve">obliged to revoke Roxanna’s license. </w:t>
      </w:r>
      <w:r w:rsidR="00375D6E">
        <w:rPr>
          <w:rFonts w:ascii="Calibri" w:hAnsi="Calibri" w:cs="Calibri"/>
        </w:rPr>
        <w:t>Rather, t</w:t>
      </w:r>
      <w:r>
        <w:rPr>
          <w:rFonts w:ascii="Calibri" w:hAnsi="Calibri" w:cs="Calibri"/>
        </w:rPr>
        <w:t>he Board must determine wh</w:t>
      </w:r>
      <w:r w:rsidR="00375D6E">
        <w:rPr>
          <w:rFonts w:ascii="Calibri" w:hAnsi="Calibri" w:cs="Calibri"/>
        </w:rPr>
        <w:t xml:space="preserve">ich of the sanctions in s 69 </w:t>
      </w:r>
      <w:r>
        <w:rPr>
          <w:rFonts w:ascii="Calibri" w:hAnsi="Calibri" w:cs="Calibri"/>
        </w:rPr>
        <w:t>is appropriate in the circumstances. The breach</w:t>
      </w:r>
      <w:r w:rsidR="00F850B0">
        <w:rPr>
          <w:rFonts w:ascii="Calibri" w:hAnsi="Calibri" w:cs="Calibri"/>
        </w:rPr>
        <w:t>es</w:t>
      </w:r>
      <w:r>
        <w:rPr>
          <w:rFonts w:ascii="Calibri" w:hAnsi="Calibri" w:cs="Calibri"/>
        </w:rPr>
        <w:t xml:space="preserve"> </w:t>
      </w:r>
      <w:r w:rsidR="00AD620D">
        <w:rPr>
          <w:rFonts w:ascii="Calibri" w:hAnsi="Calibri" w:cs="Calibri"/>
        </w:rPr>
        <w:t>concern</w:t>
      </w:r>
      <w:r>
        <w:rPr>
          <w:rFonts w:ascii="Calibri" w:hAnsi="Calibri" w:cs="Calibri"/>
        </w:rPr>
        <w:t xml:space="preserve"> trust account issue</w:t>
      </w:r>
      <w:r w:rsidR="00257CB6">
        <w:rPr>
          <w:rFonts w:ascii="Calibri" w:hAnsi="Calibri" w:cs="Calibri"/>
        </w:rPr>
        <w:t>s</w:t>
      </w:r>
      <w:r>
        <w:rPr>
          <w:rFonts w:ascii="Calibri" w:hAnsi="Calibri" w:cs="Calibri"/>
        </w:rPr>
        <w:t xml:space="preserve"> which had been outstanding for </w:t>
      </w:r>
      <w:r w:rsidR="00257CB6">
        <w:rPr>
          <w:rFonts w:ascii="Calibri" w:hAnsi="Calibri" w:cs="Calibri"/>
        </w:rPr>
        <w:t xml:space="preserve">a number </w:t>
      </w:r>
      <w:r w:rsidR="00AD620D">
        <w:rPr>
          <w:rFonts w:ascii="Calibri" w:hAnsi="Calibri" w:cs="Calibri"/>
        </w:rPr>
        <w:t>of years</w:t>
      </w:r>
      <w:r>
        <w:rPr>
          <w:rFonts w:ascii="Calibri" w:hAnsi="Calibri" w:cs="Calibri"/>
        </w:rPr>
        <w:t xml:space="preserve">. The Board has said before and repeats the point that it vital that real estate agents have their trust accounts in order. This is imperative in order to provide protection to members of the public. If there is a problem, as there clearly was in this case, professional </w:t>
      </w:r>
      <w:r w:rsidR="00257CB6">
        <w:rPr>
          <w:rFonts w:ascii="Calibri" w:hAnsi="Calibri" w:cs="Calibri"/>
        </w:rPr>
        <w:t>specialised assistance must be persisted with to</w:t>
      </w:r>
      <w:r w:rsidR="005419B3">
        <w:rPr>
          <w:rFonts w:ascii="Calibri" w:hAnsi="Calibri" w:cs="Calibri"/>
        </w:rPr>
        <w:t xml:space="preserve"> in order to</w:t>
      </w:r>
      <w:r w:rsidR="00257CB6">
        <w:rPr>
          <w:rFonts w:ascii="Calibri" w:hAnsi="Calibri" w:cs="Calibri"/>
        </w:rPr>
        <w:t xml:space="preserve"> fix </w:t>
      </w:r>
      <w:r w:rsidR="005419B3">
        <w:rPr>
          <w:rFonts w:ascii="Calibri" w:hAnsi="Calibri" w:cs="Calibri"/>
        </w:rPr>
        <w:t>it and to put i</w:t>
      </w:r>
      <w:r w:rsidR="002D5C71">
        <w:rPr>
          <w:rFonts w:ascii="Calibri" w:hAnsi="Calibri" w:cs="Calibri"/>
        </w:rPr>
        <w:t xml:space="preserve">n </w:t>
      </w:r>
      <w:r w:rsidR="005419B3">
        <w:rPr>
          <w:rFonts w:ascii="Calibri" w:hAnsi="Calibri" w:cs="Calibri"/>
        </w:rPr>
        <w:t xml:space="preserve">place measures </w:t>
      </w:r>
      <w:r w:rsidR="002D5C71">
        <w:rPr>
          <w:rFonts w:ascii="Calibri" w:hAnsi="Calibri" w:cs="Calibri"/>
        </w:rPr>
        <w:t xml:space="preserve">to </w:t>
      </w:r>
      <w:r w:rsidR="005419B3">
        <w:rPr>
          <w:rFonts w:ascii="Calibri" w:hAnsi="Calibri" w:cs="Calibri"/>
        </w:rPr>
        <w:t xml:space="preserve">ensure that a repetition of the problem(s) does not occur. </w:t>
      </w:r>
      <w:r w:rsidR="00257CB6">
        <w:rPr>
          <w:rFonts w:ascii="Calibri" w:hAnsi="Calibri" w:cs="Calibri"/>
        </w:rPr>
        <w:t xml:space="preserve"> </w:t>
      </w:r>
      <w:r>
        <w:rPr>
          <w:rFonts w:ascii="Calibri" w:hAnsi="Calibri" w:cs="Calibri"/>
        </w:rPr>
        <w:t xml:space="preserve"> On the plus side</w:t>
      </w:r>
      <w:r w:rsidR="005419B3">
        <w:rPr>
          <w:rFonts w:ascii="Calibri" w:hAnsi="Calibri" w:cs="Calibri"/>
        </w:rPr>
        <w:t>,</w:t>
      </w:r>
      <w:r>
        <w:rPr>
          <w:rFonts w:ascii="Calibri" w:hAnsi="Calibri" w:cs="Calibri"/>
        </w:rPr>
        <w:t xml:space="preserve"> it does appear to the Board that M</w:t>
      </w:r>
      <w:r w:rsidR="00257CB6">
        <w:rPr>
          <w:rFonts w:ascii="Calibri" w:hAnsi="Calibri" w:cs="Calibri"/>
        </w:rPr>
        <w:t xml:space="preserve">r </w:t>
      </w:r>
      <w:r w:rsidR="00AD620D">
        <w:rPr>
          <w:rFonts w:ascii="Calibri" w:hAnsi="Calibri" w:cs="Calibri"/>
        </w:rPr>
        <w:t>Pearce is</w:t>
      </w:r>
      <w:r w:rsidR="005419B3">
        <w:rPr>
          <w:rFonts w:ascii="Calibri" w:hAnsi="Calibri" w:cs="Calibri"/>
        </w:rPr>
        <w:t xml:space="preserve"> making genuine efforts to address these issues</w:t>
      </w:r>
      <w:r w:rsidR="002D5C71">
        <w:rPr>
          <w:rFonts w:ascii="Calibri" w:hAnsi="Calibri" w:cs="Calibri"/>
        </w:rPr>
        <w:t xml:space="preserve">: </w:t>
      </w:r>
      <w:r w:rsidR="005419B3">
        <w:rPr>
          <w:rFonts w:ascii="Calibri" w:hAnsi="Calibri" w:cs="Calibri"/>
        </w:rPr>
        <w:t xml:space="preserve">he has also </w:t>
      </w:r>
      <w:r w:rsidR="00257CB6">
        <w:rPr>
          <w:rFonts w:ascii="Calibri" w:hAnsi="Calibri" w:cs="Calibri"/>
        </w:rPr>
        <w:t xml:space="preserve">spent a considerable amount of his own money </w:t>
      </w:r>
      <w:r w:rsidR="005419B3">
        <w:rPr>
          <w:rFonts w:ascii="Calibri" w:hAnsi="Calibri" w:cs="Calibri"/>
        </w:rPr>
        <w:t>in that regard</w:t>
      </w:r>
      <w:r w:rsidR="002D5C71">
        <w:rPr>
          <w:rFonts w:ascii="Calibri" w:hAnsi="Calibri" w:cs="Calibri"/>
        </w:rPr>
        <w:t>. H</w:t>
      </w:r>
      <w:r w:rsidR="00257CB6">
        <w:rPr>
          <w:rFonts w:ascii="Calibri" w:hAnsi="Calibri" w:cs="Calibri"/>
        </w:rPr>
        <w:t>e has</w:t>
      </w:r>
      <w:r w:rsidR="002D5C71">
        <w:rPr>
          <w:rFonts w:ascii="Calibri" w:hAnsi="Calibri" w:cs="Calibri"/>
        </w:rPr>
        <w:t xml:space="preserve"> also</w:t>
      </w:r>
      <w:r w:rsidR="00462846">
        <w:rPr>
          <w:rFonts w:ascii="Calibri" w:hAnsi="Calibri" w:cs="Calibri"/>
        </w:rPr>
        <w:t xml:space="preserve"> </w:t>
      </w:r>
      <w:r w:rsidR="00AD620D">
        <w:rPr>
          <w:rFonts w:ascii="Calibri" w:hAnsi="Calibri" w:cs="Calibri"/>
        </w:rPr>
        <w:t>hired an</w:t>
      </w:r>
      <w:r w:rsidR="005419B3">
        <w:rPr>
          <w:rFonts w:ascii="Calibri" w:hAnsi="Calibri" w:cs="Calibri"/>
        </w:rPr>
        <w:t xml:space="preserve"> assistant who is specifically tasked with fixing the </w:t>
      </w:r>
      <w:r w:rsidR="00A5377D">
        <w:rPr>
          <w:rFonts w:ascii="Calibri" w:hAnsi="Calibri" w:cs="Calibri"/>
        </w:rPr>
        <w:t xml:space="preserve">trust </w:t>
      </w:r>
      <w:r w:rsidR="005419B3">
        <w:rPr>
          <w:rFonts w:ascii="Calibri" w:hAnsi="Calibri" w:cs="Calibri"/>
        </w:rPr>
        <w:t>accounting issues. It is</w:t>
      </w:r>
      <w:r w:rsidR="00F850B0">
        <w:rPr>
          <w:rFonts w:ascii="Calibri" w:hAnsi="Calibri" w:cs="Calibri"/>
        </w:rPr>
        <w:t xml:space="preserve"> </w:t>
      </w:r>
      <w:r w:rsidR="00AD620D">
        <w:rPr>
          <w:rFonts w:ascii="Calibri" w:hAnsi="Calibri" w:cs="Calibri"/>
        </w:rPr>
        <w:t>also to</w:t>
      </w:r>
      <w:r w:rsidR="005419B3">
        <w:rPr>
          <w:rFonts w:ascii="Calibri" w:hAnsi="Calibri" w:cs="Calibri"/>
        </w:rPr>
        <w:t xml:space="preserve"> be hoped that Mr Pearce’s appearance before the Board was, of itself, a salutary lesson for him.</w:t>
      </w:r>
    </w:p>
    <w:p w14:paraId="78581767" w14:textId="77777777" w:rsidR="0085588D" w:rsidRPr="006322F6" w:rsidRDefault="0085588D" w:rsidP="0085588D">
      <w:pPr>
        <w:pStyle w:val="ListParagraph"/>
        <w:jc w:val="both"/>
      </w:pPr>
    </w:p>
    <w:p w14:paraId="77320C36" w14:textId="10903054" w:rsidR="003544B6" w:rsidRPr="00B0593F" w:rsidRDefault="0085588D" w:rsidP="003544B6">
      <w:pPr>
        <w:pStyle w:val="ListParagraph"/>
        <w:numPr>
          <w:ilvl w:val="0"/>
          <w:numId w:val="1"/>
        </w:numPr>
        <w:jc w:val="both"/>
      </w:pPr>
      <w:r w:rsidRPr="003544B6">
        <w:rPr>
          <w:rFonts w:ascii="Calibri" w:hAnsi="Calibri" w:cs="Calibri"/>
        </w:rPr>
        <w:t xml:space="preserve">The Board considers </w:t>
      </w:r>
      <w:r w:rsidR="003544B6" w:rsidRPr="003544B6">
        <w:rPr>
          <w:rFonts w:ascii="Calibri" w:hAnsi="Calibri" w:cs="Calibri"/>
        </w:rPr>
        <w:t xml:space="preserve">that </w:t>
      </w:r>
      <w:r w:rsidR="003544B6">
        <w:rPr>
          <w:rFonts w:ascii="Calibri" w:hAnsi="Calibri" w:cs="Calibri"/>
        </w:rPr>
        <w:t xml:space="preserve">it is appropriate in all the circumstances of this case to impose a </w:t>
      </w:r>
      <w:r w:rsidR="003544B6" w:rsidRPr="006F03AD">
        <w:rPr>
          <w:rFonts w:ascii="Calibri" w:hAnsi="Calibri" w:cs="Calibri"/>
          <w:b/>
          <w:bCs/>
        </w:rPr>
        <w:t>REPRIMAND u</w:t>
      </w:r>
      <w:r w:rsidR="003544B6">
        <w:rPr>
          <w:rFonts w:ascii="Calibri" w:hAnsi="Calibri" w:cs="Calibri"/>
        </w:rPr>
        <w:t xml:space="preserve">pon Roxanna Pty Ltd. </w:t>
      </w:r>
      <w:r w:rsidR="00902BC5">
        <w:rPr>
          <w:rFonts w:ascii="Calibri" w:hAnsi="Calibri" w:cs="Calibri"/>
        </w:rPr>
        <w:t>B</w:t>
      </w:r>
      <w:r w:rsidR="001479FB" w:rsidRPr="00B0593F">
        <w:rPr>
          <w:rFonts w:ascii="Calibri" w:hAnsi="Calibri" w:cs="Calibri"/>
        </w:rPr>
        <w:t xml:space="preserve">ut for the financial loss incurred by Roxanna </w:t>
      </w:r>
      <w:r w:rsidR="006F03AD" w:rsidRPr="00B0593F">
        <w:rPr>
          <w:rFonts w:ascii="Calibri" w:hAnsi="Calibri" w:cs="Calibri"/>
        </w:rPr>
        <w:t xml:space="preserve">the imposition of </w:t>
      </w:r>
      <w:r w:rsidR="00AD620D" w:rsidRPr="00B0593F">
        <w:rPr>
          <w:rFonts w:ascii="Calibri" w:hAnsi="Calibri" w:cs="Calibri"/>
        </w:rPr>
        <w:t>a substantial</w:t>
      </w:r>
      <w:r w:rsidR="001479FB" w:rsidRPr="00B0593F">
        <w:rPr>
          <w:rFonts w:ascii="Calibri" w:hAnsi="Calibri" w:cs="Calibri"/>
        </w:rPr>
        <w:t xml:space="preserve"> fine</w:t>
      </w:r>
      <w:r w:rsidR="00BD056A" w:rsidRPr="00B0593F">
        <w:rPr>
          <w:rFonts w:ascii="Calibri" w:hAnsi="Calibri" w:cs="Calibri"/>
        </w:rPr>
        <w:t xml:space="preserve"> of 100 penalty units </w:t>
      </w:r>
      <w:r w:rsidR="001479FB" w:rsidRPr="00B0593F">
        <w:rPr>
          <w:rFonts w:ascii="Calibri" w:hAnsi="Calibri" w:cs="Calibri"/>
        </w:rPr>
        <w:t xml:space="preserve">would have been in order. The Board </w:t>
      </w:r>
      <w:r w:rsidR="00073E40" w:rsidRPr="00B0593F">
        <w:rPr>
          <w:rFonts w:ascii="Calibri" w:hAnsi="Calibri" w:cs="Calibri"/>
        </w:rPr>
        <w:t xml:space="preserve">also </w:t>
      </w:r>
      <w:r w:rsidR="001479FB" w:rsidRPr="00B0593F">
        <w:rPr>
          <w:rFonts w:ascii="Calibri" w:hAnsi="Calibri" w:cs="Calibri"/>
        </w:rPr>
        <w:t xml:space="preserve">takes into account the significant delay, not all of which is attributable to </w:t>
      </w:r>
      <w:r w:rsidR="00B0593F" w:rsidRPr="00B0593F">
        <w:rPr>
          <w:rFonts w:ascii="Calibri" w:hAnsi="Calibri" w:cs="Calibri"/>
        </w:rPr>
        <w:t>Roxanna that</w:t>
      </w:r>
      <w:r w:rsidRPr="00B0593F">
        <w:rPr>
          <w:rFonts w:ascii="Calibri" w:hAnsi="Calibri" w:cs="Calibri"/>
        </w:rPr>
        <w:t xml:space="preserve"> </w:t>
      </w:r>
      <w:r w:rsidR="006F03AD" w:rsidRPr="00B0593F">
        <w:rPr>
          <w:rFonts w:ascii="Calibri" w:hAnsi="Calibri" w:cs="Calibri"/>
        </w:rPr>
        <w:t xml:space="preserve">has </w:t>
      </w:r>
      <w:r w:rsidR="001479FB" w:rsidRPr="00B0593F">
        <w:rPr>
          <w:rFonts w:ascii="Calibri" w:hAnsi="Calibri" w:cs="Calibri"/>
        </w:rPr>
        <w:t xml:space="preserve">occurred. </w:t>
      </w:r>
    </w:p>
    <w:p w14:paraId="5900A6DF" w14:textId="77777777" w:rsidR="003544B6" w:rsidRPr="00693DE6" w:rsidDel="003544B6" w:rsidRDefault="003544B6" w:rsidP="00B0593F">
      <w:pPr>
        <w:pStyle w:val="ListParagraph"/>
        <w:jc w:val="both"/>
      </w:pPr>
    </w:p>
    <w:p w14:paraId="1EE11843" w14:textId="586D629E" w:rsidR="00693DE6" w:rsidRPr="00B0593F" w:rsidRDefault="00693DE6" w:rsidP="003544B6">
      <w:pPr>
        <w:pStyle w:val="ListParagraph"/>
        <w:numPr>
          <w:ilvl w:val="0"/>
          <w:numId w:val="1"/>
        </w:numPr>
        <w:jc w:val="both"/>
        <w:rPr>
          <w:rFonts w:ascii="Calibri" w:hAnsi="Calibri" w:cs="Calibri"/>
        </w:rPr>
      </w:pPr>
      <w:r w:rsidRPr="00B0593F">
        <w:rPr>
          <w:rFonts w:ascii="Calibri" w:hAnsi="Calibri" w:cs="Calibri"/>
        </w:rPr>
        <w:t>Pursuant to section 69 (3) of the Act the Board has the power to direct the licensed agent to take or to refrain from taking a specified action within such time as the Board in that notice shall specify.  Consistent with th</w:t>
      </w:r>
      <w:r w:rsidR="001969C1" w:rsidRPr="00B0593F">
        <w:rPr>
          <w:rFonts w:ascii="Calibri" w:hAnsi="Calibri" w:cs="Calibri"/>
        </w:rPr>
        <w:t xml:space="preserve">e </w:t>
      </w:r>
      <w:r w:rsidRPr="00B0593F">
        <w:rPr>
          <w:rFonts w:ascii="Calibri" w:hAnsi="Calibri" w:cs="Calibri"/>
        </w:rPr>
        <w:t>reasoning previously referred to</w:t>
      </w:r>
      <w:r w:rsidR="006F03AD" w:rsidRPr="00B0593F">
        <w:rPr>
          <w:rFonts w:ascii="Calibri" w:hAnsi="Calibri" w:cs="Calibri"/>
        </w:rPr>
        <w:t xml:space="preserve">, </w:t>
      </w:r>
      <w:r w:rsidRPr="00B0593F">
        <w:rPr>
          <w:rFonts w:ascii="Calibri" w:hAnsi="Calibri" w:cs="Calibri"/>
        </w:rPr>
        <w:t xml:space="preserve">the Board has determined to impose the following direction </w:t>
      </w:r>
      <w:r w:rsidR="006F03AD" w:rsidRPr="00B0593F">
        <w:rPr>
          <w:rFonts w:ascii="Calibri" w:hAnsi="Calibri" w:cs="Calibri"/>
        </w:rPr>
        <w:t xml:space="preserve">on Roxanna Pty Ltd </w:t>
      </w:r>
      <w:r w:rsidRPr="00B0593F">
        <w:rPr>
          <w:rFonts w:ascii="Calibri" w:hAnsi="Calibri" w:cs="Calibri"/>
        </w:rPr>
        <w:t xml:space="preserve">in respect to </w:t>
      </w:r>
      <w:r w:rsidR="006F03AD" w:rsidRPr="00B0593F">
        <w:rPr>
          <w:rFonts w:ascii="Calibri" w:hAnsi="Calibri" w:cs="Calibri"/>
        </w:rPr>
        <w:t>its real estate</w:t>
      </w:r>
      <w:r w:rsidRPr="00B0593F">
        <w:rPr>
          <w:rFonts w:ascii="Calibri" w:hAnsi="Calibri" w:cs="Calibri"/>
        </w:rPr>
        <w:t xml:space="preserve"> licence. Th</w:t>
      </w:r>
      <w:r w:rsidR="006F03AD" w:rsidRPr="00B0593F">
        <w:rPr>
          <w:rFonts w:ascii="Calibri" w:hAnsi="Calibri" w:cs="Calibri"/>
        </w:rPr>
        <w:t>at</w:t>
      </w:r>
      <w:r w:rsidRPr="00B0593F">
        <w:rPr>
          <w:rFonts w:ascii="Calibri" w:hAnsi="Calibri" w:cs="Calibri"/>
        </w:rPr>
        <w:t xml:space="preserve"> direction</w:t>
      </w:r>
      <w:r w:rsidR="006F03AD" w:rsidRPr="00B0593F">
        <w:rPr>
          <w:rFonts w:ascii="Calibri" w:hAnsi="Calibri" w:cs="Calibri"/>
        </w:rPr>
        <w:t xml:space="preserve"> is </w:t>
      </w:r>
      <w:r w:rsidRPr="00B0593F">
        <w:rPr>
          <w:rFonts w:ascii="Calibri" w:hAnsi="Calibri" w:cs="Calibri"/>
        </w:rPr>
        <w:t>as follows:</w:t>
      </w:r>
    </w:p>
    <w:p w14:paraId="3C6C8F4B" w14:textId="77777777" w:rsidR="00693DE6" w:rsidRPr="007C4C1F" w:rsidRDefault="00693DE6" w:rsidP="00693DE6">
      <w:pPr>
        <w:pStyle w:val="ListParagraph"/>
        <w:rPr>
          <w:rFonts w:ascii="Calibri" w:hAnsi="Calibri" w:cs="Calibri"/>
        </w:rPr>
      </w:pPr>
    </w:p>
    <w:p w14:paraId="4B6BFDCC" w14:textId="7B496F0F" w:rsidR="00693DE6" w:rsidRPr="006F03AD" w:rsidRDefault="00693DE6" w:rsidP="00693DE6">
      <w:pPr>
        <w:pStyle w:val="ListParagraph"/>
        <w:numPr>
          <w:ilvl w:val="0"/>
          <w:numId w:val="6"/>
        </w:numPr>
        <w:jc w:val="both"/>
        <w:rPr>
          <w:rFonts w:ascii="Calibri" w:hAnsi="Calibri" w:cs="Calibri"/>
        </w:rPr>
      </w:pPr>
      <w:r w:rsidRPr="006F03AD">
        <w:rPr>
          <w:rFonts w:ascii="Calibri" w:hAnsi="Calibri" w:cs="Calibri"/>
        </w:rPr>
        <w:t xml:space="preserve">That </w:t>
      </w:r>
      <w:r w:rsidR="006F03AD">
        <w:rPr>
          <w:rFonts w:ascii="Calibri" w:hAnsi="Calibri" w:cs="Calibri"/>
        </w:rPr>
        <w:t>from the date of imposition of this decision, Roxanna is to carry out monthly reconciliations of its trust account</w:t>
      </w:r>
      <w:r w:rsidR="002D5C71">
        <w:rPr>
          <w:rFonts w:ascii="Calibri" w:hAnsi="Calibri" w:cs="Calibri"/>
        </w:rPr>
        <w:t xml:space="preserve"> a</w:t>
      </w:r>
      <w:r w:rsidR="006F03AD">
        <w:rPr>
          <w:rFonts w:ascii="Calibri" w:hAnsi="Calibri" w:cs="Calibri"/>
        </w:rPr>
        <w:t>nd to supply the results of those monthly reconciliations to the Registrar</w:t>
      </w:r>
      <w:r w:rsidR="00247D1E">
        <w:rPr>
          <w:rFonts w:ascii="Calibri" w:hAnsi="Calibri" w:cs="Calibri"/>
        </w:rPr>
        <w:t xml:space="preserve"> of Land, Business and Conveyancing Agents</w:t>
      </w:r>
      <w:r w:rsidR="00684DAA">
        <w:rPr>
          <w:rFonts w:ascii="Calibri" w:hAnsi="Calibri" w:cs="Calibri"/>
        </w:rPr>
        <w:t>.</w:t>
      </w:r>
    </w:p>
    <w:p w14:paraId="5B2C521D" w14:textId="77777777" w:rsidR="0085588D" w:rsidRDefault="0085588D" w:rsidP="0085588D">
      <w:pPr>
        <w:pStyle w:val="ListParagraph"/>
      </w:pPr>
    </w:p>
    <w:p w14:paraId="247D3686" w14:textId="230821E8" w:rsidR="006F03AD" w:rsidRDefault="006F03AD" w:rsidP="00B0593F">
      <w:pPr>
        <w:pStyle w:val="ListParagraph"/>
        <w:numPr>
          <w:ilvl w:val="0"/>
          <w:numId w:val="7"/>
        </w:numPr>
        <w:jc w:val="both"/>
      </w:pPr>
      <w:r>
        <w:t xml:space="preserve">Roxanna is formerly warned that if it commits a </w:t>
      </w:r>
      <w:r w:rsidR="006425F4">
        <w:t>second offence against s55</w:t>
      </w:r>
      <w:r>
        <w:t>, that it is at serious risk of a substantial fine being imposed upon it.</w:t>
      </w:r>
    </w:p>
    <w:p w14:paraId="46E0BC81" w14:textId="77777777" w:rsidR="006F03AD" w:rsidRPr="006F03AD" w:rsidRDefault="006F03AD" w:rsidP="006F03AD">
      <w:pPr>
        <w:ind w:left="360"/>
        <w:jc w:val="both"/>
      </w:pPr>
    </w:p>
    <w:p w14:paraId="2168592F" w14:textId="237D99AD" w:rsidR="001479FB" w:rsidRPr="001479FB" w:rsidRDefault="0085588D" w:rsidP="00B0593F">
      <w:pPr>
        <w:pStyle w:val="ListParagraph"/>
        <w:numPr>
          <w:ilvl w:val="0"/>
          <w:numId w:val="7"/>
        </w:numPr>
        <w:jc w:val="both"/>
      </w:pPr>
      <w:r w:rsidRPr="006322F6">
        <w:rPr>
          <w:rFonts w:ascii="Calibri" w:hAnsi="Calibri" w:cs="Calibri"/>
        </w:rPr>
        <w:t xml:space="preserve">In coming to its decision, the Board has considered the seriousness of </w:t>
      </w:r>
      <w:r w:rsidR="00045483">
        <w:rPr>
          <w:rFonts w:ascii="Calibri" w:hAnsi="Calibri" w:cs="Calibri"/>
        </w:rPr>
        <w:t>Roxanna</w:t>
      </w:r>
      <w:r>
        <w:rPr>
          <w:rFonts w:ascii="Calibri" w:hAnsi="Calibri" w:cs="Calibri"/>
        </w:rPr>
        <w:t>’s</w:t>
      </w:r>
      <w:r w:rsidRPr="006322F6">
        <w:rPr>
          <w:rFonts w:ascii="Calibri" w:hAnsi="Calibri" w:cs="Calibri"/>
        </w:rPr>
        <w:t xml:space="preserve"> actions and the need to deter other real estate agents from acting in the same or similar manner as the most weighty matters in formulating a sanction that would </w:t>
      </w:r>
      <w:r w:rsidRPr="006322F6">
        <w:rPr>
          <w:rFonts w:ascii="Calibri" w:hAnsi="Calibri" w:cs="Calibri"/>
        </w:rPr>
        <w:lastRenderedPageBreak/>
        <w:t>further the aims of community protection and maintaining confidence in the real estate industry.</w:t>
      </w:r>
    </w:p>
    <w:p w14:paraId="7F0D0773" w14:textId="77777777" w:rsidR="0085588D" w:rsidRDefault="0085588D" w:rsidP="0085588D">
      <w:pPr>
        <w:jc w:val="both"/>
      </w:pPr>
    </w:p>
    <w:p w14:paraId="31E3B73F" w14:textId="77777777" w:rsidR="0085588D" w:rsidRPr="006322F6" w:rsidRDefault="0085588D" w:rsidP="0085588D">
      <w:pPr>
        <w:jc w:val="both"/>
        <w:rPr>
          <w:b/>
          <w:bCs/>
        </w:rPr>
      </w:pPr>
      <w:r w:rsidRPr="006322F6">
        <w:rPr>
          <w:b/>
          <w:bCs/>
        </w:rPr>
        <w:t>PART G: RIGHT OF APPEAL</w:t>
      </w:r>
    </w:p>
    <w:p w14:paraId="07F9B818" w14:textId="77777777" w:rsidR="0085588D" w:rsidRDefault="0085588D" w:rsidP="0085588D">
      <w:pPr>
        <w:jc w:val="both"/>
      </w:pPr>
    </w:p>
    <w:p w14:paraId="121819C8" w14:textId="77777777" w:rsidR="0085588D" w:rsidRDefault="0085588D" w:rsidP="00B0593F">
      <w:pPr>
        <w:pStyle w:val="ListParagraph"/>
        <w:numPr>
          <w:ilvl w:val="0"/>
          <w:numId w:val="7"/>
        </w:numPr>
        <w:jc w:val="both"/>
        <w:rPr>
          <w:rFonts w:ascii="Calibri" w:hAnsi="Calibri" w:cs="Calibri"/>
        </w:rPr>
      </w:pPr>
      <w:r>
        <w:rPr>
          <w:rFonts w:ascii="Calibri" w:hAnsi="Calibri" w:cs="Calibri"/>
        </w:rPr>
        <w:t xml:space="preserve">Section 85 of the Act provides that a person aggrieved by a decision of the Board can appeal to the Local Court. </w:t>
      </w:r>
    </w:p>
    <w:p w14:paraId="41A1D5D0" w14:textId="77777777" w:rsidR="0085588D" w:rsidRDefault="0085588D" w:rsidP="0085588D">
      <w:pPr>
        <w:pStyle w:val="ListParagraph"/>
        <w:ind w:left="1080"/>
        <w:jc w:val="both"/>
        <w:rPr>
          <w:rFonts w:ascii="Calibri" w:hAnsi="Calibri" w:cs="Calibri"/>
        </w:rPr>
      </w:pPr>
    </w:p>
    <w:p w14:paraId="78946354" w14:textId="77777777" w:rsidR="0085588D" w:rsidRDefault="0085588D" w:rsidP="00B0593F">
      <w:pPr>
        <w:pStyle w:val="ListParagraph"/>
        <w:numPr>
          <w:ilvl w:val="0"/>
          <w:numId w:val="7"/>
        </w:numPr>
        <w:jc w:val="both"/>
        <w:rPr>
          <w:rFonts w:ascii="Calibri" w:hAnsi="Calibri" w:cs="Calibri"/>
        </w:rPr>
      </w:pPr>
      <w:r>
        <w:rPr>
          <w:rFonts w:ascii="Calibri" w:hAnsi="Calibri" w:cs="Calibri"/>
        </w:rPr>
        <w:t>An appeal application must be made within 21 days of the date of this decision.</w:t>
      </w:r>
    </w:p>
    <w:p w14:paraId="6FB37464" w14:textId="77777777" w:rsidR="0085588D" w:rsidRDefault="0085588D" w:rsidP="0085588D">
      <w:pPr>
        <w:jc w:val="both"/>
      </w:pPr>
    </w:p>
    <w:p w14:paraId="5285094D" w14:textId="77777777" w:rsidR="0085588D" w:rsidRDefault="0085588D" w:rsidP="0085588D">
      <w:pPr>
        <w:jc w:val="both"/>
      </w:pPr>
    </w:p>
    <w:p w14:paraId="54C2BB3E" w14:textId="77777777" w:rsidR="0085588D" w:rsidRDefault="0085588D" w:rsidP="0085588D">
      <w:pPr>
        <w:jc w:val="both"/>
      </w:pPr>
      <w:r>
        <w:t xml:space="preserve"> </w:t>
      </w:r>
    </w:p>
    <w:p w14:paraId="4D96256B" w14:textId="77777777" w:rsidR="0085588D" w:rsidRDefault="0085588D" w:rsidP="0085588D">
      <w:pPr>
        <w:jc w:val="both"/>
      </w:pPr>
    </w:p>
    <w:p w14:paraId="1426694B" w14:textId="77777777" w:rsidR="0085588D" w:rsidRDefault="0085588D" w:rsidP="0085588D">
      <w:pPr>
        <w:jc w:val="both"/>
      </w:pPr>
    </w:p>
    <w:p w14:paraId="20A2198C" w14:textId="5AE44EE8" w:rsidR="0085588D" w:rsidRDefault="0085588D" w:rsidP="0085588D">
      <w:pPr>
        <w:jc w:val="both"/>
      </w:pPr>
      <w:r>
        <w:t>DATED 3</w:t>
      </w:r>
      <w:r w:rsidR="00B0593F">
        <w:t>1</w:t>
      </w:r>
      <w:r>
        <w:t xml:space="preserve"> OCTOBER 2023 AT SYDNEY</w:t>
      </w:r>
    </w:p>
    <w:p w14:paraId="05BAC54A" w14:textId="77777777" w:rsidR="0085588D" w:rsidRDefault="0085588D" w:rsidP="0085588D">
      <w:pPr>
        <w:jc w:val="both"/>
      </w:pPr>
    </w:p>
    <w:p w14:paraId="692F488D" w14:textId="77777777" w:rsidR="0085588D" w:rsidRPr="006322F6" w:rsidRDefault="0085588D" w:rsidP="0085588D">
      <w:pPr>
        <w:jc w:val="both"/>
        <w:rPr>
          <w:rFonts w:ascii="Kunstler Script" w:hAnsi="Kunstler Script"/>
          <w:sz w:val="32"/>
          <w:szCs w:val="32"/>
        </w:rPr>
      </w:pPr>
      <w:r w:rsidRPr="006322F6">
        <w:rPr>
          <w:rFonts w:ascii="Kunstler Script" w:hAnsi="Kunstler Script"/>
          <w:sz w:val="32"/>
          <w:szCs w:val="32"/>
        </w:rPr>
        <w:t>Mark Thomas</w:t>
      </w:r>
    </w:p>
    <w:p w14:paraId="55FF2A8E" w14:textId="77777777" w:rsidR="0085588D" w:rsidRDefault="0085588D" w:rsidP="0085588D">
      <w:pPr>
        <w:jc w:val="both"/>
      </w:pPr>
    </w:p>
    <w:p w14:paraId="3910618D" w14:textId="77777777" w:rsidR="0085588D" w:rsidRDefault="0085588D" w:rsidP="0085588D">
      <w:pPr>
        <w:jc w:val="both"/>
      </w:pPr>
      <w:r>
        <w:t>MARK THOMAS,</w:t>
      </w:r>
    </w:p>
    <w:p w14:paraId="447B4181" w14:textId="77777777" w:rsidR="0085588D" w:rsidRDefault="0085588D" w:rsidP="0085588D">
      <w:pPr>
        <w:jc w:val="both"/>
      </w:pPr>
      <w:r>
        <w:t>CHAIRPERSON,</w:t>
      </w:r>
    </w:p>
    <w:p w14:paraId="478CBF30" w14:textId="77777777" w:rsidR="0085588D" w:rsidRDefault="0085588D" w:rsidP="0085588D">
      <w:pPr>
        <w:jc w:val="both"/>
      </w:pPr>
      <w:r>
        <w:t>AGENTS LICENSING BOARD OF THE NORTHERN TERRITORY</w:t>
      </w:r>
    </w:p>
    <w:p w14:paraId="7D8F7FA8" w14:textId="77777777" w:rsidR="0085588D" w:rsidRDefault="0085588D" w:rsidP="0085588D">
      <w:pPr>
        <w:jc w:val="both"/>
      </w:pPr>
    </w:p>
    <w:p w14:paraId="05214D77" w14:textId="77777777" w:rsidR="0085588D" w:rsidRPr="00930D87" w:rsidRDefault="0085588D" w:rsidP="0085588D">
      <w:pPr>
        <w:jc w:val="both"/>
      </w:pPr>
    </w:p>
    <w:p w14:paraId="69A58440" w14:textId="77777777" w:rsidR="0085588D" w:rsidRDefault="0085588D" w:rsidP="0085588D">
      <w:pPr>
        <w:jc w:val="both"/>
      </w:pPr>
      <w:r>
        <w:tab/>
      </w:r>
      <w:r>
        <w:tab/>
      </w:r>
    </w:p>
    <w:p w14:paraId="1B85E643" w14:textId="77777777" w:rsidR="004E11B6" w:rsidRPr="00A717DB" w:rsidRDefault="004E11B6" w:rsidP="002B270B">
      <w:pPr>
        <w:jc w:val="both"/>
      </w:pPr>
    </w:p>
    <w:sectPr w:rsidR="004E11B6" w:rsidRPr="00A717DB">
      <w:footerReference w:type="even"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23D4FE" w14:textId="77777777" w:rsidR="00025DCB" w:rsidRDefault="00025DCB" w:rsidP="00C35963">
      <w:r>
        <w:separator/>
      </w:r>
    </w:p>
  </w:endnote>
  <w:endnote w:type="continuationSeparator" w:id="0">
    <w:p w14:paraId="3DFFD40D" w14:textId="77777777" w:rsidR="00025DCB" w:rsidRDefault="00025DCB" w:rsidP="00C359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Kunstler Script">
    <w:panose1 w:val="030304020206070D0D06"/>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819032694"/>
      <w:docPartObj>
        <w:docPartGallery w:val="Page Numbers (Bottom of Page)"/>
        <w:docPartUnique/>
      </w:docPartObj>
    </w:sdtPr>
    <w:sdtEndPr>
      <w:rPr>
        <w:rStyle w:val="PageNumber"/>
      </w:rPr>
    </w:sdtEndPr>
    <w:sdtContent>
      <w:p w14:paraId="0F9B205C" w14:textId="0C8813DD" w:rsidR="000A7F87" w:rsidRDefault="000A7F87" w:rsidP="0060422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E2DD6EE" w14:textId="77777777" w:rsidR="000A7F87" w:rsidRDefault="000A7F87" w:rsidP="000A7F8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239984105"/>
      <w:docPartObj>
        <w:docPartGallery w:val="Page Numbers (Bottom of Page)"/>
        <w:docPartUnique/>
      </w:docPartObj>
    </w:sdtPr>
    <w:sdtEndPr>
      <w:rPr>
        <w:rStyle w:val="PageNumber"/>
      </w:rPr>
    </w:sdtEndPr>
    <w:sdtContent>
      <w:p w14:paraId="1E3DD67D" w14:textId="18109311" w:rsidR="000A7F87" w:rsidRDefault="000A7F87" w:rsidP="0060422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0B3E39">
          <w:rPr>
            <w:rStyle w:val="PageNumber"/>
            <w:noProof/>
          </w:rPr>
          <w:t>1</w:t>
        </w:r>
        <w:r>
          <w:rPr>
            <w:rStyle w:val="PageNumber"/>
          </w:rPr>
          <w:fldChar w:fldCharType="end"/>
        </w:r>
      </w:p>
    </w:sdtContent>
  </w:sdt>
  <w:p w14:paraId="3515BE99" w14:textId="77777777" w:rsidR="000A7F87" w:rsidRDefault="000A7F87" w:rsidP="000A7F8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24BE1A" w14:textId="77777777" w:rsidR="00025DCB" w:rsidRDefault="00025DCB" w:rsidP="00C35963">
      <w:r>
        <w:separator/>
      </w:r>
    </w:p>
  </w:footnote>
  <w:footnote w:type="continuationSeparator" w:id="0">
    <w:p w14:paraId="09D55630" w14:textId="77777777" w:rsidR="00025DCB" w:rsidRDefault="00025DCB" w:rsidP="00C35963">
      <w:r>
        <w:continuationSeparator/>
      </w:r>
    </w:p>
  </w:footnote>
  <w:footnote w:id="1">
    <w:p w14:paraId="15B3C245" w14:textId="77777777" w:rsidR="00C35963" w:rsidRDefault="00C35963" w:rsidP="00C35963">
      <w:pPr>
        <w:pStyle w:val="FootnoteText"/>
      </w:pPr>
      <w:r>
        <w:rPr>
          <w:rStyle w:val="FootnoteReference"/>
        </w:rPr>
        <w:footnoteRef/>
      </w:r>
      <w:r>
        <w:t xml:space="preserve"> The Registrar’s application refers to the application being made pursuant to s 67, whereas s 68 (2) is the applicable section.</w:t>
      </w:r>
    </w:p>
  </w:footnote>
  <w:footnote w:id="2">
    <w:p w14:paraId="2C309999" w14:textId="1D3BDDEC" w:rsidR="00C35963" w:rsidRPr="00BD375E" w:rsidRDefault="00C35963" w:rsidP="00C35963">
      <w:pPr>
        <w:pStyle w:val="FootnoteText"/>
      </w:pPr>
      <w:r>
        <w:rPr>
          <w:rStyle w:val="FootnoteReference"/>
        </w:rPr>
        <w:footnoteRef/>
      </w:r>
      <w:r>
        <w:t xml:space="preserve"> When reference is made to</w:t>
      </w:r>
      <w:r w:rsidR="006D0AF4">
        <w:t xml:space="preserve"> Roxanna</w:t>
      </w:r>
      <w:r>
        <w:t xml:space="preserve"> it is always assumed that, unless specifically stated, it is Roxanna </w:t>
      </w:r>
      <w:r w:rsidRPr="00BD375E">
        <w:rPr>
          <w:b/>
          <w:bCs/>
        </w:rPr>
        <w:t>Pty Ltd</w:t>
      </w:r>
      <w:r>
        <w:rPr>
          <w:b/>
          <w:bCs/>
        </w:rPr>
        <w:t xml:space="preserve"> </w:t>
      </w:r>
      <w:r>
        <w:t>that is referred to.</w:t>
      </w:r>
    </w:p>
  </w:footnote>
  <w:footnote w:id="3">
    <w:p w14:paraId="49148D9A" w14:textId="50973A69" w:rsidR="003C1037" w:rsidRDefault="003C1037">
      <w:pPr>
        <w:pStyle w:val="FootnoteText"/>
      </w:pPr>
      <w:r>
        <w:rPr>
          <w:rStyle w:val="FootnoteReference"/>
        </w:rPr>
        <w:footnoteRef/>
      </w:r>
      <w:r>
        <w:t xml:space="preserve"> </w:t>
      </w:r>
      <w:r w:rsidR="0009362E">
        <w:t xml:space="preserve">Given the sequence of events, </w:t>
      </w:r>
      <w:r w:rsidR="008F3AEE">
        <w:t xml:space="preserve">the date in the application of 14/9/2022 </w:t>
      </w:r>
      <w:r>
        <w:t>must be a typographical error and will be treated as 14/9/2021.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386328"/>
    <w:multiLevelType w:val="multilevel"/>
    <w:tmpl w:val="FB6E59C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23BA5673"/>
    <w:multiLevelType w:val="hybridMultilevel"/>
    <w:tmpl w:val="225EE544"/>
    <w:lvl w:ilvl="0" w:tplc="1CAC5854">
      <w:start w:val="15"/>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348637EF"/>
    <w:multiLevelType w:val="hybridMultilevel"/>
    <w:tmpl w:val="836AF044"/>
    <w:lvl w:ilvl="0" w:tplc="75A49A8C">
      <w:start w:val="18"/>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39610C73"/>
    <w:multiLevelType w:val="multilevel"/>
    <w:tmpl w:val="6C7AED3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43C1082E"/>
    <w:multiLevelType w:val="hybridMultilevel"/>
    <w:tmpl w:val="BD34F7D6"/>
    <w:lvl w:ilvl="0" w:tplc="529ED242">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 w15:restartNumberingAfterBreak="0">
    <w:nsid w:val="5F631A84"/>
    <w:multiLevelType w:val="hybridMultilevel"/>
    <w:tmpl w:val="E77644CA"/>
    <w:lvl w:ilvl="0" w:tplc="0809000F">
      <w:start w:val="1"/>
      <w:numFmt w:val="decimal"/>
      <w:lvlText w:val="%1."/>
      <w:lvlJc w:val="left"/>
      <w:pPr>
        <w:ind w:left="1069"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6BE34221"/>
    <w:multiLevelType w:val="hybridMultilevel"/>
    <w:tmpl w:val="E0385C4A"/>
    <w:lvl w:ilvl="0" w:tplc="7150A6DC">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abstractNumId w:val="0"/>
  </w:num>
  <w:num w:numId="2">
    <w:abstractNumId w:val="3"/>
  </w:num>
  <w:num w:numId="3">
    <w:abstractNumId w:val="4"/>
  </w:num>
  <w:num w:numId="4">
    <w:abstractNumId w:val="1"/>
  </w:num>
  <w:num w:numId="5">
    <w:abstractNumId w:val="5"/>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1605"/>
    <w:rsid w:val="00025DCB"/>
    <w:rsid w:val="00045483"/>
    <w:rsid w:val="00073E40"/>
    <w:rsid w:val="0009362E"/>
    <w:rsid w:val="000A7F87"/>
    <w:rsid w:val="000B3E39"/>
    <w:rsid w:val="001264C2"/>
    <w:rsid w:val="001479FB"/>
    <w:rsid w:val="001969C1"/>
    <w:rsid w:val="001B0162"/>
    <w:rsid w:val="001F0E74"/>
    <w:rsid w:val="00247D1E"/>
    <w:rsid w:val="00257CB6"/>
    <w:rsid w:val="0026677B"/>
    <w:rsid w:val="00283A31"/>
    <w:rsid w:val="0028493A"/>
    <w:rsid w:val="002A18AB"/>
    <w:rsid w:val="002A2463"/>
    <w:rsid w:val="002B270B"/>
    <w:rsid w:val="002C7053"/>
    <w:rsid w:val="002D5C71"/>
    <w:rsid w:val="002E69F5"/>
    <w:rsid w:val="00316376"/>
    <w:rsid w:val="00340EB0"/>
    <w:rsid w:val="003544B6"/>
    <w:rsid w:val="00365943"/>
    <w:rsid w:val="00375D6E"/>
    <w:rsid w:val="003C1037"/>
    <w:rsid w:val="003E26CE"/>
    <w:rsid w:val="00462846"/>
    <w:rsid w:val="00490F31"/>
    <w:rsid w:val="004D09F3"/>
    <w:rsid w:val="004E11B6"/>
    <w:rsid w:val="004E7F76"/>
    <w:rsid w:val="00531F29"/>
    <w:rsid w:val="00536373"/>
    <w:rsid w:val="00537BB5"/>
    <w:rsid w:val="005419B3"/>
    <w:rsid w:val="00546291"/>
    <w:rsid w:val="00586C07"/>
    <w:rsid w:val="005B6491"/>
    <w:rsid w:val="005E1328"/>
    <w:rsid w:val="006425F4"/>
    <w:rsid w:val="00684DAA"/>
    <w:rsid w:val="00693DE6"/>
    <w:rsid w:val="006D0AF4"/>
    <w:rsid w:val="006F03AD"/>
    <w:rsid w:val="007122B4"/>
    <w:rsid w:val="007A1EDB"/>
    <w:rsid w:val="007D3C23"/>
    <w:rsid w:val="007F7B9A"/>
    <w:rsid w:val="00817841"/>
    <w:rsid w:val="00837A7C"/>
    <w:rsid w:val="00841543"/>
    <w:rsid w:val="00846E00"/>
    <w:rsid w:val="008531C4"/>
    <w:rsid w:val="0085588D"/>
    <w:rsid w:val="00880FF8"/>
    <w:rsid w:val="008C2899"/>
    <w:rsid w:val="008E6795"/>
    <w:rsid w:val="008F3AEE"/>
    <w:rsid w:val="00902BC5"/>
    <w:rsid w:val="0091045E"/>
    <w:rsid w:val="009F1605"/>
    <w:rsid w:val="00A25C62"/>
    <w:rsid w:val="00A42E9D"/>
    <w:rsid w:val="00A5377D"/>
    <w:rsid w:val="00A717DB"/>
    <w:rsid w:val="00A80C0B"/>
    <w:rsid w:val="00AD620D"/>
    <w:rsid w:val="00B0593F"/>
    <w:rsid w:val="00B23931"/>
    <w:rsid w:val="00B63689"/>
    <w:rsid w:val="00BD056A"/>
    <w:rsid w:val="00C14387"/>
    <w:rsid w:val="00C35963"/>
    <w:rsid w:val="00CA1DF8"/>
    <w:rsid w:val="00DA1C4E"/>
    <w:rsid w:val="00DE7EEB"/>
    <w:rsid w:val="00DF5DA0"/>
    <w:rsid w:val="00E17B86"/>
    <w:rsid w:val="00E8282C"/>
    <w:rsid w:val="00F329A1"/>
    <w:rsid w:val="00F803B1"/>
    <w:rsid w:val="00F850B0"/>
    <w:rsid w:val="00FE2DE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B36ED9"/>
  <w15:chartTrackingRefBased/>
  <w15:docId w15:val="{9D1F221F-1A8E-E549-BDA9-F19544114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160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5963"/>
    <w:pPr>
      <w:ind w:left="720"/>
      <w:contextualSpacing/>
    </w:pPr>
  </w:style>
  <w:style w:type="paragraph" w:styleId="FootnoteText">
    <w:name w:val="footnote text"/>
    <w:basedOn w:val="Normal"/>
    <w:link w:val="FootnoteTextChar"/>
    <w:uiPriority w:val="99"/>
    <w:semiHidden/>
    <w:unhideWhenUsed/>
    <w:rsid w:val="00C35963"/>
    <w:rPr>
      <w:sz w:val="20"/>
      <w:szCs w:val="20"/>
    </w:rPr>
  </w:style>
  <w:style w:type="character" w:customStyle="1" w:styleId="FootnoteTextChar">
    <w:name w:val="Footnote Text Char"/>
    <w:basedOn w:val="DefaultParagraphFont"/>
    <w:link w:val="FootnoteText"/>
    <w:uiPriority w:val="99"/>
    <w:semiHidden/>
    <w:rsid w:val="00C35963"/>
    <w:rPr>
      <w:sz w:val="20"/>
      <w:szCs w:val="20"/>
    </w:rPr>
  </w:style>
  <w:style w:type="character" w:styleId="FootnoteReference">
    <w:name w:val="footnote reference"/>
    <w:basedOn w:val="DefaultParagraphFont"/>
    <w:uiPriority w:val="99"/>
    <w:semiHidden/>
    <w:unhideWhenUsed/>
    <w:rsid w:val="00C35963"/>
    <w:rPr>
      <w:vertAlign w:val="superscript"/>
    </w:rPr>
  </w:style>
  <w:style w:type="paragraph" w:styleId="Footer">
    <w:name w:val="footer"/>
    <w:basedOn w:val="Normal"/>
    <w:link w:val="FooterChar"/>
    <w:uiPriority w:val="99"/>
    <w:unhideWhenUsed/>
    <w:rsid w:val="000A7F87"/>
    <w:pPr>
      <w:tabs>
        <w:tab w:val="center" w:pos="4513"/>
        <w:tab w:val="right" w:pos="9026"/>
      </w:tabs>
    </w:pPr>
  </w:style>
  <w:style w:type="character" w:customStyle="1" w:styleId="FooterChar">
    <w:name w:val="Footer Char"/>
    <w:basedOn w:val="DefaultParagraphFont"/>
    <w:link w:val="Footer"/>
    <w:uiPriority w:val="99"/>
    <w:rsid w:val="000A7F87"/>
  </w:style>
  <w:style w:type="character" w:styleId="PageNumber">
    <w:name w:val="page number"/>
    <w:basedOn w:val="DefaultParagraphFont"/>
    <w:uiPriority w:val="99"/>
    <w:semiHidden/>
    <w:unhideWhenUsed/>
    <w:rsid w:val="000A7F87"/>
  </w:style>
  <w:style w:type="paragraph" w:styleId="Revision">
    <w:name w:val="Revision"/>
    <w:hidden/>
    <w:uiPriority w:val="99"/>
    <w:semiHidden/>
    <w:rsid w:val="0091045E"/>
  </w:style>
  <w:style w:type="paragraph" w:styleId="BalloonText">
    <w:name w:val="Balloon Text"/>
    <w:basedOn w:val="Normal"/>
    <w:link w:val="BalloonTextChar"/>
    <w:uiPriority w:val="99"/>
    <w:semiHidden/>
    <w:unhideWhenUsed/>
    <w:rsid w:val="00B0593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593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6</Pages>
  <Words>1806</Words>
  <Characters>10299</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Registrar of Land, Business and Conveyancing Agents v Roxanna Pty Ltd</dc:title>
  <dc:subject/>
  <dc:creator>NorthernTerritoryGovernment@ntgov.onmicrosoft.com</dc:creator>
  <cp:keywords/>
  <dc:description/>
  <cp:lastModifiedBy>Kinnary Thummar</cp:lastModifiedBy>
  <cp:revision>6</cp:revision>
  <dcterms:created xsi:type="dcterms:W3CDTF">2023-10-31T02:45:00Z</dcterms:created>
  <dcterms:modified xsi:type="dcterms:W3CDTF">2023-10-31T06:39:00Z</dcterms:modified>
</cp:coreProperties>
</file>