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2C0D1B" w:rsidRDefault="003B38E2" w:rsidP="002C0D1B">
      <w:pPr>
        <w:pStyle w:val="Heading1"/>
      </w:pPr>
      <w:r w:rsidRPr="002C0D1B">
        <w:t>Reasons for Decision</w:t>
      </w:r>
    </w:p>
    <w:p w:rsidR="00DB64C1" w:rsidRPr="002C0D1B" w:rsidRDefault="00DB64C1" w:rsidP="002C0D1B">
      <w:pPr>
        <w:tabs>
          <w:tab w:val="left" w:pos="2835"/>
        </w:tabs>
        <w:spacing w:after="200"/>
        <w:rPr>
          <w:rFonts w:ascii="Arial" w:hAnsi="Arial" w:cs="Arial"/>
          <w:sz w:val="22"/>
          <w:szCs w:val="22"/>
        </w:rPr>
      </w:pPr>
      <w:r w:rsidRPr="002C0D1B">
        <w:rPr>
          <w:rFonts w:ascii="Arial" w:hAnsi="Arial" w:cs="Arial"/>
          <w:b/>
          <w:sz w:val="22"/>
          <w:szCs w:val="22"/>
        </w:rPr>
        <w:t>Complainant</w:t>
      </w:r>
      <w:r w:rsidRPr="002C0D1B">
        <w:rPr>
          <w:rFonts w:ascii="Arial" w:hAnsi="Arial" w:cs="Arial"/>
          <w:sz w:val="22"/>
          <w:szCs w:val="22"/>
        </w:rPr>
        <w:t>:</w:t>
      </w:r>
      <w:r w:rsidRPr="002C0D1B">
        <w:rPr>
          <w:rFonts w:ascii="Arial" w:hAnsi="Arial" w:cs="Arial"/>
          <w:sz w:val="22"/>
          <w:szCs w:val="22"/>
        </w:rPr>
        <w:tab/>
      </w:r>
      <w:r w:rsidR="005B712F" w:rsidRPr="002C0D1B">
        <w:rPr>
          <w:rFonts w:ascii="Arial" w:hAnsi="Arial" w:cs="Arial"/>
          <w:sz w:val="22"/>
          <w:szCs w:val="22"/>
        </w:rPr>
        <w:t>William Hill</w:t>
      </w:r>
    </w:p>
    <w:p w:rsidR="003B38E2" w:rsidRPr="002C0D1B" w:rsidRDefault="003B38E2" w:rsidP="002C0D1B">
      <w:pPr>
        <w:tabs>
          <w:tab w:val="left" w:pos="2835"/>
        </w:tabs>
        <w:spacing w:after="200"/>
        <w:rPr>
          <w:rFonts w:ascii="Arial" w:hAnsi="Arial" w:cs="Arial"/>
          <w:sz w:val="22"/>
          <w:szCs w:val="22"/>
          <w:lang w:val="en-GB"/>
        </w:rPr>
      </w:pPr>
      <w:r w:rsidRPr="002C0D1B">
        <w:rPr>
          <w:rFonts w:ascii="Arial" w:hAnsi="Arial" w:cs="Arial"/>
          <w:b/>
          <w:sz w:val="22"/>
          <w:szCs w:val="22"/>
        </w:rPr>
        <w:t>Licensee</w:t>
      </w:r>
      <w:r w:rsidRPr="002C0D1B">
        <w:rPr>
          <w:rFonts w:ascii="Arial" w:hAnsi="Arial" w:cs="Arial"/>
          <w:sz w:val="22"/>
          <w:szCs w:val="22"/>
          <w:lang w:val="en-GB"/>
        </w:rPr>
        <w:t>:</w:t>
      </w:r>
      <w:r w:rsidRPr="002C0D1B">
        <w:rPr>
          <w:rFonts w:ascii="Arial" w:hAnsi="Arial" w:cs="Arial"/>
          <w:sz w:val="22"/>
          <w:szCs w:val="22"/>
          <w:lang w:val="en-GB"/>
        </w:rPr>
        <w:tab/>
      </w:r>
      <w:r w:rsidR="006C21BF" w:rsidRPr="002C0D1B">
        <w:rPr>
          <w:rFonts w:ascii="Arial" w:hAnsi="Arial" w:cs="Arial"/>
          <w:sz w:val="22"/>
          <w:szCs w:val="22"/>
          <w:lang w:val="en-GB"/>
        </w:rPr>
        <w:t>William Hill</w:t>
      </w:r>
    </w:p>
    <w:p w:rsidR="003B38E2" w:rsidRPr="002C0D1B" w:rsidRDefault="003B38E2" w:rsidP="002C0D1B">
      <w:pPr>
        <w:tabs>
          <w:tab w:val="left" w:pos="2835"/>
        </w:tabs>
        <w:spacing w:after="200"/>
        <w:ind w:left="2835" w:hanging="2835"/>
        <w:rPr>
          <w:rFonts w:ascii="Arial" w:hAnsi="Arial" w:cs="Arial"/>
          <w:sz w:val="22"/>
          <w:szCs w:val="22"/>
          <w:lang w:val="en-GB"/>
        </w:rPr>
      </w:pPr>
      <w:r w:rsidRPr="002C0D1B">
        <w:rPr>
          <w:rFonts w:ascii="Arial" w:hAnsi="Arial" w:cs="Arial"/>
          <w:b/>
          <w:sz w:val="22"/>
          <w:szCs w:val="22"/>
        </w:rPr>
        <w:t>Proceedings</w:t>
      </w:r>
      <w:r w:rsidRPr="002C0D1B">
        <w:rPr>
          <w:rFonts w:ascii="Arial" w:hAnsi="Arial" w:cs="Arial"/>
          <w:sz w:val="22"/>
          <w:szCs w:val="22"/>
          <w:lang w:val="en-GB"/>
        </w:rPr>
        <w:t>:</w:t>
      </w:r>
      <w:r w:rsidRPr="002C0D1B">
        <w:rPr>
          <w:rFonts w:ascii="Arial" w:hAnsi="Arial" w:cs="Arial"/>
          <w:sz w:val="22"/>
          <w:szCs w:val="22"/>
          <w:lang w:val="en-GB"/>
        </w:rPr>
        <w:tab/>
      </w:r>
      <w:r w:rsidR="005F725E" w:rsidRPr="002C0D1B">
        <w:rPr>
          <w:rFonts w:ascii="Arial" w:hAnsi="Arial" w:cs="Arial"/>
          <w:sz w:val="22"/>
          <w:szCs w:val="22"/>
        </w:rPr>
        <w:t xml:space="preserve">Pursuant to Section 85(4) of the </w:t>
      </w:r>
      <w:r w:rsidR="005F725E" w:rsidRPr="002C0D1B">
        <w:rPr>
          <w:rFonts w:ascii="Arial" w:hAnsi="Arial" w:cs="Arial"/>
          <w:i/>
          <w:sz w:val="22"/>
          <w:szCs w:val="22"/>
        </w:rPr>
        <w:t xml:space="preserve">Racing </w:t>
      </w:r>
      <w:r w:rsidR="003B7086" w:rsidRPr="002C0D1B">
        <w:rPr>
          <w:rFonts w:ascii="Arial" w:hAnsi="Arial" w:cs="Arial"/>
          <w:i/>
          <w:sz w:val="22"/>
          <w:szCs w:val="22"/>
        </w:rPr>
        <w:t>a</w:t>
      </w:r>
      <w:r w:rsidR="005F725E" w:rsidRPr="002C0D1B">
        <w:rPr>
          <w:rFonts w:ascii="Arial" w:hAnsi="Arial" w:cs="Arial"/>
          <w:i/>
          <w:sz w:val="22"/>
          <w:szCs w:val="22"/>
        </w:rPr>
        <w:t>nd Betting Act</w:t>
      </w:r>
      <w:r w:rsidR="005F725E" w:rsidRPr="002C0D1B">
        <w:rPr>
          <w:rFonts w:ascii="Arial" w:hAnsi="Arial" w:cs="Arial"/>
          <w:sz w:val="22"/>
          <w:szCs w:val="22"/>
        </w:rPr>
        <w:t xml:space="preserve"> – Referral of Dispute to Racing Commission for Determination</w:t>
      </w:r>
      <w:r w:rsidR="0006223A" w:rsidRPr="002C0D1B">
        <w:rPr>
          <w:rFonts w:ascii="Arial" w:hAnsi="Arial" w:cs="Arial"/>
          <w:sz w:val="22"/>
          <w:szCs w:val="22"/>
        </w:rPr>
        <w:t xml:space="preserve"> - Mr</w:t>
      </w:r>
      <w:r w:rsidR="005B712F" w:rsidRPr="002C0D1B">
        <w:rPr>
          <w:rFonts w:ascii="Arial" w:hAnsi="Arial" w:cs="Arial"/>
          <w:sz w:val="22"/>
          <w:szCs w:val="22"/>
        </w:rPr>
        <w:t xml:space="preserve"> </w:t>
      </w:r>
      <w:r w:rsidR="00880C78" w:rsidRPr="002C0D1B">
        <w:rPr>
          <w:rFonts w:ascii="Arial" w:hAnsi="Arial" w:cs="Arial"/>
          <w:sz w:val="22"/>
          <w:szCs w:val="22"/>
        </w:rPr>
        <w:t>P</w:t>
      </w:r>
    </w:p>
    <w:p w:rsidR="003B38E2" w:rsidRPr="002C0D1B" w:rsidRDefault="003B38E2" w:rsidP="002C0D1B">
      <w:pPr>
        <w:tabs>
          <w:tab w:val="left" w:pos="2835"/>
        </w:tabs>
        <w:spacing w:after="200"/>
        <w:rPr>
          <w:rFonts w:ascii="Arial" w:hAnsi="Arial" w:cs="Arial"/>
          <w:sz w:val="22"/>
          <w:szCs w:val="22"/>
          <w:lang w:val="en-GB"/>
        </w:rPr>
      </w:pPr>
      <w:r w:rsidRPr="002C0D1B">
        <w:rPr>
          <w:rFonts w:ascii="Arial" w:hAnsi="Arial" w:cs="Arial"/>
          <w:b/>
          <w:sz w:val="22"/>
          <w:szCs w:val="22"/>
        </w:rPr>
        <w:t>Heard Before</w:t>
      </w:r>
      <w:r w:rsidRPr="002C0D1B">
        <w:rPr>
          <w:rFonts w:ascii="Arial" w:hAnsi="Arial" w:cs="Arial"/>
          <w:sz w:val="22"/>
          <w:szCs w:val="22"/>
          <w:lang w:val="en-GB"/>
        </w:rPr>
        <w:t>:</w:t>
      </w:r>
      <w:r w:rsidRPr="002C0D1B">
        <w:rPr>
          <w:rFonts w:ascii="Arial" w:hAnsi="Arial" w:cs="Arial"/>
          <w:sz w:val="22"/>
          <w:szCs w:val="22"/>
          <w:lang w:val="en-GB"/>
        </w:rPr>
        <w:tab/>
      </w:r>
      <w:r w:rsidR="006C21BF" w:rsidRPr="002C0D1B">
        <w:rPr>
          <w:rFonts w:ascii="Arial" w:hAnsi="Arial" w:cs="Arial"/>
          <w:sz w:val="22"/>
          <w:szCs w:val="22"/>
          <w:lang w:val="en-GB"/>
        </w:rPr>
        <w:t>John McBride</w:t>
      </w:r>
      <w:r w:rsidR="005B712F" w:rsidRPr="002C0D1B">
        <w:rPr>
          <w:rFonts w:ascii="Arial" w:hAnsi="Arial" w:cs="Arial"/>
          <w:sz w:val="22"/>
          <w:szCs w:val="22"/>
          <w:lang w:val="en-GB"/>
        </w:rPr>
        <w:t xml:space="preserve"> (Presiding Member)</w:t>
      </w:r>
    </w:p>
    <w:p w:rsidR="005F725E" w:rsidRPr="002C0D1B" w:rsidRDefault="00DB64C1" w:rsidP="002C0D1B">
      <w:pPr>
        <w:tabs>
          <w:tab w:val="left" w:pos="2835"/>
        </w:tabs>
        <w:spacing w:after="200"/>
        <w:rPr>
          <w:rFonts w:ascii="Arial" w:hAnsi="Arial" w:cs="Arial"/>
          <w:sz w:val="22"/>
          <w:szCs w:val="22"/>
        </w:rPr>
      </w:pPr>
      <w:r w:rsidRPr="002C0D1B">
        <w:rPr>
          <w:rFonts w:ascii="Arial" w:hAnsi="Arial" w:cs="Arial"/>
          <w:b/>
          <w:sz w:val="22"/>
          <w:szCs w:val="22"/>
        </w:rPr>
        <w:t>(</w:t>
      </w:r>
      <w:proofErr w:type="gramStart"/>
      <w:r w:rsidRPr="002C0D1B">
        <w:rPr>
          <w:rFonts w:ascii="Arial" w:hAnsi="Arial" w:cs="Arial"/>
          <w:b/>
          <w:sz w:val="22"/>
          <w:szCs w:val="22"/>
        </w:rPr>
        <w:t>on</w:t>
      </w:r>
      <w:proofErr w:type="gramEnd"/>
      <w:r w:rsidRPr="002C0D1B">
        <w:rPr>
          <w:rFonts w:ascii="Arial" w:hAnsi="Arial" w:cs="Arial"/>
          <w:b/>
          <w:sz w:val="22"/>
          <w:szCs w:val="22"/>
        </w:rPr>
        <w:t xml:space="preserve"> papers)</w:t>
      </w:r>
      <w:r w:rsidRPr="002C0D1B">
        <w:rPr>
          <w:rFonts w:ascii="Arial" w:hAnsi="Arial" w:cs="Arial"/>
          <w:sz w:val="22"/>
          <w:szCs w:val="22"/>
        </w:rPr>
        <w:tab/>
      </w:r>
      <w:r w:rsidR="006C21BF" w:rsidRPr="002C0D1B">
        <w:rPr>
          <w:rFonts w:ascii="Arial" w:hAnsi="Arial" w:cs="Arial"/>
          <w:sz w:val="22"/>
          <w:szCs w:val="22"/>
          <w:lang w:val="en-GB"/>
        </w:rPr>
        <w:t xml:space="preserve">John </w:t>
      </w:r>
      <w:proofErr w:type="spellStart"/>
      <w:r w:rsidR="006C21BF" w:rsidRPr="002C0D1B">
        <w:rPr>
          <w:rFonts w:ascii="Arial" w:hAnsi="Arial" w:cs="Arial"/>
          <w:sz w:val="22"/>
          <w:szCs w:val="22"/>
          <w:lang w:val="en-GB"/>
        </w:rPr>
        <w:t>Boneham</w:t>
      </w:r>
      <w:proofErr w:type="spellEnd"/>
      <w:r w:rsidR="002C0D1B">
        <w:rPr>
          <w:rFonts w:ascii="Arial" w:hAnsi="Arial" w:cs="Arial"/>
          <w:sz w:val="22"/>
          <w:szCs w:val="22"/>
          <w:lang w:val="en-GB"/>
        </w:rPr>
        <w:br/>
      </w:r>
      <w:r w:rsidR="005F725E" w:rsidRPr="002C0D1B">
        <w:rPr>
          <w:rFonts w:ascii="Arial" w:hAnsi="Arial" w:cs="Arial"/>
          <w:sz w:val="22"/>
          <w:szCs w:val="22"/>
        </w:rPr>
        <w:tab/>
      </w:r>
      <w:r w:rsidR="006C21BF" w:rsidRPr="002C0D1B">
        <w:rPr>
          <w:rFonts w:ascii="Arial" w:hAnsi="Arial" w:cs="Arial"/>
          <w:sz w:val="22"/>
          <w:szCs w:val="22"/>
          <w:lang w:val="en-GB"/>
        </w:rPr>
        <w:t>Andrew Maloney</w:t>
      </w:r>
    </w:p>
    <w:p w:rsidR="003B38E2" w:rsidRPr="002C0D1B" w:rsidRDefault="003B38E2" w:rsidP="002C0D1B">
      <w:pPr>
        <w:tabs>
          <w:tab w:val="left" w:pos="2835"/>
        </w:tabs>
        <w:spacing w:after="200"/>
        <w:rPr>
          <w:rFonts w:ascii="Arial" w:hAnsi="Arial" w:cs="Arial"/>
          <w:sz w:val="22"/>
          <w:szCs w:val="22"/>
        </w:rPr>
      </w:pPr>
      <w:r w:rsidRPr="002C0D1B">
        <w:rPr>
          <w:rFonts w:ascii="Arial" w:hAnsi="Arial" w:cs="Arial"/>
          <w:b/>
          <w:sz w:val="22"/>
          <w:szCs w:val="22"/>
        </w:rPr>
        <w:t>Date of Decision</w:t>
      </w:r>
      <w:r w:rsidRPr="002C0D1B">
        <w:rPr>
          <w:rFonts w:ascii="Arial" w:hAnsi="Arial" w:cs="Arial"/>
          <w:sz w:val="22"/>
          <w:szCs w:val="22"/>
        </w:rPr>
        <w:t>:</w:t>
      </w:r>
      <w:r w:rsidRPr="002C0D1B">
        <w:rPr>
          <w:rFonts w:ascii="Arial" w:hAnsi="Arial" w:cs="Arial"/>
          <w:sz w:val="22"/>
          <w:szCs w:val="22"/>
        </w:rPr>
        <w:tab/>
      </w:r>
      <w:r w:rsidR="009B66AE" w:rsidRPr="002C0D1B">
        <w:rPr>
          <w:rFonts w:ascii="Arial" w:hAnsi="Arial" w:cs="Arial"/>
          <w:sz w:val="22"/>
          <w:szCs w:val="22"/>
        </w:rPr>
        <w:t xml:space="preserve">12 </w:t>
      </w:r>
      <w:r w:rsidR="00BE566E" w:rsidRPr="002C0D1B">
        <w:rPr>
          <w:rFonts w:ascii="Arial" w:hAnsi="Arial" w:cs="Arial"/>
          <w:sz w:val="22"/>
          <w:szCs w:val="22"/>
        </w:rPr>
        <w:t>October 2016</w:t>
      </w:r>
    </w:p>
    <w:p w:rsidR="003B38E2" w:rsidRPr="00A30195" w:rsidRDefault="003B38E2" w:rsidP="003B38E2">
      <w:pPr>
        <w:pStyle w:val="BottomLine"/>
      </w:pPr>
    </w:p>
    <w:p w:rsidR="003B38E2" w:rsidRPr="002C0D1B" w:rsidRDefault="00DB64C1" w:rsidP="002C0D1B">
      <w:pPr>
        <w:pStyle w:val="Heading2"/>
        <w:spacing w:before="120"/>
      </w:pPr>
      <w:r w:rsidRPr="002C0D1B">
        <w:t>Background</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On the 27 August 1995, </w:t>
      </w:r>
      <w:r w:rsidR="00BE566E" w:rsidRPr="00C6133F">
        <w:rPr>
          <w:rFonts w:ascii="Arial" w:hAnsi="Arial" w:cs="Arial"/>
          <w:sz w:val="22"/>
          <w:szCs w:val="22"/>
        </w:rPr>
        <w:t>a</w:t>
      </w:r>
      <w:r w:rsidRPr="00C6133F">
        <w:rPr>
          <w:rFonts w:ascii="Arial" w:hAnsi="Arial" w:cs="Arial"/>
          <w:sz w:val="22"/>
          <w:szCs w:val="22"/>
        </w:rPr>
        <w:t xml:space="preserve">ccount number </w:t>
      </w:r>
      <w:r w:rsidR="00856B93">
        <w:rPr>
          <w:rFonts w:ascii="Arial" w:hAnsi="Arial" w:cs="Arial"/>
          <w:sz w:val="22"/>
          <w:szCs w:val="22"/>
        </w:rPr>
        <w:t>XXX</w:t>
      </w:r>
      <w:r w:rsidRPr="00C6133F">
        <w:rPr>
          <w:rFonts w:ascii="Arial" w:hAnsi="Arial" w:cs="Arial"/>
          <w:sz w:val="22"/>
          <w:szCs w:val="22"/>
        </w:rPr>
        <w:t xml:space="preserve">, was opened under the name of Mr </w:t>
      </w:r>
      <w:r w:rsidR="00880C78">
        <w:rPr>
          <w:rFonts w:ascii="Arial" w:hAnsi="Arial" w:cs="Arial"/>
          <w:sz w:val="22"/>
          <w:szCs w:val="22"/>
        </w:rPr>
        <w:t>P</w:t>
      </w:r>
      <w:r w:rsidRPr="00C6133F">
        <w:rPr>
          <w:rFonts w:ascii="Arial" w:hAnsi="Arial" w:cs="Arial"/>
          <w:sz w:val="22"/>
          <w:szCs w:val="22"/>
        </w:rPr>
        <w:t xml:space="preserve"> with the Number One Betting Shop which changed its trading name to Sportingbet Australia and late</w:t>
      </w:r>
      <w:r w:rsidR="00145EDA" w:rsidRPr="00C6133F">
        <w:rPr>
          <w:rFonts w:ascii="Arial" w:hAnsi="Arial" w:cs="Arial"/>
          <w:sz w:val="22"/>
          <w:szCs w:val="22"/>
        </w:rPr>
        <w:t>r</w:t>
      </w:r>
      <w:r w:rsidRPr="00C6133F">
        <w:rPr>
          <w:rFonts w:ascii="Arial" w:hAnsi="Arial" w:cs="Arial"/>
          <w:sz w:val="22"/>
          <w:szCs w:val="22"/>
        </w:rPr>
        <w:t xml:space="preserve"> William Hill. Usual probity of identification of the licenced bookmaker’s customer was undertaken.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Wagers with the licenced bookmaker by Mr </w:t>
      </w:r>
      <w:r w:rsidR="00880C78">
        <w:rPr>
          <w:rFonts w:ascii="Arial" w:hAnsi="Arial" w:cs="Arial"/>
          <w:sz w:val="22"/>
          <w:szCs w:val="22"/>
        </w:rPr>
        <w:t>P</w:t>
      </w:r>
      <w:r w:rsidRPr="00C6133F">
        <w:rPr>
          <w:rFonts w:ascii="Arial" w:hAnsi="Arial" w:cs="Arial"/>
          <w:sz w:val="22"/>
          <w:szCs w:val="22"/>
        </w:rPr>
        <w:t xml:space="preserve"> commenced and continued up until </w:t>
      </w:r>
      <w:r w:rsidR="0006223A">
        <w:rPr>
          <w:rFonts w:ascii="Arial" w:hAnsi="Arial" w:cs="Arial"/>
          <w:sz w:val="22"/>
          <w:szCs w:val="22"/>
        </w:rPr>
        <w:br/>
      </w:r>
      <w:r w:rsidRPr="00C6133F">
        <w:rPr>
          <w:rFonts w:ascii="Arial" w:hAnsi="Arial" w:cs="Arial"/>
          <w:sz w:val="22"/>
          <w:szCs w:val="22"/>
        </w:rPr>
        <w:t>16 January 2016. At that time a record of the customer’s account balance identifies an amount of $1</w:t>
      </w:r>
      <w:r w:rsidR="00145EDA" w:rsidRPr="00C6133F">
        <w:rPr>
          <w:rFonts w:ascii="Arial" w:hAnsi="Arial" w:cs="Arial"/>
          <w:sz w:val="22"/>
          <w:szCs w:val="22"/>
        </w:rPr>
        <w:t>,</w:t>
      </w:r>
      <w:r w:rsidRPr="00C6133F">
        <w:rPr>
          <w:rFonts w:ascii="Arial" w:hAnsi="Arial" w:cs="Arial"/>
          <w:sz w:val="22"/>
          <w:szCs w:val="22"/>
        </w:rPr>
        <w:t xml:space="preserve">622.11 unpaid for wagers placed and lost with the licenced sports bookmaker by Mr </w:t>
      </w:r>
      <w:r w:rsidR="00880C78">
        <w:rPr>
          <w:rFonts w:ascii="Arial" w:hAnsi="Arial" w:cs="Arial"/>
          <w:sz w:val="22"/>
          <w:szCs w:val="22"/>
        </w:rPr>
        <w:t>P</w:t>
      </w:r>
      <w:r w:rsidRPr="00C6133F">
        <w:rPr>
          <w:rFonts w:ascii="Arial" w:hAnsi="Arial" w:cs="Arial"/>
          <w:sz w:val="22"/>
          <w:szCs w:val="22"/>
        </w:rPr>
        <w:t xml:space="preserve">.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Despite repeated requests for payment</w:t>
      </w:r>
      <w:r w:rsidR="00145EDA" w:rsidRPr="00C6133F">
        <w:rPr>
          <w:rFonts w:ascii="Arial" w:hAnsi="Arial" w:cs="Arial"/>
          <w:sz w:val="22"/>
          <w:szCs w:val="22"/>
        </w:rPr>
        <w:t>,</w:t>
      </w:r>
      <w:r w:rsidRPr="00C6133F">
        <w:rPr>
          <w:rFonts w:ascii="Arial" w:hAnsi="Arial" w:cs="Arial"/>
          <w:sz w:val="22"/>
          <w:szCs w:val="22"/>
        </w:rPr>
        <w:t xml:space="preserve"> the balance claimed as outstanding remains unpaid. It is this amount the sports bookmaker alleges is owed by Mr </w:t>
      </w:r>
      <w:r w:rsidR="00880C78">
        <w:rPr>
          <w:rFonts w:ascii="Arial" w:hAnsi="Arial" w:cs="Arial"/>
          <w:sz w:val="22"/>
          <w:szCs w:val="22"/>
        </w:rPr>
        <w:t>P</w:t>
      </w:r>
      <w:r w:rsidRPr="00C6133F">
        <w:rPr>
          <w:rFonts w:ascii="Arial" w:hAnsi="Arial" w:cs="Arial"/>
          <w:sz w:val="22"/>
          <w:szCs w:val="22"/>
        </w:rPr>
        <w:t xml:space="preserve"> and seeks a determination by this Commission of whether bets placed by Mr </w:t>
      </w:r>
      <w:r w:rsidR="0006223A">
        <w:rPr>
          <w:rFonts w:ascii="Arial" w:hAnsi="Arial" w:cs="Arial"/>
          <w:sz w:val="22"/>
          <w:szCs w:val="22"/>
        </w:rPr>
        <w:t>P</w:t>
      </w:r>
      <w:r w:rsidRPr="00C6133F">
        <w:rPr>
          <w:rFonts w:ascii="Arial" w:hAnsi="Arial" w:cs="Arial"/>
          <w:sz w:val="22"/>
          <w:szCs w:val="22"/>
        </w:rPr>
        <w:t xml:space="preserve"> with the bookmaker were lawful pursuant to Section 85(2) of the </w:t>
      </w:r>
      <w:r w:rsidRPr="00C6133F">
        <w:rPr>
          <w:rFonts w:ascii="Arial" w:hAnsi="Arial" w:cs="Arial"/>
          <w:i/>
          <w:sz w:val="22"/>
          <w:szCs w:val="22"/>
        </w:rPr>
        <w:t>Racing and Betting Act</w:t>
      </w:r>
      <w:r w:rsidRPr="00C6133F">
        <w:rPr>
          <w:rFonts w:ascii="Arial" w:hAnsi="Arial" w:cs="Arial"/>
          <w:sz w:val="22"/>
          <w:szCs w:val="22"/>
        </w:rPr>
        <w:t>.</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Section 85(2) states</w:t>
      </w:r>
    </w:p>
    <w:p w:rsidR="006C21BF" w:rsidRPr="00C6133F" w:rsidRDefault="006C21BF" w:rsidP="006C21BF">
      <w:pPr>
        <w:pStyle w:val="ListParagraph"/>
        <w:tabs>
          <w:tab w:val="left" w:pos="1418"/>
        </w:tabs>
        <w:spacing w:after="240"/>
        <w:ind w:left="1418" w:hanging="425"/>
        <w:jc w:val="both"/>
        <w:rPr>
          <w:rFonts w:ascii="Arial" w:hAnsi="Arial" w:cs="Arial"/>
          <w:i/>
          <w:sz w:val="22"/>
          <w:szCs w:val="22"/>
        </w:rPr>
      </w:pPr>
      <w:r w:rsidRPr="00C6133F">
        <w:rPr>
          <w:rFonts w:ascii="Arial" w:hAnsi="Arial" w:cs="Arial"/>
          <w:i/>
          <w:sz w:val="22"/>
          <w:szCs w:val="22"/>
        </w:rPr>
        <w:t xml:space="preserve">85 </w:t>
      </w:r>
      <w:r w:rsidRPr="00C6133F">
        <w:rPr>
          <w:rFonts w:ascii="Arial" w:hAnsi="Arial" w:cs="Arial"/>
          <w:i/>
          <w:sz w:val="22"/>
          <w:szCs w:val="22"/>
        </w:rPr>
        <w:tab/>
        <w:t>Legal Proceedings in respect of bets</w:t>
      </w:r>
    </w:p>
    <w:p w:rsidR="006C21BF" w:rsidRPr="00C6133F" w:rsidRDefault="006C21BF" w:rsidP="006C21BF">
      <w:pPr>
        <w:pStyle w:val="ListParagraph"/>
        <w:tabs>
          <w:tab w:val="left" w:pos="1418"/>
        </w:tabs>
        <w:spacing w:after="240"/>
        <w:ind w:left="1418" w:hanging="425"/>
        <w:jc w:val="both"/>
        <w:rPr>
          <w:rFonts w:ascii="Arial" w:hAnsi="Arial" w:cs="Arial"/>
          <w:i/>
          <w:sz w:val="22"/>
          <w:szCs w:val="22"/>
        </w:rPr>
      </w:pPr>
      <w:r w:rsidRPr="00C6133F">
        <w:rPr>
          <w:rFonts w:ascii="Arial" w:hAnsi="Arial" w:cs="Arial"/>
          <w:i/>
          <w:sz w:val="22"/>
          <w:szCs w:val="22"/>
        </w:rPr>
        <w:t>(2)</w:t>
      </w:r>
      <w:r w:rsidRPr="00C6133F">
        <w:rPr>
          <w:rFonts w:ascii="Arial" w:hAnsi="Arial" w:cs="Arial"/>
          <w:i/>
          <w:sz w:val="22"/>
          <w:szCs w:val="22"/>
        </w:rPr>
        <w:tab/>
        <w:t>Where a dispute relating to lawful betting occurs between a bookmaker and a person, the dispute shall be referred by the bookmaker, and may be referred by the other party to the dispute, to the Commission.</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The bets or wagers in question were placed by Mr </w:t>
      </w:r>
      <w:r w:rsidR="00880C78">
        <w:rPr>
          <w:rFonts w:ascii="Arial" w:hAnsi="Arial" w:cs="Arial"/>
          <w:sz w:val="22"/>
          <w:szCs w:val="22"/>
        </w:rPr>
        <w:t>P</w:t>
      </w:r>
      <w:r w:rsidRPr="00C6133F">
        <w:rPr>
          <w:rFonts w:ascii="Arial" w:hAnsi="Arial" w:cs="Arial"/>
          <w:sz w:val="22"/>
          <w:szCs w:val="22"/>
        </w:rPr>
        <w:t xml:space="preserve"> who had opened an account with Number One Betting Shop the predecessor in name of William Hill back in 1995. Mr </w:t>
      </w:r>
      <w:r w:rsidR="00880C78">
        <w:rPr>
          <w:rFonts w:ascii="Arial" w:hAnsi="Arial" w:cs="Arial"/>
          <w:sz w:val="22"/>
          <w:szCs w:val="22"/>
        </w:rPr>
        <w:t>P</w:t>
      </w:r>
      <w:r w:rsidRPr="00C6133F">
        <w:rPr>
          <w:rFonts w:ascii="Arial" w:hAnsi="Arial" w:cs="Arial"/>
          <w:sz w:val="22"/>
          <w:szCs w:val="22"/>
        </w:rPr>
        <w:t xml:space="preserve"> operated his account and routinely placed bets with William Hill as is evidenced by their betting transactions ledger. Indeed as recent as 8th September 2015 Mr </w:t>
      </w:r>
      <w:r w:rsidR="00880C78">
        <w:rPr>
          <w:rFonts w:ascii="Arial" w:hAnsi="Arial" w:cs="Arial"/>
          <w:sz w:val="22"/>
          <w:szCs w:val="22"/>
        </w:rPr>
        <w:t>P</w:t>
      </w:r>
      <w:r w:rsidRPr="00C6133F">
        <w:rPr>
          <w:rFonts w:ascii="Arial" w:hAnsi="Arial" w:cs="Arial"/>
          <w:sz w:val="22"/>
          <w:szCs w:val="22"/>
        </w:rPr>
        <w:t xml:space="preserve"> withdrew winnings from his betting account with William Hill in the amount of $2,300.00 and continued to operate his account until suspended after 16th January 2016 with </w:t>
      </w:r>
      <w:r w:rsidR="00145EDA" w:rsidRPr="00C6133F">
        <w:rPr>
          <w:rFonts w:ascii="Arial" w:hAnsi="Arial" w:cs="Arial"/>
          <w:sz w:val="22"/>
          <w:szCs w:val="22"/>
        </w:rPr>
        <w:t>the</w:t>
      </w:r>
      <w:r w:rsidRPr="00C6133F">
        <w:rPr>
          <w:rFonts w:ascii="Arial" w:hAnsi="Arial" w:cs="Arial"/>
          <w:sz w:val="22"/>
          <w:szCs w:val="22"/>
        </w:rPr>
        <w:t xml:space="preserve"> balance outstanding at that time in the amount of the disputed sum. Demands in writing for payment of the outstanding account balance were made to Mr </w:t>
      </w:r>
      <w:r w:rsidR="00880C78">
        <w:rPr>
          <w:rFonts w:ascii="Arial" w:hAnsi="Arial" w:cs="Arial"/>
          <w:sz w:val="22"/>
          <w:szCs w:val="22"/>
        </w:rPr>
        <w:t>P</w:t>
      </w:r>
      <w:r w:rsidRPr="00C6133F">
        <w:rPr>
          <w:rFonts w:ascii="Arial" w:hAnsi="Arial" w:cs="Arial"/>
          <w:sz w:val="22"/>
          <w:szCs w:val="22"/>
        </w:rPr>
        <w:t xml:space="preserve"> in March 2016 and responded to via email from Mr </w:t>
      </w:r>
      <w:r w:rsidR="00880C78">
        <w:rPr>
          <w:rFonts w:ascii="Arial" w:hAnsi="Arial" w:cs="Arial"/>
          <w:sz w:val="22"/>
          <w:szCs w:val="22"/>
        </w:rPr>
        <w:t>P</w:t>
      </w:r>
      <w:r w:rsidRPr="00C6133F">
        <w:rPr>
          <w:rFonts w:ascii="Arial" w:hAnsi="Arial" w:cs="Arial"/>
          <w:sz w:val="22"/>
          <w:szCs w:val="22"/>
        </w:rPr>
        <w:t xml:space="preserve"> complaining only of being restricted in placing bets. The balance outstanding and demanded for payment was neither paid nor specifically addressed.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The request by the bookmaker for a determination of the lawfulness of a series of wagers giving rise to their claim for payment of the sum of $1,622.11 arises from the refusal of </w:t>
      </w:r>
      <w:r w:rsidR="0006223A">
        <w:rPr>
          <w:rFonts w:ascii="Arial" w:hAnsi="Arial" w:cs="Arial"/>
          <w:sz w:val="22"/>
          <w:szCs w:val="22"/>
        </w:rPr>
        <w:br/>
      </w:r>
      <w:r w:rsidRPr="00C6133F">
        <w:rPr>
          <w:rFonts w:ascii="Arial" w:hAnsi="Arial" w:cs="Arial"/>
          <w:sz w:val="22"/>
          <w:szCs w:val="22"/>
        </w:rPr>
        <w:t xml:space="preserve">Mr </w:t>
      </w:r>
      <w:r w:rsidR="00880C78">
        <w:rPr>
          <w:rFonts w:ascii="Arial" w:hAnsi="Arial" w:cs="Arial"/>
          <w:sz w:val="22"/>
          <w:szCs w:val="22"/>
        </w:rPr>
        <w:t>P</w:t>
      </w:r>
      <w:r w:rsidRPr="00C6133F">
        <w:rPr>
          <w:rFonts w:ascii="Arial" w:hAnsi="Arial" w:cs="Arial"/>
          <w:sz w:val="22"/>
          <w:szCs w:val="22"/>
        </w:rPr>
        <w:t xml:space="preserve"> to settle this balance on his account with the licenced Sports Bookmaker and the requirement for referral to this Commission to have such disputed bets declared lawful or </w:t>
      </w:r>
      <w:r w:rsidRPr="00C6133F">
        <w:rPr>
          <w:rFonts w:ascii="Arial" w:hAnsi="Arial" w:cs="Arial"/>
          <w:sz w:val="22"/>
          <w:szCs w:val="22"/>
        </w:rPr>
        <w:lastRenderedPageBreak/>
        <w:t xml:space="preserve">otherwise pursuant to section 85. Until a determination requested is made the Sports Bookmaker is fettered in its ability to redress at law any claimed outstanding debt.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The Commission through its Senior Compliance Officer invited a written response from </w:t>
      </w:r>
      <w:r w:rsidR="0006223A">
        <w:rPr>
          <w:rFonts w:ascii="Arial" w:hAnsi="Arial" w:cs="Arial"/>
          <w:sz w:val="22"/>
          <w:szCs w:val="22"/>
        </w:rPr>
        <w:br/>
      </w:r>
      <w:r w:rsidRPr="00C6133F">
        <w:rPr>
          <w:rFonts w:ascii="Arial" w:hAnsi="Arial" w:cs="Arial"/>
          <w:sz w:val="22"/>
          <w:szCs w:val="22"/>
        </w:rPr>
        <w:t xml:space="preserve">Mr </w:t>
      </w:r>
      <w:r w:rsidR="00880C78">
        <w:rPr>
          <w:rFonts w:ascii="Arial" w:hAnsi="Arial" w:cs="Arial"/>
          <w:sz w:val="22"/>
          <w:szCs w:val="22"/>
        </w:rPr>
        <w:t>P</w:t>
      </w:r>
      <w:r w:rsidRPr="00C6133F">
        <w:rPr>
          <w:rFonts w:ascii="Arial" w:hAnsi="Arial" w:cs="Arial"/>
          <w:sz w:val="22"/>
          <w:szCs w:val="22"/>
        </w:rPr>
        <w:t xml:space="preserve"> to the licenced Sports Bookmaker’s referred dispute but received none despite written reminders being sent.</w:t>
      </w:r>
    </w:p>
    <w:p w:rsidR="007046C6" w:rsidRPr="002C0D1B" w:rsidRDefault="00DB64C1" w:rsidP="002C0D1B">
      <w:pPr>
        <w:pStyle w:val="Heading2"/>
      </w:pPr>
      <w:r w:rsidRPr="002C0D1B">
        <w:t>Facts of the Matter</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This matter comes before the Commission on papers presented to the Commission in meeting in June 2016 by the Manager of Compliance Mr Travis Te Whata. At its meeting the Commission delegated to a panel of three members including the Chairman this dispute for determination. </w:t>
      </w:r>
    </w:p>
    <w:p w:rsidR="000048F3" w:rsidRPr="002C0D1B" w:rsidRDefault="00DB64C1" w:rsidP="002C0D1B">
      <w:pPr>
        <w:pStyle w:val="Heading2"/>
      </w:pPr>
      <w:r w:rsidRPr="002C0D1B">
        <w:t>Consideration of the Issues</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William Hill being a licenced Sports Bookmaker accepted wagers from Mr </w:t>
      </w:r>
      <w:proofErr w:type="gramStart"/>
      <w:r w:rsidR="00880C78">
        <w:rPr>
          <w:rFonts w:ascii="Arial" w:hAnsi="Arial" w:cs="Arial"/>
          <w:sz w:val="22"/>
          <w:szCs w:val="22"/>
        </w:rPr>
        <w:t>P</w:t>
      </w:r>
      <w:r w:rsidRPr="00C6133F">
        <w:rPr>
          <w:rFonts w:ascii="Arial" w:hAnsi="Arial" w:cs="Arial"/>
          <w:sz w:val="22"/>
          <w:szCs w:val="22"/>
        </w:rPr>
        <w:t>,</w:t>
      </w:r>
      <w:proofErr w:type="gramEnd"/>
      <w:r w:rsidRPr="00C6133F">
        <w:rPr>
          <w:rFonts w:ascii="Arial" w:hAnsi="Arial" w:cs="Arial"/>
          <w:sz w:val="22"/>
          <w:szCs w:val="22"/>
        </w:rPr>
        <w:t xml:space="preserve"> received payments made by Mr </w:t>
      </w:r>
      <w:r w:rsidR="00880C78">
        <w:rPr>
          <w:rFonts w:ascii="Arial" w:hAnsi="Arial" w:cs="Arial"/>
          <w:sz w:val="22"/>
          <w:szCs w:val="22"/>
        </w:rPr>
        <w:t>P</w:t>
      </w:r>
      <w:r w:rsidRPr="00C6133F">
        <w:rPr>
          <w:rFonts w:ascii="Arial" w:hAnsi="Arial" w:cs="Arial"/>
          <w:sz w:val="22"/>
          <w:szCs w:val="22"/>
        </w:rPr>
        <w:t xml:space="preserve"> and provided from time to time running account statements to Mr</w:t>
      </w:r>
      <w:r w:rsidR="00E675D8">
        <w:rPr>
          <w:rFonts w:ascii="Arial" w:hAnsi="Arial" w:cs="Arial"/>
          <w:sz w:val="22"/>
          <w:szCs w:val="22"/>
        </w:rPr>
        <w:t> </w:t>
      </w:r>
      <w:r w:rsidR="00880C78">
        <w:rPr>
          <w:rFonts w:ascii="Arial" w:hAnsi="Arial" w:cs="Arial"/>
          <w:sz w:val="22"/>
          <w:szCs w:val="22"/>
        </w:rPr>
        <w:t>P</w:t>
      </w:r>
      <w:r w:rsidRPr="00C6133F">
        <w:rPr>
          <w:rFonts w:ascii="Arial" w:hAnsi="Arial" w:cs="Arial"/>
          <w:sz w:val="22"/>
          <w:szCs w:val="22"/>
        </w:rPr>
        <w:t xml:space="preserve"> in accordance with expected best practi</w:t>
      </w:r>
      <w:r w:rsidR="00145EDA" w:rsidRPr="00C6133F">
        <w:rPr>
          <w:rFonts w:ascii="Arial" w:hAnsi="Arial" w:cs="Arial"/>
          <w:sz w:val="22"/>
          <w:szCs w:val="22"/>
        </w:rPr>
        <w:t>c</w:t>
      </w:r>
      <w:r w:rsidRPr="00C6133F">
        <w:rPr>
          <w:rFonts w:ascii="Arial" w:hAnsi="Arial" w:cs="Arial"/>
          <w:sz w:val="22"/>
          <w:szCs w:val="22"/>
        </w:rPr>
        <w:t xml:space="preserve">e. Mr </w:t>
      </w:r>
      <w:r w:rsidR="00880C78">
        <w:rPr>
          <w:rFonts w:ascii="Arial" w:hAnsi="Arial" w:cs="Arial"/>
          <w:sz w:val="22"/>
          <w:szCs w:val="22"/>
        </w:rPr>
        <w:t>P</w:t>
      </w:r>
      <w:r w:rsidRPr="00C6133F">
        <w:rPr>
          <w:rFonts w:ascii="Arial" w:hAnsi="Arial" w:cs="Arial"/>
          <w:sz w:val="22"/>
          <w:szCs w:val="22"/>
        </w:rPr>
        <w:t xml:space="preserve">’s account with William Hill and its licenced predecessors has spanned more than twenty years.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Mr </w:t>
      </w:r>
      <w:r w:rsidR="00880C78">
        <w:rPr>
          <w:rFonts w:ascii="Arial" w:hAnsi="Arial" w:cs="Arial"/>
          <w:sz w:val="22"/>
          <w:szCs w:val="22"/>
        </w:rPr>
        <w:t>P</w:t>
      </w:r>
      <w:r w:rsidRPr="00C6133F">
        <w:rPr>
          <w:rFonts w:ascii="Arial" w:hAnsi="Arial" w:cs="Arial"/>
          <w:sz w:val="22"/>
          <w:szCs w:val="22"/>
        </w:rPr>
        <w:t xml:space="preserve"> admitted to making the disputed wagers, receiving statements and making payments from time to time on its account. Absent any written presentation of dispute from Mr </w:t>
      </w:r>
      <w:r w:rsidR="00880C78">
        <w:rPr>
          <w:rFonts w:ascii="Arial" w:hAnsi="Arial" w:cs="Arial"/>
          <w:sz w:val="22"/>
          <w:szCs w:val="22"/>
        </w:rPr>
        <w:t>P</w:t>
      </w:r>
      <w:r w:rsidRPr="00C6133F">
        <w:rPr>
          <w:rFonts w:ascii="Arial" w:hAnsi="Arial" w:cs="Arial"/>
          <w:sz w:val="22"/>
          <w:szCs w:val="22"/>
        </w:rPr>
        <w:t xml:space="preserve"> or evidence of any irregularity with his account it follows that the betting undertaken by Mr </w:t>
      </w:r>
      <w:r w:rsidR="00880C78">
        <w:rPr>
          <w:rFonts w:ascii="Arial" w:hAnsi="Arial" w:cs="Arial"/>
          <w:sz w:val="22"/>
          <w:szCs w:val="22"/>
        </w:rPr>
        <w:t>P</w:t>
      </w:r>
      <w:r w:rsidRPr="00C6133F">
        <w:rPr>
          <w:rFonts w:ascii="Arial" w:hAnsi="Arial" w:cs="Arial"/>
          <w:sz w:val="22"/>
          <w:szCs w:val="22"/>
        </w:rPr>
        <w:t xml:space="preserve"> was both voluntary and lawful.  </w:t>
      </w:r>
    </w:p>
    <w:p w:rsidR="006C21BF" w:rsidRPr="00C6133F" w:rsidRDefault="006C21BF" w:rsidP="006C21BF">
      <w:pPr>
        <w:pStyle w:val="ListParagraph"/>
        <w:numPr>
          <w:ilvl w:val="0"/>
          <w:numId w:val="16"/>
        </w:numPr>
        <w:spacing w:after="240"/>
        <w:ind w:left="567" w:hanging="425"/>
        <w:jc w:val="both"/>
        <w:rPr>
          <w:rFonts w:ascii="Arial" w:hAnsi="Arial" w:cs="Arial"/>
          <w:sz w:val="22"/>
          <w:szCs w:val="22"/>
        </w:rPr>
      </w:pPr>
      <w:r w:rsidRPr="00C6133F">
        <w:rPr>
          <w:rFonts w:ascii="Arial" w:hAnsi="Arial" w:cs="Arial"/>
          <w:sz w:val="22"/>
          <w:szCs w:val="22"/>
        </w:rPr>
        <w:t xml:space="preserve">The Commission finds following its due consideration of the facts surrounding this referred dispute that the bets placed by Mr </w:t>
      </w:r>
      <w:r w:rsidR="00880C78">
        <w:rPr>
          <w:rFonts w:ascii="Arial" w:hAnsi="Arial" w:cs="Arial"/>
          <w:sz w:val="22"/>
          <w:szCs w:val="22"/>
        </w:rPr>
        <w:t>P</w:t>
      </w:r>
      <w:r w:rsidRPr="00C6133F">
        <w:rPr>
          <w:rFonts w:ascii="Arial" w:hAnsi="Arial" w:cs="Arial"/>
          <w:sz w:val="22"/>
          <w:szCs w:val="22"/>
        </w:rPr>
        <w:t xml:space="preserve"> with William Hill as detailed in the running account provided </w:t>
      </w:r>
      <w:r w:rsidR="00145EDA" w:rsidRPr="00C6133F">
        <w:rPr>
          <w:rFonts w:ascii="Arial" w:hAnsi="Arial" w:cs="Arial"/>
          <w:sz w:val="22"/>
          <w:szCs w:val="22"/>
        </w:rPr>
        <w:t xml:space="preserve">to </w:t>
      </w:r>
      <w:r w:rsidRPr="00C6133F">
        <w:rPr>
          <w:rFonts w:ascii="Arial" w:hAnsi="Arial" w:cs="Arial"/>
          <w:sz w:val="22"/>
          <w:szCs w:val="22"/>
        </w:rPr>
        <w:t xml:space="preserve">the Commission were lawful bets in compliance with section 85 (1A) of the </w:t>
      </w:r>
      <w:r w:rsidRPr="00C6133F">
        <w:rPr>
          <w:rFonts w:ascii="Arial" w:hAnsi="Arial" w:cs="Arial"/>
          <w:i/>
          <w:sz w:val="22"/>
          <w:szCs w:val="22"/>
        </w:rPr>
        <w:t>Racing and Betting Act</w:t>
      </w:r>
      <w:r w:rsidRPr="00C6133F">
        <w:rPr>
          <w:rFonts w:ascii="Arial" w:hAnsi="Arial" w:cs="Arial"/>
          <w:sz w:val="22"/>
          <w:szCs w:val="22"/>
        </w:rPr>
        <w:t>.</w:t>
      </w:r>
    </w:p>
    <w:p w:rsidR="002C6BB7" w:rsidRPr="002C0D1B" w:rsidRDefault="00DB64C1" w:rsidP="002C0D1B">
      <w:pPr>
        <w:pStyle w:val="Heading2"/>
      </w:pPr>
      <w:r w:rsidRPr="002C0D1B">
        <w:t>Decision</w:t>
      </w:r>
    </w:p>
    <w:p w:rsidR="006C21BF" w:rsidRPr="00C6133F" w:rsidRDefault="006C21BF" w:rsidP="003B7086">
      <w:pPr>
        <w:pStyle w:val="ListParagraph"/>
        <w:numPr>
          <w:ilvl w:val="0"/>
          <w:numId w:val="16"/>
        </w:numPr>
        <w:ind w:left="567" w:hanging="425"/>
        <w:jc w:val="both"/>
        <w:rPr>
          <w:rFonts w:ascii="Arial" w:hAnsi="Arial" w:cs="Arial"/>
          <w:sz w:val="22"/>
          <w:szCs w:val="22"/>
        </w:rPr>
      </w:pPr>
      <w:r w:rsidRPr="00C6133F">
        <w:rPr>
          <w:rFonts w:ascii="Arial" w:hAnsi="Arial" w:cs="Arial"/>
          <w:sz w:val="22"/>
          <w:szCs w:val="22"/>
        </w:rPr>
        <w:t>William Hill</w:t>
      </w:r>
      <w:r w:rsidR="00145EDA" w:rsidRPr="00C6133F">
        <w:rPr>
          <w:rFonts w:ascii="Arial" w:hAnsi="Arial" w:cs="Arial"/>
          <w:sz w:val="22"/>
          <w:szCs w:val="22"/>
        </w:rPr>
        <w:t>,</w:t>
      </w:r>
      <w:r w:rsidRPr="00C6133F">
        <w:rPr>
          <w:rFonts w:ascii="Arial" w:hAnsi="Arial" w:cs="Arial"/>
          <w:sz w:val="22"/>
          <w:szCs w:val="22"/>
        </w:rPr>
        <w:t xml:space="preserve"> being a Sports Bookmaker </w:t>
      </w:r>
      <w:r w:rsidR="00145EDA" w:rsidRPr="00C6133F">
        <w:rPr>
          <w:rFonts w:ascii="Arial" w:hAnsi="Arial" w:cs="Arial"/>
          <w:sz w:val="22"/>
          <w:szCs w:val="22"/>
        </w:rPr>
        <w:t>l</w:t>
      </w:r>
      <w:r w:rsidRPr="00C6133F">
        <w:rPr>
          <w:rFonts w:ascii="Arial" w:hAnsi="Arial" w:cs="Arial"/>
          <w:sz w:val="22"/>
          <w:szCs w:val="22"/>
        </w:rPr>
        <w:t xml:space="preserve">icenced by the Commission, which provides for the operation of Sports Bookmaker activities through use of the internet and telephone, and that the betting activities engaged in by Mr </w:t>
      </w:r>
      <w:r w:rsidR="00880C78">
        <w:rPr>
          <w:rFonts w:ascii="Arial" w:hAnsi="Arial" w:cs="Arial"/>
          <w:sz w:val="22"/>
          <w:szCs w:val="22"/>
        </w:rPr>
        <w:t>P</w:t>
      </w:r>
      <w:r w:rsidRPr="00C6133F">
        <w:rPr>
          <w:rFonts w:ascii="Arial" w:hAnsi="Arial" w:cs="Arial"/>
          <w:sz w:val="22"/>
          <w:szCs w:val="22"/>
        </w:rPr>
        <w:t xml:space="preserve"> with </w:t>
      </w:r>
      <w:r w:rsidR="003B7086" w:rsidRPr="00C6133F">
        <w:rPr>
          <w:rFonts w:ascii="Arial" w:hAnsi="Arial" w:cs="Arial"/>
          <w:sz w:val="22"/>
          <w:szCs w:val="22"/>
        </w:rPr>
        <w:t>William</w:t>
      </w:r>
      <w:r w:rsidRPr="00C6133F">
        <w:rPr>
          <w:rFonts w:ascii="Arial" w:hAnsi="Arial" w:cs="Arial"/>
          <w:sz w:val="22"/>
          <w:szCs w:val="22"/>
        </w:rPr>
        <w:t xml:space="preserve"> Hill were within the parameters of the Licence provided, the Commission therefore determines that bets placed were lawful pursuant to Section 85(1A) of the </w:t>
      </w:r>
      <w:r w:rsidRPr="00C6133F">
        <w:rPr>
          <w:rFonts w:ascii="Arial" w:hAnsi="Arial" w:cs="Arial"/>
          <w:i/>
          <w:sz w:val="22"/>
          <w:szCs w:val="22"/>
        </w:rPr>
        <w:t>Act</w:t>
      </w:r>
      <w:r w:rsidRPr="00C6133F">
        <w:rPr>
          <w:rFonts w:ascii="Arial" w:hAnsi="Arial" w:cs="Arial"/>
          <w:sz w:val="22"/>
          <w:szCs w:val="22"/>
        </w:rPr>
        <w:t>.</w:t>
      </w:r>
    </w:p>
    <w:p w:rsidR="002C6BB7" w:rsidRPr="00C6133F" w:rsidRDefault="006C21BF" w:rsidP="00E675D8">
      <w:pPr>
        <w:spacing w:before="1200" w:line="240" w:lineRule="atLeast"/>
        <w:ind w:left="425" w:hanging="425"/>
        <w:jc w:val="both"/>
        <w:rPr>
          <w:rFonts w:ascii="Arial" w:hAnsi="Arial" w:cs="Arial"/>
          <w:sz w:val="22"/>
          <w:szCs w:val="22"/>
        </w:rPr>
      </w:pPr>
      <w:bookmarkStart w:id="0" w:name="_GoBack"/>
      <w:bookmarkEnd w:id="0"/>
      <w:r w:rsidRPr="00C6133F">
        <w:rPr>
          <w:rFonts w:ascii="Arial" w:hAnsi="Arial" w:cs="Arial"/>
          <w:sz w:val="22"/>
          <w:szCs w:val="22"/>
        </w:rPr>
        <w:t>John McBride</w:t>
      </w:r>
    </w:p>
    <w:p w:rsidR="002C6BB7" w:rsidRPr="00C6133F" w:rsidRDefault="006C21BF" w:rsidP="003B38E2">
      <w:pPr>
        <w:spacing w:after="240" w:line="240" w:lineRule="atLeast"/>
        <w:ind w:left="426" w:hanging="426"/>
        <w:jc w:val="both"/>
        <w:rPr>
          <w:rFonts w:ascii="Arial" w:hAnsi="Arial" w:cs="Arial"/>
          <w:sz w:val="22"/>
          <w:szCs w:val="22"/>
        </w:rPr>
      </w:pPr>
      <w:r w:rsidRPr="00C6133F">
        <w:rPr>
          <w:rFonts w:ascii="Arial" w:hAnsi="Arial" w:cs="Arial"/>
          <w:sz w:val="22"/>
          <w:szCs w:val="22"/>
        </w:rPr>
        <w:t>Chairman</w:t>
      </w:r>
    </w:p>
    <w:p w:rsidR="008707D3" w:rsidRPr="00C6133F" w:rsidRDefault="00C6133F" w:rsidP="003B38E2">
      <w:pPr>
        <w:spacing w:after="240" w:line="240" w:lineRule="atLeast"/>
        <w:ind w:left="426" w:hanging="426"/>
        <w:jc w:val="both"/>
        <w:rPr>
          <w:rFonts w:ascii="Arial" w:hAnsi="Arial" w:cs="Arial"/>
          <w:sz w:val="22"/>
          <w:szCs w:val="22"/>
        </w:rPr>
      </w:pPr>
      <w:r>
        <w:rPr>
          <w:rFonts w:ascii="Arial" w:hAnsi="Arial" w:cs="Arial"/>
          <w:sz w:val="22"/>
          <w:szCs w:val="22"/>
        </w:rPr>
        <w:t>12</w:t>
      </w:r>
      <w:r w:rsidR="006C21BF" w:rsidRPr="00C6133F">
        <w:rPr>
          <w:rFonts w:ascii="Arial" w:hAnsi="Arial" w:cs="Arial"/>
          <w:sz w:val="22"/>
          <w:szCs w:val="22"/>
        </w:rPr>
        <w:t xml:space="preserve"> October 2016</w:t>
      </w:r>
    </w:p>
    <w:sectPr w:rsidR="008707D3" w:rsidRPr="00C6133F" w:rsidSect="00BE566E">
      <w:headerReference w:type="even" r:id="rId9"/>
      <w:headerReference w:type="default" r:id="rId10"/>
      <w:headerReference w:type="first" r:id="rId11"/>
      <w:pgSz w:w="11906" w:h="16838" w:code="9"/>
      <w:pgMar w:top="1440"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7B" w:rsidRDefault="0009687B">
      <w:r>
        <w:separator/>
      </w:r>
    </w:p>
  </w:endnote>
  <w:endnote w:type="continuationSeparator" w:id="0">
    <w:p w:rsidR="0009687B" w:rsidRDefault="0009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7B" w:rsidRDefault="0009687B">
      <w:r>
        <w:separator/>
      </w:r>
    </w:p>
  </w:footnote>
  <w:footnote w:type="continuationSeparator" w:id="0">
    <w:p w:rsidR="0009687B" w:rsidRDefault="0009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E675D8">
          <w:rPr>
            <w:rFonts w:ascii="Arial" w:hAnsi="Arial" w:cs="Arial"/>
            <w:noProof/>
          </w:rPr>
          <w:t>2</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1">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4">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6"/>
  </w:num>
  <w:num w:numId="5">
    <w:abstractNumId w:val="19"/>
  </w:num>
  <w:num w:numId="6">
    <w:abstractNumId w:val="21"/>
  </w:num>
  <w:num w:numId="7">
    <w:abstractNumId w:val="16"/>
  </w:num>
  <w:num w:numId="8">
    <w:abstractNumId w:val="0"/>
  </w:num>
  <w:num w:numId="9">
    <w:abstractNumId w:val="23"/>
  </w:num>
  <w:num w:numId="10">
    <w:abstractNumId w:val="15"/>
  </w:num>
  <w:num w:numId="11">
    <w:abstractNumId w:val="2"/>
  </w:num>
  <w:num w:numId="12">
    <w:abstractNumId w:val="3"/>
  </w:num>
  <w:num w:numId="13">
    <w:abstractNumId w:val="14"/>
  </w:num>
  <w:num w:numId="14">
    <w:abstractNumId w:val="17"/>
  </w:num>
  <w:num w:numId="15">
    <w:abstractNumId w:val="1"/>
  </w:num>
  <w:num w:numId="16">
    <w:abstractNumId w:val="11"/>
  </w:num>
  <w:num w:numId="17">
    <w:abstractNumId w:val="4"/>
  </w:num>
  <w:num w:numId="18">
    <w:abstractNumId w:val="5"/>
  </w:num>
  <w:num w:numId="19">
    <w:abstractNumId w:val="18"/>
  </w:num>
  <w:num w:numId="20">
    <w:abstractNumId w:val="20"/>
  </w:num>
  <w:num w:numId="21">
    <w:abstractNumId w:val="8"/>
  </w:num>
  <w:num w:numId="22">
    <w:abstractNumId w:val="25"/>
  </w:num>
  <w:num w:numId="23">
    <w:abstractNumId w:val="24"/>
  </w:num>
  <w:num w:numId="24">
    <w:abstractNumId w:val="22"/>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5E"/>
    <w:rsid w:val="00000D37"/>
    <w:rsid w:val="000020F8"/>
    <w:rsid w:val="000048F3"/>
    <w:rsid w:val="00035446"/>
    <w:rsid w:val="00060698"/>
    <w:rsid w:val="0006223A"/>
    <w:rsid w:val="0006656F"/>
    <w:rsid w:val="000808B9"/>
    <w:rsid w:val="00082CE5"/>
    <w:rsid w:val="00091732"/>
    <w:rsid w:val="0009687B"/>
    <w:rsid w:val="000A71E5"/>
    <w:rsid w:val="000E1540"/>
    <w:rsid w:val="00102517"/>
    <w:rsid w:val="00126EF4"/>
    <w:rsid w:val="0012714B"/>
    <w:rsid w:val="001304C4"/>
    <w:rsid w:val="00140933"/>
    <w:rsid w:val="001444A8"/>
    <w:rsid w:val="00145EDA"/>
    <w:rsid w:val="00180CE5"/>
    <w:rsid w:val="00184F2E"/>
    <w:rsid w:val="00192903"/>
    <w:rsid w:val="001C03C0"/>
    <w:rsid w:val="001D6307"/>
    <w:rsid w:val="001D6966"/>
    <w:rsid w:val="001F335D"/>
    <w:rsid w:val="00204481"/>
    <w:rsid w:val="00206E6E"/>
    <w:rsid w:val="002339C1"/>
    <w:rsid w:val="00262155"/>
    <w:rsid w:val="00277AE9"/>
    <w:rsid w:val="002A25AA"/>
    <w:rsid w:val="002B2826"/>
    <w:rsid w:val="002B6BBF"/>
    <w:rsid w:val="002C0774"/>
    <w:rsid w:val="002C0D1B"/>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B7086"/>
    <w:rsid w:val="003C2416"/>
    <w:rsid w:val="003C4E27"/>
    <w:rsid w:val="003E507B"/>
    <w:rsid w:val="003F0044"/>
    <w:rsid w:val="003F35EB"/>
    <w:rsid w:val="003F7E8F"/>
    <w:rsid w:val="00403E6D"/>
    <w:rsid w:val="004124E8"/>
    <w:rsid w:val="00423AFA"/>
    <w:rsid w:val="0042631D"/>
    <w:rsid w:val="00454068"/>
    <w:rsid w:val="004717FF"/>
    <w:rsid w:val="00480975"/>
    <w:rsid w:val="00486AA1"/>
    <w:rsid w:val="004B422E"/>
    <w:rsid w:val="004D373A"/>
    <w:rsid w:val="004F33F5"/>
    <w:rsid w:val="00511172"/>
    <w:rsid w:val="00517D0F"/>
    <w:rsid w:val="005223B7"/>
    <w:rsid w:val="00532A8E"/>
    <w:rsid w:val="005352CE"/>
    <w:rsid w:val="00550AC8"/>
    <w:rsid w:val="005A5E6A"/>
    <w:rsid w:val="005B712F"/>
    <w:rsid w:val="005C38DC"/>
    <w:rsid w:val="005C403D"/>
    <w:rsid w:val="005D116B"/>
    <w:rsid w:val="005F08AC"/>
    <w:rsid w:val="005F1D75"/>
    <w:rsid w:val="005F725E"/>
    <w:rsid w:val="00612471"/>
    <w:rsid w:val="00614B00"/>
    <w:rsid w:val="00615992"/>
    <w:rsid w:val="00624E09"/>
    <w:rsid w:val="0063050D"/>
    <w:rsid w:val="00634062"/>
    <w:rsid w:val="00682899"/>
    <w:rsid w:val="00682C3C"/>
    <w:rsid w:val="006A7AED"/>
    <w:rsid w:val="006C21BF"/>
    <w:rsid w:val="006D06D6"/>
    <w:rsid w:val="007010AC"/>
    <w:rsid w:val="007046C6"/>
    <w:rsid w:val="00712274"/>
    <w:rsid w:val="00712415"/>
    <w:rsid w:val="00720AD8"/>
    <w:rsid w:val="00735AB3"/>
    <w:rsid w:val="00741C28"/>
    <w:rsid w:val="00742D00"/>
    <w:rsid w:val="007635FA"/>
    <w:rsid w:val="00763830"/>
    <w:rsid w:val="00792389"/>
    <w:rsid w:val="007B0F27"/>
    <w:rsid w:val="007D15A0"/>
    <w:rsid w:val="007E7020"/>
    <w:rsid w:val="008132FB"/>
    <w:rsid w:val="00817FA8"/>
    <w:rsid w:val="00821B56"/>
    <w:rsid w:val="00824D04"/>
    <w:rsid w:val="00851D26"/>
    <w:rsid w:val="00856B93"/>
    <w:rsid w:val="00861250"/>
    <w:rsid w:val="008707D3"/>
    <w:rsid w:val="00880C78"/>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B66AE"/>
    <w:rsid w:val="009E2C01"/>
    <w:rsid w:val="009E7B70"/>
    <w:rsid w:val="00A07D57"/>
    <w:rsid w:val="00A10C4F"/>
    <w:rsid w:val="00A179CF"/>
    <w:rsid w:val="00A300E9"/>
    <w:rsid w:val="00A467CA"/>
    <w:rsid w:val="00A520B3"/>
    <w:rsid w:val="00A85362"/>
    <w:rsid w:val="00A94982"/>
    <w:rsid w:val="00AA05C2"/>
    <w:rsid w:val="00AA1AD2"/>
    <w:rsid w:val="00AB4D34"/>
    <w:rsid w:val="00AD0566"/>
    <w:rsid w:val="00AD7B16"/>
    <w:rsid w:val="00AE3ED6"/>
    <w:rsid w:val="00AE4CA2"/>
    <w:rsid w:val="00AF4879"/>
    <w:rsid w:val="00B00073"/>
    <w:rsid w:val="00B04326"/>
    <w:rsid w:val="00B50B06"/>
    <w:rsid w:val="00B60D8B"/>
    <w:rsid w:val="00B760BD"/>
    <w:rsid w:val="00B92758"/>
    <w:rsid w:val="00BC79A2"/>
    <w:rsid w:val="00BD3B4B"/>
    <w:rsid w:val="00BD67DF"/>
    <w:rsid w:val="00BE3A88"/>
    <w:rsid w:val="00BE566E"/>
    <w:rsid w:val="00BF3566"/>
    <w:rsid w:val="00C02779"/>
    <w:rsid w:val="00C32F2B"/>
    <w:rsid w:val="00C5025D"/>
    <w:rsid w:val="00C5070C"/>
    <w:rsid w:val="00C6133F"/>
    <w:rsid w:val="00C735CA"/>
    <w:rsid w:val="00C817B3"/>
    <w:rsid w:val="00C921AB"/>
    <w:rsid w:val="00CA530C"/>
    <w:rsid w:val="00CA53CE"/>
    <w:rsid w:val="00CB49CF"/>
    <w:rsid w:val="00CC1E53"/>
    <w:rsid w:val="00CE6D02"/>
    <w:rsid w:val="00CF2AE7"/>
    <w:rsid w:val="00CF3964"/>
    <w:rsid w:val="00D07B98"/>
    <w:rsid w:val="00D1617A"/>
    <w:rsid w:val="00D54C0A"/>
    <w:rsid w:val="00D76980"/>
    <w:rsid w:val="00DA37E9"/>
    <w:rsid w:val="00DB64C1"/>
    <w:rsid w:val="00DB77E4"/>
    <w:rsid w:val="00DC6365"/>
    <w:rsid w:val="00DE0C6D"/>
    <w:rsid w:val="00E0130B"/>
    <w:rsid w:val="00E023C4"/>
    <w:rsid w:val="00E05D93"/>
    <w:rsid w:val="00E30D0A"/>
    <w:rsid w:val="00E64F46"/>
    <w:rsid w:val="00E675D8"/>
    <w:rsid w:val="00E735FB"/>
    <w:rsid w:val="00E95BC9"/>
    <w:rsid w:val="00EA2275"/>
    <w:rsid w:val="00EA65EF"/>
    <w:rsid w:val="00EB0E4C"/>
    <w:rsid w:val="00EF3278"/>
    <w:rsid w:val="00EF7574"/>
    <w:rsid w:val="00F0254E"/>
    <w:rsid w:val="00F06E17"/>
    <w:rsid w:val="00F11069"/>
    <w:rsid w:val="00F27918"/>
    <w:rsid w:val="00F74D1D"/>
    <w:rsid w:val="00F914E2"/>
    <w:rsid w:val="00F94C5D"/>
    <w:rsid w:val="00FA095C"/>
    <w:rsid w:val="00FA3B90"/>
    <w:rsid w:val="00FB7BF2"/>
    <w:rsid w:val="00FC22BE"/>
    <w:rsid w:val="00FC33D6"/>
    <w:rsid w:val="00FD1314"/>
    <w:rsid w:val="00FD2E2C"/>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0D1B"/>
    <w:pPr>
      <w:keepNext/>
      <w:pBdr>
        <w:bottom w:val="single" w:sz="12" w:space="6" w:color="auto"/>
      </w:pBdr>
      <w:spacing w:after="120"/>
      <w:jc w:val="center"/>
      <w:outlineLvl w:val="0"/>
    </w:pPr>
    <w:rPr>
      <w:rFonts w:ascii="Arial" w:hAnsi="Arial"/>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character" w:customStyle="1" w:styleId="Heading1Char">
    <w:name w:val="Heading 1 Char"/>
    <w:basedOn w:val="DefaultParagraphFont"/>
    <w:link w:val="Heading1"/>
    <w:rsid w:val="002C0D1B"/>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0D1B"/>
    <w:pPr>
      <w:keepNext/>
      <w:pBdr>
        <w:bottom w:val="single" w:sz="12" w:space="6" w:color="auto"/>
      </w:pBdr>
      <w:spacing w:after="120"/>
      <w:jc w:val="center"/>
      <w:outlineLvl w:val="0"/>
    </w:pPr>
    <w:rPr>
      <w:rFonts w:ascii="Arial" w:hAnsi="Arial"/>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character" w:customStyle="1" w:styleId="Heading1Char">
    <w:name w:val="Heading 1 Char"/>
    <w:basedOn w:val="DefaultParagraphFont"/>
    <w:link w:val="Heading1"/>
    <w:rsid w:val="002C0D1B"/>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042-C8C1-4D70-94B1-595E925E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 v William Hill</dc:title>
  <dc:creator>Tammy Smart</dc:creator>
  <cp:lastModifiedBy>Marlene Woods</cp:lastModifiedBy>
  <cp:revision>9</cp:revision>
  <cp:lastPrinted>2016-10-12T05:18:00Z</cp:lastPrinted>
  <dcterms:created xsi:type="dcterms:W3CDTF">2016-10-09T23:30:00Z</dcterms:created>
  <dcterms:modified xsi:type="dcterms:W3CDTF">2016-10-16T23:23:00Z</dcterms:modified>
</cp:coreProperties>
</file>