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312002BE" w:rsidR="00DB64C1" w:rsidRPr="005F725E"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BB2E9B" w:rsidRPr="00BB2E9B">
        <w:rPr>
          <w:rFonts w:ascii="Arial" w:hAnsi="Arial"/>
          <w:szCs w:val="20"/>
        </w:rPr>
        <w:t xml:space="preserve">Mr </w:t>
      </w:r>
      <w:r w:rsidR="00511592">
        <w:rPr>
          <w:rFonts w:ascii="Arial" w:hAnsi="Arial"/>
          <w:szCs w:val="20"/>
        </w:rPr>
        <w:t>S</w:t>
      </w:r>
    </w:p>
    <w:p w14:paraId="71DEE592" w14:textId="6E7B419F" w:rsidR="003B38E2" w:rsidRPr="00BB2E9B"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BB2E9B">
        <w:rPr>
          <w:rFonts w:ascii="Arial" w:hAnsi="Arial" w:cs="Arial"/>
          <w:lang w:val="en-GB"/>
        </w:rPr>
        <w:t>Pointsbet Australia Pty Ltd</w:t>
      </w:r>
    </w:p>
    <w:p w14:paraId="0F1A14B8" w14:textId="7AB4FAF5" w:rsidR="003B38E2" w:rsidRPr="00DB64C1"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3E4F8E">
        <w:rPr>
          <w:rFonts w:ascii="Arial" w:hAnsi="Arial" w:cs="Arial"/>
        </w:rPr>
        <w:t xml:space="preserve"> </w:t>
      </w:r>
      <w:r w:rsidR="00BB2E9B">
        <w:rPr>
          <w:rFonts w:ascii="Arial" w:hAnsi="Arial" w:cs="Arial"/>
        </w:rPr>
        <w:t>85(4)</w:t>
      </w:r>
      <w:r w:rsidR="008E5F56" w:rsidRPr="005463CA">
        <w:rPr>
          <w:rFonts w:ascii="Arial" w:hAnsi="Arial" w:cs="Arial"/>
        </w:rPr>
        <w:t xml:space="preserve">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r w:rsidR="008E5F56" w:rsidRPr="005463CA">
        <w:rPr>
          <w:rFonts w:ascii="Arial" w:hAnsi="Arial" w:cs="Arial"/>
        </w:rPr>
        <w:t xml:space="preserve"> –</w:t>
      </w:r>
      <w:r w:rsidR="000716C2">
        <w:rPr>
          <w:rFonts w:ascii="Arial" w:hAnsi="Arial" w:cs="Arial"/>
        </w:rPr>
        <w:t xml:space="preserve"> </w:t>
      </w:r>
      <w:r w:rsidR="000716C2">
        <w:rPr>
          <w:rFonts w:ascii="Arial" w:hAnsi="Arial" w:cs="Arial"/>
        </w:rPr>
        <w:br/>
      </w:r>
      <w:r w:rsidR="00BB2E9B">
        <w:rPr>
          <w:rFonts w:ascii="Arial" w:hAnsi="Arial" w:cs="Arial"/>
        </w:rPr>
        <w:t>Referral of Dispute to Racing Commission For Determination</w:t>
      </w:r>
    </w:p>
    <w:p w14:paraId="769981ED" w14:textId="26448147" w:rsidR="003E4F8E" w:rsidRPr="00055A44" w:rsidRDefault="003B38E2" w:rsidP="008E5F56">
      <w:pPr>
        <w:ind w:left="2835" w:hanging="2835"/>
        <w:rPr>
          <w:rFonts w:ascii="Arial" w:hAnsi="Arial" w:cs="Arial"/>
          <w:highlight w:val="yellow"/>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sidR="00BB2E9B" w:rsidRPr="00BB2E9B">
        <w:rPr>
          <w:rFonts w:ascii="Arial" w:hAnsi="Arial" w:cs="Arial"/>
          <w:lang w:val="en-GB"/>
        </w:rPr>
        <w:t>Mr</w:t>
      </w:r>
      <w:r w:rsidR="00BB2E9B" w:rsidRPr="00BB2E9B">
        <w:rPr>
          <w:rFonts w:ascii="Arial" w:hAnsi="Arial" w:cs="Arial"/>
          <w:b/>
          <w:lang w:val="en-GB"/>
        </w:rPr>
        <w:t xml:space="preserve"> </w:t>
      </w:r>
      <w:r w:rsidR="00BB2E9B" w:rsidRPr="00BB2E9B">
        <w:rPr>
          <w:rFonts w:ascii="Arial" w:hAnsi="Arial" w:cs="Arial"/>
          <w:lang w:val="en-GB"/>
        </w:rPr>
        <w:t>John Boneham</w:t>
      </w:r>
      <w:r w:rsidR="000716C2" w:rsidRPr="00BB2E9B">
        <w:rPr>
          <w:rFonts w:ascii="Arial" w:hAnsi="Arial" w:cs="Arial"/>
          <w:lang w:val="en-GB"/>
        </w:rPr>
        <w:t xml:space="preserve"> (Presiding Member)</w:t>
      </w:r>
    </w:p>
    <w:p w14:paraId="7A1A4BF1" w14:textId="2D203B77" w:rsidR="008E5F56" w:rsidRDefault="00DB64C1" w:rsidP="008E5F56">
      <w:pPr>
        <w:ind w:left="2835" w:hanging="2835"/>
        <w:rPr>
          <w:rFonts w:ascii="Arial" w:hAnsi="Arial" w:cs="Arial"/>
        </w:rPr>
      </w:pPr>
      <w:r w:rsidRPr="00055A44">
        <w:rPr>
          <w:rFonts w:ascii="Arial" w:hAnsi="Arial" w:cs="Arial"/>
          <w:b/>
        </w:rPr>
        <w:t>(on papers)</w:t>
      </w:r>
      <w:r w:rsidR="003E4F8E" w:rsidRPr="00055A44">
        <w:rPr>
          <w:rFonts w:ascii="Arial" w:hAnsi="Arial" w:cs="Arial"/>
          <w:b/>
        </w:rPr>
        <w:tab/>
      </w:r>
      <w:r w:rsidR="00BB2E9B" w:rsidRPr="00BB2E9B">
        <w:rPr>
          <w:rFonts w:ascii="Arial" w:hAnsi="Arial" w:cs="Arial"/>
        </w:rPr>
        <w:t>Mr</w:t>
      </w:r>
      <w:r w:rsidR="00BB2E9B">
        <w:rPr>
          <w:rFonts w:ascii="Arial" w:hAnsi="Arial" w:cs="Arial"/>
          <w:b/>
        </w:rPr>
        <w:t xml:space="preserve"> </w:t>
      </w:r>
      <w:r w:rsidR="00BB2E9B">
        <w:rPr>
          <w:rFonts w:ascii="Arial" w:hAnsi="Arial" w:cs="Arial"/>
        </w:rPr>
        <w:t>John McBride</w:t>
      </w:r>
    </w:p>
    <w:p w14:paraId="5DE05DA7" w14:textId="48960053" w:rsidR="003E4F8E" w:rsidRPr="003E4F8E" w:rsidRDefault="003E4F8E" w:rsidP="008E5F56">
      <w:pPr>
        <w:ind w:left="2835" w:hanging="2835"/>
        <w:rPr>
          <w:rFonts w:ascii="Arial" w:hAnsi="Arial" w:cs="Arial"/>
        </w:rPr>
      </w:pPr>
      <w:r w:rsidRPr="003E4F8E">
        <w:rPr>
          <w:rFonts w:ascii="Arial" w:hAnsi="Arial" w:cs="Arial"/>
        </w:rPr>
        <w:tab/>
      </w:r>
      <w:r w:rsidR="00BB2E9B">
        <w:rPr>
          <w:rFonts w:ascii="Arial" w:hAnsi="Arial" w:cs="Arial"/>
        </w:rPr>
        <w:t>Ms Cindy Bravos</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7B322B27"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BB2E9B">
        <w:rPr>
          <w:rFonts w:ascii="Arial" w:hAnsi="Arial" w:cs="Arial"/>
        </w:rPr>
        <w:t>29 November 2017</w:t>
      </w:r>
    </w:p>
    <w:p w14:paraId="08F2FFB2" w14:textId="77777777" w:rsidR="003B38E2" w:rsidRPr="00A30195" w:rsidRDefault="003B38E2" w:rsidP="003B38E2">
      <w:pPr>
        <w:pStyle w:val="BottomLine"/>
      </w:pPr>
    </w:p>
    <w:p w14:paraId="465997FD" w14:textId="77777777" w:rsidR="00BB2E9B" w:rsidRPr="005463CA" w:rsidRDefault="00BB2E9B" w:rsidP="00BB2E9B">
      <w:pPr>
        <w:rPr>
          <w:rFonts w:ascii="Arial" w:hAnsi="Arial" w:cs="Arial"/>
        </w:rPr>
      </w:pPr>
    </w:p>
    <w:p w14:paraId="7628A99C" w14:textId="77777777" w:rsidR="00BB2E9B" w:rsidRDefault="00BB2E9B" w:rsidP="00AC1538">
      <w:pPr>
        <w:spacing w:line="360" w:lineRule="auto"/>
        <w:rPr>
          <w:rFonts w:ascii="Arial" w:hAnsi="Arial" w:cs="Arial"/>
          <w:b/>
        </w:rPr>
      </w:pPr>
      <w:r w:rsidRPr="005463CA">
        <w:rPr>
          <w:rFonts w:ascii="Arial" w:hAnsi="Arial" w:cs="Arial"/>
          <w:b/>
        </w:rPr>
        <w:t>BACKGROUND</w:t>
      </w:r>
    </w:p>
    <w:p w14:paraId="10FFCAAC" w14:textId="77777777" w:rsidR="00BB2E9B" w:rsidRDefault="00BB2E9B" w:rsidP="00BB2E9B">
      <w:pPr>
        <w:rPr>
          <w:rFonts w:ascii="Arial" w:hAnsi="Arial" w:cs="Arial"/>
          <w:b/>
        </w:rPr>
      </w:pPr>
    </w:p>
    <w:p w14:paraId="400EEBD8" w14:textId="31EC75AD" w:rsidR="00BB2E9B" w:rsidRDefault="00BB2E9B" w:rsidP="00BB2E9B">
      <w:pPr>
        <w:pStyle w:val="ListParagraph"/>
        <w:numPr>
          <w:ilvl w:val="0"/>
          <w:numId w:val="16"/>
        </w:numPr>
        <w:spacing w:line="276" w:lineRule="auto"/>
        <w:contextualSpacing/>
        <w:jc w:val="both"/>
        <w:rPr>
          <w:rFonts w:ascii="Arial" w:hAnsi="Arial" w:cs="Arial"/>
          <w:i/>
        </w:rPr>
      </w:pPr>
      <w:r>
        <w:rPr>
          <w:rFonts w:ascii="Arial" w:hAnsi="Arial" w:cs="Arial"/>
        </w:rPr>
        <w:t xml:space="preserve">On 16 March 2017, pursuant to section 85 (4) of the </w:t>
      </w:r>
      <w:r w:rsidRPr="00087245">
        <w:rPr>
          <w:rFonts w:ascii="Arial" w:hAnsi="Arial" w:cs="Arial"/>
          <w:i/>
        </w:rPr>
        <w:t>Racing and Betting Act</w:t>
      </w:r>
      <w:r>
        <w:rPr>
          <w:rFonts w:ascii="Arial" w:hAnsi="Arial" w:cs="Arial"/>
        </w:rPr>
        <w:t xml:space="preserve"> (the act) the complainant Mr </w:t>
      </w:r>
      <w:r w:rsidR="00511592">
        <w:rPr>
          <w:rFonts w:ascii="Arial" w:hAnsi="Arial" w:cs="Arial"/>
        </w:rPr>
        <w:t>S</w:t>
      </w:r>
      <w:r>
        <w:rPr>
          <w:rFonts w:ascii="Arial" w:hAnsi="Arial" w:cs="Arial"/>
        </w:rPr>
        <w:t xml:space="preserve"> lodged a gambling dispute against the bookmaker.</w:t>
      </w:r>
    </w:p>
    <w:p w14:paraId="177AA2A0" w14:textId="77777777" w:rsidR="00BB2E9B" w:rsidRPr="00D32836" w:rsidRDefault="00BB2E9B" w:rsidP="00BB2E9B">
      <w:pPr>
        <w:ind w:left="360"/>
        <w:jc w:val="both"/>
        <w:rPr>
          <w:rFonts w:ascii="Arial" w:hAnsi="Arial" w:cs="Arial"/>
          <w:i/>
        </w:rPr>
      </w:pPr>
    </w:p>
    <w:p w14:paraId="56BD8FD7" w14:textId="53FE4049"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 xml:space="preserve">Mr </w:t>
      </w:r>
      <w:r w:rsidR="00511592">
        <w:rPr>
          <w:rFonts w:ascii="Arial" w:hAnsi="Arial" w:cs="Arial"/>
        </w:rPr>
        <w:t>S</w:t>
      </w:r>
      <w:r>
        <w:rPr>
          <w:rFonts w:ascii="Arial" w:hAnsi="Arial" w:cs="Arial"/>
        </w:rPr>
        <w:t xml:space="preserve"> stated that “applied for $1000 credit limit without any credit check, just given to me over an email. Pointsbet saying I am liable for losses that exceed that $1,000 limit”.</w:t>
      </w:r>
    </w:p>
    <w:p w14:paraId="41442264" w14:textId="77777777" w:rsidR="00BB2E9B" w:rsidRPr="00350B75" w:rsidRDefault="00BB2E9B" w:rsidP="00BB2E9B">
      <w:pPr>
        <w:ind w:left="360"/>
        <w:jc w:val="both"/>
        <w:rPr>
          <w:rFonts w:ascii="Arial" w:hAnsi="Arial" w:cs="Arial"/>
        </w:rPr>
      </w:pPr>
    </w:p>
    <w:p w14:paraId="6DE836C2" w14:textId="77777777" w:rsidR="00BB2E9B" w:rsidRPr="00350B75" w:rsidRDefault="00BB2E9B" w:rsidP="00BB2E9B">
      <w:pPr>
        <w:ind w:left="709"/>
        <w:jc w:val="both"/>
        <w:rPr>
          <w:rFonts w:ascii="Arial" w:hAnsi="Arial" w:cs="Arial"/>
        </w:rPr>
      </w:pPr>
      <w:r w:rsidRPr="00350B75">
        <w:rPr>
          <w:rFonts w:ascii="Arial" w:hAnsi="Arial" w:cs="Arial"/>
        </w:rPr>
        <w:t>Details of contact – “I have explained to Pointsbet that I only asked for the $1</w:t>
      </w:r>
      <w:r>
        <w:rPr>
          <w:rFonts w:ascii="Arial" w:hAnsi="Arial" w:cs="Arial"/>
        </w:rPr>
        <w:t>,</w:t>
      </w:r>
      <w:r w:rsidRPr="00350B75">
        <w:rPr>
          <w:rFonts w:ascii="Arial" w:hAnsi="Arial" w:cs="Arial"/>
        </w:rPr>
        <w:t>000 credit, however, they are still s</w:t>
      </w:r>
      <w:r>
        <w:rPr>
          <w:rFonts w:ascii="Arial" w:hAnsi="Arial" w:cs="Arial"/>
        </w:rPr>
        <w:t xml:space="preserve">tating </w:t>
      </w:r>
      <w:r w:rsidRPr="00350B75">
        <w:rPr>
          <w:rFonts w:ascii="Arial" w:hAnsi="Arial" w:cs="Arial"/>
        </w:rPr>
        <w:t>I must pay the excess amount”.</w:t>
      </w:r>
    </w:p>
    <w:p w14:paraId="0089A7EB" w14:textId="77777777" w:rsidR="00BB2E9B" w:rsidRDefault="00BB2E9B" w:rsidP="00BB2E9B">
      <w:pPr>
        <w:jc w:val="both"/>
        <w:rPr>
          <w:rFonts w:ascii="Arial" w:hAnsi="Arial" w:cs="Arial"/>
        </w:rPr>
      </w:pPr>
    </w:p>
    <w:p w14:paraId="3BFB842A" w14:textId="77777777" w:rsidR="00BB2E9B" w:rsidRPr="002311E9" w:rsidRDefault="00BB2E9B" w:rsidP="00BB2E9B">
      <w:pPr>
        <w:pStyle w:val="ListParagraph"/>
        <w:numPr>
          <w:ilvl w:val="0"/>
          <w:numId w:val="16"/>
        </w:numPr>
        <w:spacing w:line="276" w:lineRule="auto"/>
        <w:contextualSpacing/>
        <w:jc w:val="both"/>
        <w:rPr>
          <w:rFonts w:ascii="Arial" w:hAnsi="Arial" w:cs="Arial"/>
          <w:i/>
        </w:rPr>
      </w:pPr>
      <w:r>
        <w:rPr>
          <w:rFonts w:ascii="Arial" w:hAnsi="Arial" w:cs="Arial"/>
        </w:rPr>
        <w:t>The nature of spread betting using a Deferred Settlement Facility (DSF) allows a client to outlay monies on a wager with only approximately 20% of these monies withheld to cover the potential risk.</w:t>
      </w:r>
    </w:p>
    <w:p w14:paraId="3B0A1607" w14:textId="77777777" w:rsidR="00BB2E9B" w:rsidRPr="002311E9" w:rsidRDefault="00BB2E9B" w:rsidP="00BB2E9B">
      <w:pPr>
        <w:ind w:left="360"/>
        <w:jc w:val="both"/>
        <w:rPr>
          <w:rFonts w:ascii="Arial" w:hAnsi="Arial" w:cs="Arial"/>
          <w:i/>
        </w:rPr>
      </w:pPr>
    </w:p>
    <w:p w14:paraId="0CFBD686" w14:textId="77777777"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This allows the DSF client to maximise the number and amount of wagers within their credit facility.</w:t>
      </w:r>
    </w:p>
    <w:p w14:paraId="34618D33" w14:textId="77777777" w:rsidR="00BB2E9B" w:rsidRDefault="00BB2E9B" w:rsidP="00BB2E9B">
      <w:pPr>
        <w:jc w:val="both"/>
        <w:rPr>
          <w:rFonts w:ascii="Arial" w:hAnsi="Arial" w:cs="Arial"/>
        </w:rPr>
      </w:pPr>
    </w:p>
    <w:p w14:paraId="1D72B20D" w14:textId="77777777"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Spread betting also affords a client the potential to maximise winning payouts but conversely it also can increase the amount of any losses, depending on the final outcome of the contingency being wagered on.</w:t>
      </w:r>
    </w:p>
    <w:p w14:paraId="54254C00" w14:textId="77777777" w:rsidR="00BB2E9B" w:rsidRDefault="00BB2E9B" w:rsidP="00BB2E9B">
      <w:pPr>
        <w:jc w:val="both"/>
        <w:rPr>
          <w:rFonts w:ascii="Arial" w:hAnsi="Arial" w:cs="Arial"/>
        </w:rPr>
      </w:pPr>
    </w:p>
    <w:p w14:paraId="35E18D71" w14:textId="77777777"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Prior to the wager being accepted these maximum win and maximum loss amounts are communicated to clients in the information icons next to each market and also on the bet slip.</w:t>
      </w:r>
    </w:p>
    <w:p w14:paraId="28FC020B" w14:textId="77777777" w:rsidR="00BB2E9B" w:rsidRPr="00E93E2A" w:rsidRDefault="00BB2E9B" w:rsidP="00BB2E9B">
      <w:pPr>
        <w:ind w:left="360"/>
        <w:jc w:val="both"/>
        <w:rPr>
          <w:rFonts w:ascii="Arial" w:hAnsi="Arial" w:cs="Arial"/>
        </w:rPr>
      </w:pPr>
    </w:p>
    <w:p w14:paraId="66E7193D" w14:textId="77777777"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It therefore follows that a client is made well aware as to exactly how much they can potentially win or lose prior to accepting the wager.</w:t>
      </w:r>
    </w:p>
    <w:p w14:paraId="4AC030AC" w14:textId="77777777" w:rsidR="00BB2E9B" w:rsidRDefault="00BB2E9B" w:rsidP="00BB2E9B">
      <w:pPr>
        <w:jc w:val="both"/>
        <w:rPr>
          <w:rFonts w:ascii="Arial" w:hAnsi="Arial" w:cs="Arial"/>
        </w:rPr>
      </w:pPr>
    </w:p>
    <w:p w14:paraId="4A180575" w14:textId="62CC1AE5"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lastRenderedPageBreak/>
        <w:t xml:space="preserve">In this case Mr </w:t>
      </w:r>
      <w:r w:rsidR="00511592">
        <w:rPr>
          <w:rFonts w:ascii="Arial" w:hAnsi="Arial" w:cs="Arial"/>
        </w:rPr>
        <w:t>S</w:t>
      </w:r>
      <w:r>
        <w:rPr>
          <w:rFonts w:ascii="Arial" w:hAnsi="Arial" w:cs="Arial"/>
        </w:rPr>
        <w:t xml:space="preserve"> was able to exceed his DSF arrangements by $3,889 resulting in a total debt owing to the bookmaker of $4,889.</w:t>
      </w:r>
    </w:p>
    <w:p w14:paraId="16964494" w14:textId="77777777" w:rsidR="00BB2E9B" w:rsidRDefault="00BB2E9B" w:rsidP="00BB2E9B">
      <w:pPr>
        <w:ind w:left="360"/>
        <w:jc w:val="both"/>
        <w:rPr>
          <w:rFonts w:ascii="Arial" w:hAnsi="Arial" w:cs="Arial"/>
        </w:rPr>
      </w:pPr>
    </w:p>
    <w:p w14:paraId="1DD1AAE6" w14:textId="77777777" w:rsidR="00BB2E9B"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The bookmaker is seeking settlement of the negative balance of $4,889 which includes the DSF amount</w:t>
      </w:r>
      <w:r w:rsidRPr="004F64E8">
        <w:rPr>
          <w:rFonts w:ascii="Arial" w:hAnsi="Arial" w:cs="Arial"/>
        </w:rPr>
        <w:t>.</w:t>
      </w:r>
    </w:p>
    <w:p w14:paraId="0F95F7D3" w14:textId="77777777" w:rsidR="00BB2E9B" w:rsidRDefault="00BB2E9B" w:rsidP="00BB2E9B">
      <w:pPr>
        <w:jc w:val="both"/>
        <w:rPr>
          <w:rFonts w:ascii="Arial" w:hAnsi="Arial" w:cs="Arial"/>
        </w:rPr>
      </w:pPr>
    </w:p>
    <w:p w14:paraId="07510AF5" w14:textId="77777777" w:rsidR="00BB2E9B" w:rsidRPr="00350B75" w:rsidRDefault="00BB2E9B" w:rsidP="00BB2E9B">
      <w:pPr>
        <w:pStyle w:val="ListParagraph"/>
        <w:numPr>
          <w:ilvl w:val="0"/>
          <w:numId w:val="16"/>
        </w:numPr>
        <w:spacing w:line="276" w:lineRule="auto"/>
        <w:contextualSpacing/>
        <w:jc w:val="both"/>
        <w:rPr>
          <w:rFonts w:ascii="Arial" w:hAnsi="Arial" w:cs="Arial"/>
        </w:rPr>
      </w:pPr>
      <w:r>
        <w:rPr>
          <w:rFonts w:ascii="Arial" w:hAnsi="Arial" w:cs="Arial"/>
        </w:rPr>
        <w:t>The client alleges he only asked for the $1,000 DSF limit and therefore should not be required to pay back any amount over that limit ($1,000).</w:t>
      </w:r>
    </w:p>
    <w:p w14:paraId="4B1E2069" w14:textId="77777777" w:rsidR="00BB2E9B" w:rsidRDefault="00BB2E9B" w:rsidP="00BB2E9B">
      <w:pPr>
        <w:ind w:left="1843" w:hanging="1417"/>
        <w:jc w:val="both"/>
        <w:rPr>
          <w:rFonts w:ascii="Arial" w:hAnsi="Arial" w:cs="Arial"/>
          <w:b/>
        </w:rPr>
      </w:pPr>
    </w:p>
    <w:p w14:paraId="5DCE39F4" w14:textId="77777777" w:rsidR="00BB2E9B" w:rsidRDefault="00BB2E9B" w:rsidP="00BB2E9B">
      <w:pPr>
        <w:ind w:left="1843" w:hanging="1417"/>
        <w:jc w:val="both"/>
        <w:rPr>
          <w:rFonts w:ascii="Arial" w:hAnsi="Arial" w:cs="Arial"/>
          <w:b/>
        </w:rPr>
      </w:pPr>
    </w:p>
    <w:p w14:paraId="4B922F5D" w14:textId="77777777" w:rsidR="00BB2E9B" w:rsidRDefault="00BB2E9B" w:rsidP="00AC1538">
      <w:pPr>
        <w:spacing w:line="360" w:lineRule="auto"/>
        <w:ind w:left="1843" w:hanging="1417"/>
        <w:jc w:val="both"/>
        <w:rPr>
          <w:rFonts w:ascii="Arial" w:hAnsi="Arial" w:cs="Arial"/>
          <w:b/>
        </w:rPr>
      </w:pPr>
      <w:r w:rsidRPr="00350B75">
        <w:rPr>
          <w:rFonts w:ascii="Arial" w:hAnsi="Arial" w:cs="Arial"/>
          <w:b/>
        </w:rPr>
        <w:t>CONSIDERATION OF THE ISSUES</w:t>
      </w:r>
    </w:p>
    <w:p w14:paraId="422FE7F0" w14:textId="77777777" w:rsidR="00BB2E9B" w:rsidRDefault="00BB2E9B" w:rsidP="00BB2E9B">
      <w:pPr>
        <w:ind w:left="1843" w:hanging="567"/>
        <w:jc w:val="both"/>
        <w:rPr>
          <w:rFonts w:ascii="Arial" w:hAnsi="Arial" w:cs="Arial"/>
          <w:b/>
        </w:rPr>
      </w:pPr>
    </w:p>
    <w:p w14:paraId="42E1C445" w14:textId="23F3A2D9" w:rsidR="00BB2E9B" w:rsidRDefault="00BB2E9B" w:rsidP="00BB2E9B">
      <w:pPr>
        <w:pStyle w:val="ListParagraph"/>
        <w:numPr>
          <w:ilvl w:val="0"/>
          <w:numId w:val="17"/>
        </w:numPr>
        <w:spacing w:line="276" w:lineRule="auto"/>
        <w:ind w:left="714" w:hanging="357"/>
        <w:contextualSpacing/>
        <w:jc w:val="both"/>
        <w:rPr>
          <w:rFonts w:ascii="Arial" w:hAnsi="Arial" w:cs="Arial"/>
        </w:rPr>
      </w:pPr>
      <w:r>
        <w:rPr>
          <w:rFonts w:ascii="Arial" w:hAnsi="Arial" w:cs="Arial"/>
        </w:rPr>
        <w:t xml:space="preserve">The betting account was opened by Mr </w:t>
      </w:r>
      <w:r w:rsidR="00511592">
        <w:rPr>
          <w:rFonts w:ascii="Arial" w:hAnsi="Arial" w:cs="Arial"/>
        </w:rPr>
        <w:t>S</w:t>
      </w:r>
      <w:r>
        <w:rPr>
          <w:rFonts w:ascii="Arial" w:hAnsi="Arial" w:cs="Arial"/>
        </w:rPr>
        <w:t xml:space="preserve"> on 7 March 2017, with identification requirements satisfied on 8 March 2017. </w:t>
      </w:r>
    </w:p>
    <w:p w14:paraId="6A335BFD" w14:textId="77777777" w:rsidR="00BB2E9B" w:rsidRPr="00D032B5" w:rsidRDefault="00BB2E9B" w:rsidP="00BB2E9B">
      <w:pPr>
        <w:ind w:left="357"/>
        <w:jc w:val="both"/>
        <w:rPr>
          <w:rFonts w:ascii="Arial" w:hAnsi="Arial" w:cs="Arial"/>
        </w:rPr>
      </w:pPr>
    </w:p>
    <w:p w14:paraId="4F5CD958" w14:textId="28248D96" w:rsidR="00BB2E9B" w:rsidRDefault="00BB2E9B" w:rsidP="00BB2E9B">
      <w:pPr>
        <w:pStyle w:val="ListParagraph"/>
        <w:numPr>
          <w:ilvl w:val="0"/>
          <w:numId w:val="17"/>
        </w:numPr>
        <w:spacing w:line="276" w:lineRule="auto"/>
        <w:ind w:left="714" w:hanging="357"/>
        <w:contextualSpacing/>
        <w:jc w:val="both"/>
        <w:rPr>
          <w:rFonts w:ascii="Arial" w:hAnsi="Arial" w:cs="Arial"/>
        </w:rPr>
      </w:pPr>
      <w:r>
        <w:rPr>
          <w:rFonts w:ascii="Arial" w:hAnsi="Arial" w:cs="Arial"/>
        </w:rPr>
        <w:t xml:space="preserve">Mr </w:t>
      </w:r>
      <w:r w:rsidR="00511592">
        <w:rPr>
          <w:rFonts w:ascii="Arial" w:hAnsi="Arial" w:cs="Arial"/>
        </w:rPr>
        <w:t>S</w:t>
      </w:r>
      <w:r>
        <w:rPr>
          <w:rFonts w:ascii="Arial" w:hAnsi="Arial" w:cs="Arial"/>
        </w:rPr>
        <w:t xml:space="preserve"> requested and accepted a DSF of $1,000 on his account.  This occurred on 9 March 2017.</w:t>
      </w:r>
    </w:p>
    <w:p w14:paraId="380AD60B" w14:textId="77777777" w:rsidR="00BB2E9B" w:rsidRDefault="00BB2E9B" w:rsidP="00BB2E9B">
      <w:pPr>
        <w:jc w:val="both"/>
        <w:rPr>
          <w:rFonts w:ascii="Arial" w:hAnsi="Arial" w:cs="Arial"/>
        </w:rPr>
      </w:pPr>
    </w:p>
    <w:p w14:paraId="12C22C01" w14:textId="6946E6A5" w:rsidR="00BB2E9B" w:rsidRDefault="00BB2E9B" w:rsidP="00BB2E9B">
      <w:pPr>
        <w:pStyle w:val="ListParagraph"/>
        <w:numPr>
          <w:ilvl w:val="0"/>
          <w:numId w:val="17"/>
        </w:numPr>
        <w:spacing w:line="276" w:lineRule="auto"/>
        <w:ind w:left="696" w:hanging="356"/>
        <w:contextualSpacing/>
        <w:jc w:val="both"/>
        <w:rPr>
          <w:rFonts w:ascii="Arial" w:hAnsi="Arial" w:cs="Arial"/>
        </w:rPr>
      </w:pPr>
      <w:r>
        <w:rPr>
          <w:rFonts w:ascii="Arial" w:hAnsi="Arial" w:cs="Arial"/>
        </w:rPr>
        <w:t xml:space="preserve">From 7 March to 12 March 2017, Mr </w:t>
      </w:r>
      <w:r w:rsidR="00511592">
        <w:rPr>
          <w:rFonts w:ascii="Arial" w:hAnsi="Arial" w:cs="Arial"/>
        </w:rPr>
        <w:t>S</w:t>
      </w:r>
      <w:r>
        <w:rPr>
          <w:rFonts w:ascii="Arial" w:hAnsi="Arial" w:cs="Arial"/>
        </w:rPr>
        <w:t xml:space="preserve"> made numerous bets, some of which were winning and some losing outcomes.</w:t>
      </w:r>
    </w:p>
    <w:p w14:paraId="3E1EEB32" w14:textId="77777777" w:rsidR="00BB2E9B" w:rsidRDefault="00BB2E9B" w:rsidP="00BB2E9B">
      <w:pPr>
        <w:jc w:val="both"/>
        <w:rPr>
          <w:rFonts w:ascii="Arial" w:hAnsi="Arial" w:cs="Arial"/>
        </w:rPr>
      </w:pPr>
    </w:p>
    <w:p w14:paraId="4331A5EB" w14:textId="77777777" w:rsidR="00BB2E9B" w:rsidRDefault="00BB2E9B" w:rsidP="00BB2E9B">
      <w:pPr>
        <w:pStyle w:val="ListParagraph"/>
        <w:numPr>
          <w:ilvl w:val="0"/>
          <w:numId w:val="17"/>
        </w:numPr>
        <w:spacing w:line="276" w:lineRule="auto"/>
        <w:ind w:left="697" w:hanging="357"/>
        <w:contextualSpacing/>
        <w:jc w:val="both"/>
        <w:rPr>
          <w:rFonts w:ascii="Arial" w:hAnsi="Arial" w:cs="Arial"/>
        </w:rPr>
      </w:pPr>
      <w:r>
        <w:rPr>
          <w:rFonts w:ascii="Arial" w:hAnsi="Arial" w:cs="Arial"/>
        </w:rPr>
        <w:t xml:space="preserve">It is important to note that all bets were taken within the clients $1,000 DSF limit. </w:t>
      </w:r>
    </w:p>
    <w:p w14:paraId="62B71085" w14:textId="77777777" w:rsidR="00BB2E9B" w:rsidRPr="00292DEB" w:rsidRDefault="00BB2E9B" w:rsidP="00BB2E9B">
      <w:pPr>
        <w:pStyle w:val="ListParagraph"/>
        <w:rPr>
          <w:rFonts w:ascii="Arial" w:hAnsi="Arial" w:cs="Arial"/>
        </w:rPr>
      </w:pPr>
    </w:p>
    <w:p w14:paraId="2401AA97" w14:textId="77777777" w:rsidR="00BB2E9B" w:rsidRDefault="00BB2E9B" w:rsidP="00BB2E9B">
      <w:pPr>
        <w:pStyle w:val="ListParagraph"/>
        <w:numPr>
          <w:ilvl w:val="0"/>
          <w:numId w:val="17"/>
        </w:numPr>
        <w:spacing w:line="276" w:lineRule="auto"/>
        <w:ind w:left="697" w:hanging="357"/>
        <w:contextualSpacing/>
        <w:jc w:val="both"/>
        <w:rPr>
          <w:rFonts w:ascii="Arial" w:hAnsi="Arial" w:cs="Arial"/>
        </w:rPr>
      </w:pPr>
      <w:r>
        <w:rPr>
          <w:rFonts w:ascii="Arial" w:hAnsi="Arial" w:cs="Arial"/>
        </w:rPr>
        <w:t>Whilst it is acknowledged that all bets were made in accordance with agreed terms and conditions, the bookmaker has confirmed that in this instance they did not undertake a credit assessment at the time of approving the DSF.</w:t>
      </w:r>
    </w:p>
    <w:p w14:paraId="6EFA2863" w14:textId="77777777" w:rsidR="00BB2E9B" w:rsidRPr="00292DEB" w:rsidRDefault="00BB2E9B" w:rsidP="00BB2E9B">
      <w:pPr>
        <w:pStyle w:val="ListParagraph"/>
        <w:rPr>
          <w:rFonts w:ascii="Arial" w:hAnsi="Arial" w:cs="Arial"/>
        </w:rPr>
      </w:pPr>
    </w:p>
    <w:p w14:paraId="0DEC4D63" w14:textId="77777777" w:rsidR="00BB2E9B" w:rsidRDefault="00BB2E9B" w:rsidP="00BB2E9B">
      <w:pPr>
        <w:pStyle w:val="ListParagraph"/>
        <w:numPr>
          <w:ilvl w:val="0"/>
          <w:numId w:val="17"/>
        </w:numPr>
        <w:spacing w:line="276" w:lineRule="auto"/>
        <w:ind w:left="697" w:hanging="357"/>
        <w:contextualSpacing/>
        <w:jc w:val="both"/>
        <w:rPr>
          <w:rFonts w:ascii="Arial" w:hAnsi="Arial" w:cs="Arial"/>
        </w:rPr>
      </w:pPr>
      <w:r>
        <w:rPr>
          <w:rFonts w:ascii="Arial" w:hAnsi="Arial" w:cs="Arial"/>
        </w:rPr>
        <w:t>This action is in contravention of Section 3 of the Mandatory Code of Practice for Sports Bookmakers – Deferred Settlement Facilities, which states as follows:</w:t>
      </w:r>
    </w:p>
    <w:p w14:paraId="3D618656" w14:textId="77777777" w:rsidR="00BB2E9B" w:rsidRDefault="00BB2E9B" w:rsidP="00BB2E9B">
      <w:pPr>
        <w:jc w:val="both"/>
        <w:rPr>
          <w:rFonts w:ascii="Arial" w:hAnsi="Arial" w:cs="Arial"/>
        </w:rPr>
      </w:pPr>
    </w:p>
    <w:p w14:paraId="616B73FF" w14:textId="77777777" w:rsidR="00BB2E9B" w:rsidRDefault="00BB2E9B" w:rsidP="00AC1538">
      <w:pPr>
        <w:ind w:left="1134" w:hanging="437"/>
        <w:jc w:val="both"/>
        <w:rPr>
          <w:rFonts w:ascii="Arial" w:hAnsi="Arial" w:cs="Arial"/>
        </w:rPr>
      </w:pPr>
      <w:r>
        <w:rPr>
          <w:rFonts w:ascii="Arial" w:hAnsi="Arial" w:cs="Arial"/>
        </w:rPr>
        <w:t>“3.   Either the sports bookmaker or an independent external assessment institution must undertake an appropriate credit assessment of an application for a DSF. Such checks must include:</w:t>
      </w:r>
    </w:p>
    <w:p w14:paraId="724DE6E9" w14:textId="77777777" w:rsidR="00BB2E9B" w:rsidRDefault="00BB2E9B" w:rsidP="00BB2E9B">
      <w:pPr>
        <w:ind w:left="1276" w:hanging="579"/>
        <w:jc w:val="both"/>
        <w:rPr>
          <w:rFonts w:ascii="Arial" w:hAnsi="Arial" w:cs="Arial"/>
        </w:rPr>
      </w:pPr>
    </w:p>
    <w:p w14:paraId="31A05A5A" w14:textId="77777777" w:rsidR="00BB2E9B" w:rsidRDefault="00BB2E9B" w:rsidP="00BB2E9B">
      <w:pPr>
        <w:pStyle w:val="ListParagraph"/>
        <w:numPr>
          <w:ilvl w:val="0"/>
          <w:numId w:val="29"/>
        </w:numPr>
        <w:spacing w:line="276" w:lineRule="auto"/>
        <w:contextualSpacing/>
        <w:jc w:val="both"/>
        <w:rPr>
          <w:rFonts w:ascii="Arial" w:hAnsi="Arial" w:cs="Arial"/>
        </w:rPr>
      </w:pPr>
      <w:r>
        <w:rPr>
          <w:rFonts w:ascii="Arial" w:hAnsi="Arial" w:cs="Arial"/>
        </w:rPr>
        <w:t>Verification of identity in accordance with anti-money laundering requirements</w:t>
      </w:r>
    </w:p>
    <w:p w14:paraId="6FB70323" w14:textId="77777777" w:rsidR="00BB2E9B" w:rsidRDefault="00BB2E9B" w:rsidP="00BB2E9B">
      <w:pPr>
        <w:jc w:val="both"/>
        <w:rPr>
          <w:rFonts w:ascii="Arial" w:hAnsi="Arial" w:cs="Arial"/>
        </w:rPr>
      </w:pPr>
    </w:p>
    <w:p w14:paraId="5B004AC0" w14:textId="77777777" w:rsidR="00BB2E9B" w:rsidRDefault="00BB2E9B" w:rsidP="00BB2E9B">
      <w:pPr>
        <w:pStyle w:val="ListParagraph"/>
        <w:numPr>
          <w:ilvl w:val="0"/>
          <w:numId w:val="29"/>
        </w:numPr>
        <w:spacing w:line="276" w:lineRule="auto"/>
        <w:contextualSpacing/>
        <w:jc w:val="both"/>
        <w:rPr>
          <w:rFonts w:ascii="Arial" w:hAnsi="Arial" w:cs="Arial"/>
        </w:rPr>
      </w:pPr>
      <w:r>
        <w:rPr>
          <w:rFonts w:ascii="Arial" w:hAnsi="Arial" w:cs="Arial"/>
        </w:rPr>
        <w:t>Confirmation of age</w:t>
      </w:r>
    </w:p>
    <w:p w14:paraId="35409D77" w14:textId="77777777" w:rsidR="00BB2E9B" w:rsidRDefault="00BB2E9B" w:rsidP="00BB2E9B">
      <w:pPr>
        <w:jc w:val="both"/>
        <w:rPr>
          <w:rFonts w:ascii="Arial" w:hAnsi="Arial" w:cs="Arial"/>
        </w:rPr>
      </w:pPr>
    </w:p>
    <w:p w14:paraId="0AE59F6C" w14:textId="77777777" w:rsidR="00BB2E9B" w:rsidRDefault="00BB2E9B" w:rsidP="00BB2E9B">
      <w:pPr>
        <w:pStyle w:val="ListParagraph"/>
        <w:numPr>
          <w:ilvl w:val="0"/>
          <w:numId w:val="29"/>
        </w:numPr>
        <w:spacing w:line="276" w:lineRule="auto"/>
        <w:contextualSpacing/>
        <w:jc w:val="both"/>
        <w:rPr>
          <w:rFonts w:ascii="Arial" w:hAnsi="Arial" w:cs="Arial"/>
        </w:rPr>
      </w:pPr>
      <w:r>
        <w:rPr>
          <w:rFonts w:ascii="Arial" w:hAnsi="Arial" w:cs="Arial"/>
        </w:rPr>
        <w:t>Confirmation of current residential address</w:t>
      </w:r>
    </w:p>
    <w:p w14:paraId="2621A6C3" w14:textId="77777777" w:rsidR="00BB2E9B" w:rsidRDefault="00BB2E9B" w:rsidP="00BB2E9B">
      <w:pPr>
        <w:jc w:val="both"/>
        <w:rPr>
          <w:rFonts w:ascii="Arial" w:hAnsi="Arial" w:cs="Arial"/>
        </w:rPr>
      </w:pPr>
    </w:p>
    <w:p w14:paraId="740746FA" w14:textId="77777777" w:rsidR="00BB2E9B" w:rsidRDefault="00BB2E9B" w:rsidP="00BB2E9B">
      <w:pPr>
        <w:pStyle w:val="ListParagraph"/>
        <w:numPr>
          <w:ilvl w:val="0"/>
          <w:numId w:val="29"/>
        </w:numPr>
        <w:spacing w:line="276" w:lineRule="auto"/>
        <w:contextualSpacing/>
        <w:jc w:val="both"/>
        <w:rPr>
          <w:rFonts w:ascii="Arial" w:hAnsi="Arial" w:cs="Arial"/>
        </w:rPr>
      </w:pPr>
      <w:r>
        <w:rPr>
          <w:rFonts w:ascii="Arial" w:hAnsi="Arial" w:cs="Arial"/>
        </w:rPr>
        <w:t>Contact details including phone number and email address; and</w:t>
      </w:r>
    </w:p>
    <w:p w14:paraId="563AD13E" w14:textId="77777777" w:rsidR="00BB2E9B" w:rsidRDefault="00BB2E9B" w:rsidP="00BB2E9B">
      <w:pPr>
        <w:jc w:val="both"/>
        <w:rPr>
          <w:rFonts w:ascii="Arial" w:hAnsi="Arial" w:cs="Arial"/>
        </w:rPr>
      </w:pPr>
    </w:p>
    <w:p w14:paraId="297A0B12" w14:textId="77777777" w:rsidR="00BB2E9B" w:rsidRPr="00E92A5A" w:rsidRDefault="00BB2E9B" w:rsidP="00BB2E9B">
      <w:pPr>
        <w:pStyle w:val="ListParagraph"/>
        <w:numPr>
          <w:ilvl w:val="0"/>
          <w:numId w:val="29"/>
        </w:numPr>
        <w:spacing w:line="276" w:lineRule="auto"/>
        <w:contextualSpacing/>
        <w:jc w:val="both"/>
        <w:rPr>
          <w:rFonts w:ascii="Arial" w:hAnsi="Arial" w:cs="Arial"/>
        </w:rPr>
      </w:pPr>
      <w:r>
        <w:rPr>
          <w:rFonts w:ascii="Arial" w:hAnsi="Arial" w:cs="Arial"/>
        </w:rPr>
        <w:t>Assess credit worthiness by establishing employment or source of income or by other means”.</w:t>
      </w:r>
    </w:p>
    <w:p w14:paraId="4A077952" w14:textId="4A52A6E9" w:rsidR="00AC1538" w:rsidRDefault="00AC1538">
      <w:pPr>
        <w:rPr>
          <w:rFonts w:ascii="Arial" w:hAnsi="Arial" w:cs="Arial"/>
        </w:rPr>
      </w:pPr>
      <w:r>
        <w:rPr>
          <w:rFonts w:ascii="Arial" w:hAnsi="Arial" w:cs="Arial"/>
        </w:rPr>
        <w:br w:type="page"/>
      </w:r>
    </w:p>
    <w:p w14:paraId="1BC61915" w14:textId="77777777" w:rsidR="00BB2E9B" w:rsidRDefault="00BB2E9B" w:rsidP="00BB2E9B">
      <w:pPr>
        <w:pStyle w:val="ListParagraph"/>
        <w:numPr>
          <w:ilvl w:val="0"/>
          <w:numId w:val="17"/>
        </w:numPr>
        <w:spacing w:line="276" w:lineRule="auto"/>
        <w:contextualSpacing/>
        <w:jc w:val="both"/>
        <w:rPr>
          <w:rFonts w:ascii="Arial" w:hAnsi="Arial" w:cs="Arial"/>
        </w:rPr>
      </w:pPr>
      <w:r>
        <w:rPr>
          <w:rFonts w:ascii="Arial" w:hAnsi="Arial" w:cs="Arial"/>
        </w:rPr>
        <w:lastRenderedPageBreak/>
        <w:t>In response to the Commissions query as to why the credit assessment process was not followed the bookmaker replied as follows:</w:t>
      </w:r>
    </w:p>
    <w:p w14:paraId="19BCE963" w14:textId="77777777" w:rsidR="00BB2E9B" w:rsidRDefault="00BB2E9B" w:rsidP="00BB2E9B">
      <w:pPr>
        <w:ind w:left="360"/>
        <w:jc w:val="both"/>
        <w:rPr>
          <w:rFonts w:ascii="Arial" w:hAnsi="Arial" w:cs="Arial"/>
        </w:rPr>
      </w:pPr>
    </w:p>
    <w:p w14:paraId="7F523BA0" w14:textId="277797AE" w:rsidR="00BB2E9B" w:rsidRDefault="00BB2E9B" w:rsidP="00BB2E9B">
      <w:pPr>
        <w:ind w:left="720"/>
        <w:jc w:val="both"/>
        <w:rPr>
          <w:rFonts w:ascii="Arial" w:hAnsi="Arial" w:cs="Arial"/>
        </w:rPr>
      </w:pPr>
      <w:r>
        <w:rPr>
          <w:rFonts w:ascii="Arial" w:hAnsi="Arial" w:cs="Arial"/>
        </w:rPr>
        <w:t xml:space="preserve">“The Pointsbet credit team did not run a credit check for Mr </w:t>
      </w:r>
      <w:r w:rsidR="00511592">
        <w:rPr>
          <w:rFonts w:ascii="Arial" w:hAnsi="Arial" w:cs="Arial"/>
        </w:rPr>
        <w:t>S</w:t>
      </w:r>
      <w:r>
        <w:rPr>
          <w:rFonts w:ascii="Arial" w:hAnsi="Arial" w:cs="Arial"/>
        </w:rPr>
        <w:t>.  In this situation we were happy to provide a $1,000 DSF to this customer without a credit check for a variety of reasons. Firstly their lifetime deposit amounts were five times their requested DSF, showing an ability to pay. Secondly the client had come referred through previous clients that were known personally to myself.  Taking this into account, we saw the risk as extremely low and a decision was made not to run a credit check.</w:t>
      </w:r>
    </w:p>
    <w:p w14:paraId="10C65FF7" w14:textId="77777777" w:rsidR="00BB2E9B" w:rsidRDefault="00BB2E9B" w:rsidP="00BB2E9B">
      <w:pPr>
        <w:ind w:left="720"/>
        <w:jc w:val="both"/>
        <w:rPr>
          <w:rFonts w:ascii="Arial" w:hAnsi="Arial" w:cs="Arial"/>
        </w:rPr>
      </w:pPr>
    </w:p>
    <w:p w14:paraId="255C3D81" w14:textId="77777777" w:rsidR="00BB2E9B" w:rsidRDefault="00BB2E9B" w:rsidP="00BB2E9B">
      <w:pPr>
        <w:ind w:left="720"/>
        <w:jc w:val="both"/>
        <w:rPr>
          <w:rFonts w:ascii="Arial" w:hAnsi="Arial" w:cs="Arial"/>
        </w:rPr>
      </w:pPr>
      <w:r>
        <w:rPr>
          <w:rFonts w:ascii="Arial" w:hAnsi="Arial" w:cs="Arial"/>
        </w:rPr>
        <w:t>Typically for amounts over $1,000 we run credit checks but we do take into account depositing history, payment history and any other factors that reduce credit risk”.</w:t>
      </w:r>
    </w:p>
    <w:p w14:paraId="5EB04F3C" w14:textId="77777777" w:rsidR="00BB2E9B" w:rsidRPr="00333CA3" w:rsidRDefault="00BB2E9B" w:rsidP="00BB2E9B">
      <w:pPr>
        <w:ind w:left="720"/>
        <w:jc w:val="both"/>
        <w:rPr>
          <w:rFonts w:ascii="Arial" w:hAnsi="Arial" w:cs="Arial"/>
        </w:rPr>
      </w:pPr>
    </w:p>
    <w:p w14:paraId="2CDC94AE" w14:textId="2FB30D0B" w:rsidR="00BB2E9B" w:rsidRPr="006D0C89" w:rsidRDefault="00BB2E9B" w:rsidP="00BB2E9B">
      <w:pPr>
        <w:pStyle w:val="ListParagraph"/>
        <w:numPr>
          <w:ilvl w:val="0"/>
          <w:numId w:val="17"/>
        </w:numPr>
        <w:spacing w:line="276" w:lineRule="auto"/>
        <w:contextualSpacing/>
        <w:jc w:val="both"/>
        <w:rPr>
          <w:rFonts w:ascii="Arial" w:hAnsi="Arial" w:cs="Arial"/>
        </w:rPr>
      </w:pPr>
      <w:r>
        <w:rPr>
          <w:rFonts w:ascii="Arial" w:hAnsi="Arial" w:cs="Arial"/>
        </w:rPr>
        <w:t xml:space="preserve">The Commission, in making a determination in this matter have perused the detailed wagering history of Mr </w:t>
      </w:r>
      <w:r w:rsidR="00511592">
        <w:rPr>
          <w:rFonts w:ascii="Arial" w:hAnsi="Arial" w:cs="Arial"/>
        </w:rPr>
        <w:t>S</w:t>
      </w:r>
      <w:r>
        <w:rPr>
          <w:rFonts w:ascii="Arial" w:hAnsi="Arial" w:cs="Arial"/>
        </w:rPr>
        <w:t xml:space="preserve"> with particular reference to the period 9 March to </w:t>
      </w:r>
      <w:r>
        <w:rPr>
          <w:rFonts w:ascii="Arial" w:hAnsi="Arial" w:cs="Arial"/>
        </w:rPr>
        <w:br/>
        <w:t>12 March 2017, inclusive.</w:t>
      </w:r>
    </w:p>
    <w:p w14:paraId="25408F8F" w14:textId="77777777" w:rsidR="00BB2E9B" w:rsidRPr="00485982" w:rsidRDefault="00BB2E9B" w:rsidP="00BB2E9B">
      <w:pPr>
        <w:ind w:left="360"/>
        <w:jc w:val="both"/>
        <w:rPr>
          <w:rFonts w:ascii="Arial" w:hAnsi="Arial" w:cs="Arial"/>
        </w:rPr>
      </w:pPr>
    </w:p>
    <w:p w14:paraId="38D02B34" w14:textId="6ABEBAD7" w:rsidR="00BB2E9B" w:rsidRDefault="00BB2E9B" w:rsidP="00BB2E9B">
      <w:pPr>
        <w:pStyle w:val="ListParagraph"/>
        <w:numPr>
          <w:ilvl w:val="0"/>
          <w:numId w:val="17"/>
        </w:numPr>
        <w:spacing w:line="276" w:lineRule="auto"/>
        <w:contextualSpacing/>
        <w:jc w:val="both"/>
        <w:rPr>
          <w:rFonts w:ascii="Arial" w:hAnsi="Arial" w:cs="Arial"/>
        </w:rPr>
      </w:pPr>
      <w:r>
        <w:rPr>
          <w:rFonts w:ascii="Arial" w:hAnsi="Arial" w:cs="Arial"/>
        </w:rPr>
        <w:t xml:space="preserve">During this period Mr </w:t>
      </w:r>
      <w:r w:rsidR="00511592">
        <w:rPr>
          <w:rFonts w:ascii="Arial" w:hAnsi="Arial" w:cs="Arial"/>
        </w:rPr>
        <w:t>S</w:t>
      </w:r>
      <w:r>
        <w:rPr>
          <w:rFonts w:ascii="Arial" w:hAnsi="Arial" w:cs="Arial"/>
        </w:rPr>
        <w:t xml:space="preserve"> made a total of 50 bets, 28 of which were settled as winning bets and 22 losing bets (including those that gave rise to the negative balance in dispute).</w:t>
      </w:r>
    </w:p>
    <w:p w14:paraId="251643F5" w14:textId="77777777" w:rsidR="00BB2E9B" w:rsidRPr="00485982" w:rsidRDefault="00BB2E9B" w:rsidP="00BB2E9B">
      <w:pPr>
        <w:ind w:left="360"/>
        <w:jc w:val="both"/>
        <w:rPr>
          <w:rFonts w:ascii="Arial" w:hAnsi="Arial" w:cs="Arial"/>
        </w:rPr>
      </w:pPr>
    </w:p>
    <w:p w14:paraId="6239CE37" w14:textId="10AF7D84" w:rsidR="00BB2E9B" w:rsidRDefault="00BB2E9B" w:rsidP="00BB2E9B">
      <w:pPr>
        <w:pStyle w:val="ListParagraph"/>
        <w:numPr>
          <w:ilvl w:val="0"/>
          <w:numId w:val="17"/>
        </w:numPr>
        <w:spacing w:line="276" w:lineRule="auto"/>
        <w:contextualSpacing/>
        <w:jc w:val="both"/>
        <w:rPr>
          <w:rFonts w:ascii="Arial" w:hAnsi="Arial" w:cs="Arial"/>
        </w:rPr>
      </w:pPr>
      <w:r>
        <w:rPr>
          <w:rFonts w:ascii="Arial" w:hAnsi="Arial" w:cs="Arial"/>
        </w:rPr>
        <w:t xml:space="preserve">From this information we believe it is reasonable to assume that Mr </w:t>
      </w:r>
      <w:r w:rsidR="00511592">
        <w:rPr>
          <w:rFonts w:ascii="Arial" w:hAnsi="Arial" w:cs="Arial"/>
        </w:rPr>
        <w:t>S</w:t>
      </w:r>
      <w:r>
        <w:rPr>
          <w:rFonts w:ascii="Arial" w:hAnsi="Arial" w:cs="Arial"/>
        </w:rPr>
        <w:t xml:space="preserve"> is an experienced punter well versed in spread betting protocols and possible outcomes.</w:t>
      </w:r>
    </w:p>
    <w:p w14:paraId="5EA9075E" w14:textId="77777777" w:rsidR="00BB2E9B" w:rsidRPr="00CE1E62" w:rsidRDefault="00BB2E9B" w:rsidP="00BB2E9B">
      <w:pPr>
        <w:ind w:left="360"/>
        <w:jc w:val="both"/>
        <w:rPr>
          <w:rFonts w:ascii="Arial" w:hAnsi="Arial" w:cs="Arial"/>
        </w:rPr>
      </w:pPr>
    </w:p>
    <w:p w14:paraId="158C96DD" w14:textId="77777777" w:rsidR="00BB2E9B" w:rsidRDefault="00BB2E9B" w:rsidP="00BB2E9B">
      <w:pPr>
        <w:jc w:val="both"/>
        <w:rPr>
          <w:rFonts w:ascii="Arial" w:hAnsi="Arial" w:cs="Arial"/>
        </w:rPr>
      </w:pPr>
    </w:p>
    <w:p w14:paraId="4D845D79" w14:textId="77777777" w:rsidR="00BB2E9B" w:rsidRDefault="00BB2E9B" w:rsidP="00AC1538">
      <w:pPr>
        <w:spacing w:line="360" w:lineRule="auto"/>
        <w:ind w:firstLine="426"/>
        <w:rPr>
          <w:rFonts w:ascii="Arial" w:hAnsi="Arial" w:cs="Arial"/>
          <w:b/>
        </w:rPr>
      </w:pPr>
      <w:r>
        <w:rPr>
          <w:rFonts w:ascii="Arial" w:hAnsi="Arial" w:cs="Arial"/>
          <w:b/>
        </w:rPr>
        <w:t>DECISION</w:t>
      </w:r>
    </w:p>
    <w:p w14:paraId="6A02C5D8" w14:textId="77777777" w:rsidR="00BB2E9B" w:rsidRPr="00CE1E62" w:rsidRDefault="00BB2E9B" w:rsidP="00BB2E9B">
      <w:pPr>
        <w:jc w:val="both"/>
        <w:rPr>
          <w:rFonts w:ascii="Arial" w:hAnsi="Arial" w:cs="Arial"/>
        </w:rPr>
      </w:pPr>
    </w:p>
    <w:p w14:paraId="076CD5F9" w14:textId="77777777" w:rsidR="00BB2E9B" w:rsidRDefault="00BB2E9B" w:rsidP="00BB2E9B">
      <w:pPr>
        <w:pStyle w:val="ListParagraph"/>
        <w:numPr>
          <w:ilvl w:val="0"/>
          <w:numId w:val="17"/>
        </w:numPr>
        <w:spacing w:line="276" w:lineRule="auto"/>
        <w:contextualSpacing/>
        <w:jc w:val="both"/>
        <w:rPr>
          <w:rFonts w:ascii="Arial" w:hAnsi="Arial" w:cs="Arial"/>
        </w:rPr>
      </w:pPr>
      <w:r>
        <w:rPr>
          <w:rFonts w:ascii="Arial" w:hAnsi="Arial" w:cs="Arial"/>
        </w:rPr>
        <w:t>Whilst the Commission accept the mitigating circumstances outlined in Pointsbet’s explanation around the lack of a credit check in this instance, we remain concerned that this is in contravention of Section 3 of the Mandatory Code of Practice for Sports Bookmakers – Deferred Settlement Facilities.</w:t>
      </w:r>
    </w:p>
    <w:p w14:paraId="75597783" w14:textId="77777777" w:rsidR="00BB2E9B" w:rsidRPr="00CE1E62" w:rsidRDefault="00BB2E9B" w:rsidP="00BB2E9B">
      <w:pPr>
        <w:ind w:left="360"/>
        <w:jc w:val="both"/>
        <w:rPr>
          <w:rFonts w:ascii="Arial" w:hAnsi="Arial" w:cs="Arial"/>
        </w:rPr>
      </w:pPr>
    </w:p>
    <w:p w14:paraId="044AD66D" w14:textId="77777777" w:rsidR="00BB2E9B" w:rsidRPr="00E452E0" w:rsidRDefault="00BB2E9B" w:rsidP="00BB2E9B">
      <w:pPr>
        <w:pStyle w:val="ListParagraph"/>
        <w:numPr>
          <w:ilvl w:val="0"/>
          <w:numId w:val="17"/>
        </w:numPr>
        <w:spacing w:line="276" w:lineRule="auto"/>
        <w:ind w:left="757"/>
        <w:contextualSpacing/>
        <w:jc w:val="both"/>
        <w:rPr>
          <w:rFonts w:ascii="Arial" w:hAnsi="Arial" w:cs="Arial"/>
        </w:rPr>
      </w:pPr>
      <w:r>
        <w:rPr>
          <w:rFonts w:ascii="Arial" w:hAnsi="Arial" w:cs="Arial"/>
        </w:rPr>
        <w:t>We consider that this infraction has no material bearing on the outcomes in this dispute. However, we reprimand Pointsbet and direct that in future all DSF arrangements regardless of amount are not put in place until a credit check has been completed and a satisfactory outcome achieved.</w:t>
      </w:r>
    </w:p>
    <w:p w14:paraId="4610D48F" w14:textId="77777777" w:rsidR="00BB2E9B" w:rsidRPr="00143A52" w:rsidRDefault="00BB2E9B" w:rsidP="00BB2E9B">
      <w:pPr>
        <w:ind w:left="360"/>
        <w:jc w:val="both"/>
        <w:rPr>
          <w:rFonts w:ascii="Arial" w:hAnsi="Arial" w:cs="Arial"/>
        </w:rPr>
      </w:pPr>
    </w:p>
    <w:p w14:paraId="0EB75E4D" w14:textId="3289354B" w:rsidR="00BB2E9B" w:rsidRDefault="00BB2E9B" w:rsidP="00BB2E9B">
      <w:pPr>
        <w:pStyle w:val="ListParagraph"/>
        <w:numPr>
          <w:ilvl w:val="0"/>
          <w:numId w:val="17"/>
        </w:numPr>
        <w:spacing w:line="276" w:lineRule="auto"/>
        <w:contextualSpacing/>
        <w:jc w:val="both"/>
        <w:rPr>
          <w:rFonts w:ascii="Arial" w:hAnsi="Arial" w:cs="Arial"/>
        </w:rPr>
      </w:pPr>
      <w:r>
        <w:rPr>
          <w:rFonts w:ascii="Arial" w:hAnsi="Arial" w:cs="Arial"/>
        </w:rPr>
        <w:t xml:space="preserve">As previously stated, we are satisfied that given Mr </w:t>
      </w:r>
      <w:r w:rsidR="00511592">
        <w:rPr>
          <w:rFonts w:ascii="Arial" w:hAnsi="Arial" w:cs="Arial"/>
        </w:rPr>
        <w:t>S</w:t>
      </w:r>
      <w:r>
        <w:rPr>
          <w:rFonts w:ascii="Arial" w:hAnsi="Arial" w:cs="Arial"/>
        </w:rPr>
        <w:t>’ short but comprehensive experience with spread betting and the</w:t>
      </w:r>
      <w:bookmarkStart w:id="0" w:name="_GoBack"/>
      <w:bookmarkEnd w:id="0"/>
      <w:r>
        <w:rPr>
          <w:rFonts w:ascii="Arial" w:hAnsi="Arial" w:cs="Arial"/>
        </w:rPr>
        <w:t xml:space="preserve"> fact that he acknowledged his understanding and acceptance of Pointsbet’s terms and conditions in his email of 9 March 2017, he was well aware of the possible inflated win/loss outcomes of a spread betting contract.</w:t>
      </w:r>
    </w:p>
    <w:p w14:paraId="2BA9561D" w14:textId="73345BDD" w:rsidR="00AC1538" w:rsidRDefault="00AC1538">
      <w:pPr>
        <w:rPr>
          <w:rFonts w:ascii="Arial" w:hAnsi="Arial" w:cs="Arial"/>
        </w:rPr>
      </w:pPr>
      <w:r>
        <w:rPr>
          <w:rFonts w:ascii="Arial" w:hAnsi="Arial" w:cs="Arial"/>
        </w:rPr>
        <w:br w:type="page"/>
      </w:r>
    </w:p>
    <w:p w14:paraId="1A595B79" w14:textId="576B419E" w:rsidR="00BB2E9B" w:rsidRPr="00AC1538" w:rsidRDefault="00BB2E9B" w:rsidP="00AC1538">
      <w:pPr>
        <w:pStyle w:val="ListParagraph"/>
        <w:numPr>
          <w:ilvl w:val="0"/>
          <w:numId w:val="17"/>
        </w:numPr>
        <w:spacing w:line="276" w:lineRule="auto"/>
        <w:contextualSpacing/>
        <w:jc w:val="both"/>
        <w:rPr>
          <w:rFonts w:ascii="Arial" w:hAnsi="Arial" w:cs="Arial"/>
        </w:rPr>
      </w:pPr>
      <w:r>
        <w:rPr>
          <w:rFonts w:ascii="Arial" w:hAnsi="Arial" w:cs="Arial"/>
        </w:rPr>
        <w:lastRenderedPageBreak/>
        <w:t xml:space="preserve">As such and in accordance with section 85 (4) of the </w:t>
      </w:r>
      <w:r w:rsidR="00AC1538">
        <w:rPr>
          <w:rFonts w:ascii="Arial" w:hAnsi="Arial" w:cs="Arial"/>
        </w:rPr>
        <w:t>A</w:t>
      </w:r>
      <w:r>
        <w:rPr>
          <w:rFonts w:ascii="Arial" w:hAnsi="Arial" w:cs="Arial"/>
        </w:rPr>
        <w:t xml:space="preserve">ct, on the basis of the information provided in respect of the dispute and for reasons set out above, the </w:t>
      </w:r>
      <w:r w:rsidRPr="00AC1538">
        <w:rPr>
          <w:rFonts w:ascii="Arial" w:hAnsi="Arial" w:cs="Arial"/>
        </w:rPr>
        <w:t xml:space="preserve">Commission has determined to rule that all the disputed bets were lawful bets and therefore the negative balance of Mr </w:t>
      </w:r>
      <w:r w:rsidR="00511592">
        <w:rPr>
          <w:rFonts w:ascii="Arial" w:hAnsi="Arial" w:cs="Arial"/>
        </w:rPr>
        <w:t>S</w:t>
      </w:r>
      <w:r w:rsidRPr="00AC1538">
        <w:rPr>
          <w:rFonts w:ascii="Arial" w:hAnsi="Arial" w:cs="Arial"/>
        </w:rPr>
        <w:t>’</w:t>
      </w:r>
      <w:r w:rsidR="00581F33">
        <w:rPr>
          <w:rFonts w:ascii="Arial" w:hAnsi="Arial" w:cs="Arial"/>
        </w:rPr>
        <w:t>s</w:t>
      </w:r>
      <w:r w:rsidRPr="00AC1538">
        <w:rPr>
          <w:rFonts w:ascii="Arial" w:hAnsi="Arial" w:cs="Arial"/>
        </w:rPr>
        <w:t xml:space="preserve"> account with the bookmaker is a legitimate outcome.</w:t>
      </w:r>
    </w:p>
    <w:p w14:paraId="16E740C2" w14:textId="77777777" w:rsidR="00BB2E9B" w:rsidRDefault="00BB2E9B" w:rsidP="00BB2E9B">
      <w:pPr>
        <w:jc w:val="both"/>
        <w:rPr>
          <w:rFonts w:ascii="Arial" w:hAnsi="Arial" w:cs="Arial"/>
        </w:rPr>
      </w:pPr>
    </w:p>
    <w:p w14:paraId="270966C4" w14:textId="675E24D7" w:rsidR="00BB2E9B" w:rsidRDefault="00AC1538" w:rsidP="002B53B4">
      <w:pPr>
        <w:spacing w:line="360" w:lineRule="auto"/>
        <w:jc w:val="both"/>
        <w:rPr>
          <w:rFonts w:ascii="Arial" w:hAnsi="Arial" w:cs="Arial"/>
        </w:rPr>
      </w:pPr>
      <w:r>
        <w:rPr>
          <w:rFonts w:ascii="Arial" w:hAnsi="Arial" w:cs="Arial"/>
          <w:noProof/>
        </w:rPr>
        <w:drawing>
          <wp:inline distT="0" distB="0" distL="0" distR="0" wp14:anchorId="21B83F6C" wp14:editId="04A333D2">
            <wp:extent cx="2042556" cy="8747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077951" cy="889884"/>
                    </a:xfrm>
                    <a:prstGeom prst="rect">
                      <a:avLst/>
                    </a:prstGeom>
                  </pic:spPr>
                </pic:pic>
              </a:graphicData>
            </a:graphic>
          </wp:inline>
        </w:drawing>
      </w:r>
    </w:p>
    <w:p w14:paraId="2EB836EF" w14:textId="0D2DB679" w:rsidR="00BB2E9B" w:rsidRPr="00D10C43" w:rsidRDefault="00BB2E9B" w:rsidP="00BB2E9B">
      <w:pPr>
        <w:rPr>
          <w:rFonts w:ascii="Arial" w:hAnsi="Arial" w:cs="Arial"/>
          <w:b/>
        </w:rPr>
      </w:pPr>
      <w:r>
        <w:rPr>
          <w:rFonts w:ascii="Arial" w:hAnsi="Arial" w:cs="Arial"/>
          <w:b/>
        </w:rPr>
        <w:t>J</w:t>
      </w:r>
      <w:r>
        <w:rPr>
          <w:rFonts w:ascii="Arial" w:hAnsi="Arial" w:cs="Arial"/>
          <w:b/>
        </w:rPr>
        <w:t>ohn Boneham</w:t>
      </w:r>
    </w:p>
    <w:p w14:paraId="6C203E78" w14:textId="69EBE99C" w:rsidR="00BB2E9B" w:rsidRDefault="00BB2E9B" w:rsidP="00BB2E9B">
      <w:pPr>
        <w:rPr>
          <w:rFonts w:ascii="Arial" w:hAnsi="Arial" w:cs="Arial"/>
        </w:rPr>
      </w:pPr>
      <w:r>
        <w:rPr>
          <w:rFonts w:ascii="Arial" w:hAnsi="Arial" w:cs="Arial"/>
        </w:rPr>
        <w:t>P</w:t>
      </w:r>
      <w:r>
        <w:rPr>
          <w:rFonts w:ascii="Arial" w:hAnsi="Arial" w:cs="Arial"/>
        </w:rPr>
        <w:t>residing Member</w:t>
      </w:r>
    </w:p>
    <w:p w14:paraId="2C098505" w14:textId="04DF4DDC" w:rsidR="00BB2E9B" w:rsidRDefault="00BB2E9B" w:rsidP="00BB2E9B">
      <w:pPr>
        <w:rPr>
          <w:rFonts w:ascii="Arial" w:hAnsi="Arial" w:cs="Arial"/>
        </w:rPr>
      </w:pPr>
      <w:r>
        <w:rPr>
          <w:rFonts w:ascii="Arial" w:hAnsi="Arial" w:cs="Arial"/>
        </w:rPr>
        <w:t>Racing Commission</w:t>
      </w:r>
    </w:p>
    <w:p w14:paraId="0440DB60" w14:textId="77777777" w:rsidR="00BB2E9B" w:rsidRDefault="00BB2E9B" w:rsidP="00BB2E9B">
      <w:pPr>
        <w:rPr>
          <w:rFonts w:ascii="Arial" w:hAnsi="Arial" w:cs="Arial"/>
        </w:rPr>
      </w:pPr>
    </w:p>
    <w:p w14:paraId="472C9B16" w14:textId="76EE1C5F" w:rsidR="00BB2E9B" w:rsidRPr="00231F83" w:rsidRDefault="00BB2E9B" w:rsidP="00BB2E9B">
      <w:pPr>
        <w:rPr>
          <w:rFonts w:ascii="Arial" w:hAnsi="Arial" w:cs="Arial"/>
        </w:rPr>
      </w:pPr>
      <w:r>
        <w:rPr>
          <w:rFonts w:ascii="Arial" w:hAnsi="Arial" w:cs="Arial"/>
        </w:rPr>
        <w:t>29</w:t>
      </w:r>
      <w:r>
        <w:rPr>
          <w:rFonts w:ascii="Arial" w:hAnsi="Arial" w:cs="Arial"/>
        </w:rPr>
        <w:t xml:space="preserve"> November 2017</w:t>
      </w:r>
    </w:p>
    <w:p w14:paraId="53FCB3EA" w14:textId="059BD57C" w:rsidR="008707D3" w:rsidRPr="008E5F56" w:rsidRDefault="008707D3" w:rsidP="00BB2E9B">
      <w:pPr>
        <w:pStyle w:val="Heading2"/>
        <w:spacing w:before="280" w:line="360" w:lineRule="auto"/>
        <w:rPr>
          <w:rFonts w:cs="Arial"/>
        </w:rPr>
      </w:pPr>
    </w:p>
    <w:sectPr w:rsidR="008707D3" w:rsidRPr="008E5F56"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1106D6" w:rsidRDefault="001106D6">
      <w:r>
        <w:separator/>
      </w:r>
    </w:p>
  </w:endnote>
  <w:endnote w:type="continuationSeparator" w:id="0">
    <w:p w14:paraId="4C038F35" w14:textId="77777777" w:rsidR="001106D6" w:rsidRDefault="001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1106D6" w:rsidRDefault="001106D6">
      <w:r>
        <w:separator/>
      </w:r>
    </w:p>
  </w:footnote>
  <w:footnote w:type="continuationSeparator" w:id="0">
    <w:p w14:paraId="201B66B1" w14:textId="77777777" w:rsidR="001106D6" w:rsidRDefault="0011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581F33">
          <w:rPr>
            <w:rFonts w:ascii="Arial" w:hAnsi="Arial" w:cs="Arial"/>
            <w:noProof/>
          </w:rPr>
          <w:t>4</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FF2494"/>
    <w:multiLevelType w:val="hybridMultilevel"/>
    <w:tmpl w:val="2B7697F6"/>
    <w:lvl w:ilvl="0" w:tplc="336C0C60">
      <w:start w:val="1"/>
      <w:numFmt w:val="lowerLetter"/>
      <w:lvlText w:val="%1)"/>
      <w:lvlJc w:val="left"/>
      <w:pPr>
        <w:ind w:left="1417" w:hanging="360"/>
      </w:pPr>
      <w:rPr>
        <w:rFonts w:ascii="Arial" w:hAnsi="Arial" w:hint="default"/>
        <w:sz w:val="22"/>
      </w:rPr>
    </w:lvl>
    <w:lvl w:ilvl="1" w:tplc="0C090019" w:tentative="1">
      <w:start w:val="1"/>
      <w:numFmt w:val="lowerLetter"/>
      <w:lvlText w:val="%2."/>
      <w:lvlJc w:val="left"/>
      <w:pPr>
        <w:ind w:left="2137" w:hanging="360"/>
      </w:pPr>
    </w:lvl>
    <w:lvl w:ilvl="2" w:tplc="0C09001B" w:tentative="1">
      <w:start w:val="1"/>
      <w:numFmt w:val="lowerRoman"/>
      <w:lvlText w:val="%3."/>
      <w:lvlJc w:val="right"/>
      <w:pPr>
        <w:ind w:left="2857" w:hanging="180"/>
      </w:pPr>
    </w:lvl>
    <w:lvl w:ilvl="3" w:tplc="0C09000F" w:tentative="1">
      <w:start w:val="1"/>
      <w:numFmt w:val="decimal"/>
      <w:lvlText w:val="%4."/>
      <w:lvlJc w:val="left"/>
      <w:pPr>
        <w:ind w:left="3577" w:hanging="360"/>
      </w:pPr>
    </w:lvl>
    <w:lvl w:ilvl="4" w:tplc="0C090019" w:tentative="1">
      <w:start w:val="1"/>
      <w:numFmt w:val="lowerLetter"/>
      <w:lvlText w:val="%5."/>
      <w:lvlJc w:val="left"/>
      <w:pPr>
        <w:ind w:left="4297" w:hanging="360"/>
      </w:pPr>
    </w:lvl>
    <w:lvl w:ilvl="5" w:tplc="0C09001B" w:tentative="1">
      <w:start w:val="1"/>
      <w:numFmt w:val="lowerRoman"/>
      <w:lvlText w:val="%6."/>
      <w:lvlJc w:val="right"/>
      <w:pPr>
        <w:ind w:left="5017" w:hanging="180"/>
      </w:pPr>
    </w:lvl>
    <w:lvl w:ilvl="6" w:tplc="0C09000F" w:tentative="1">
      <w:start w:val="1"/>
      <w:numFmt w:val="decimal"/>
      <w:lvlText w:val="%7."/>
      <w:lvlJc w:val="left"/>
      <w:pPr>
        <w:ind w:left="5737" w:hanging="360"/>
      </w:pPr>
    </w:lvl>
    <w:lvl w:ilvl="7" w:tplc="0C090019" w:tentative="1">
      <w:start w:val="1"/>
      <w:numFmt w:val="lowerLetter"/>
      <w:lvlText w:val="%8."/>
      <w:lvlJc w:val="left"/>
      <w:pPr>
        <w:ind w:left="6457" w:hanging="360"/>
      </w:pPr>
    </w:lvl>
    <w:lvl w:ilvl="8" w:tplc="0C09001B" w:tentative="1">
      <w:start w:val="1"/>
      <w:numFmt w:val="lowerRoman"/>
      <w:lvlText w:val="%9."/>
      <w:lvlJc w:val="right"/>
      <w:pPr>
        <w:ind w:left="7177" w:hanging="180"/>
      </w:pPr>
    </w:lvl>
  </w:abstractNum>
  <w:abstractNum w:abstractNumId="12"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3"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3"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8"/>
  </w:num>
  <w:num w:numId="4">
    <w:abstractNumId w:val="6"/>
  </w:num>
  <w:num w:numId="5">
    <w:abstractNumId w:val="21"/>
  </w:num>
  <w:num w:numId="6">
    <w:abstractNumId w:val="24"/>
  </w:num>
  <w:num w:numId="7">
    <w:abstractNumId w:val="18"/>
  </w:num>
  <w:num w:numId="8">
    <w:abstractNumId w:val="0"/>
  </w:num>
  <w:num w:numId="9">
    <w:abstractNumId w:val="26"/>
  </w:num>
  <w:num w:numId="10">
    <w:abstractNumId w:val="17"/>
  </w:num>
  <w:num w:numId="11">
    <w:abstractNumId w:val="2"/>
  </w:num>
  <w:num w:numId="12">
    <w:abstractNumId w:val="3"/>
  </w:num>
  <w:num w:numId="13">
    <w:abstractNumId w:val="16"/>
  </w:num>
  <w:num w:numId="14">
    <w:abstractNumId w:val="19"/>
  </w:num>
  <w:num w:numId="15">
    <w:abstractNumId w:val="1"/>
  </w:num>
  <w:num w:numId="16">
    <w:abstractNumId w:val="13"/>
  </w:num>
  <w:num w:numId="17">
    <w:abstractNumId w:val="4"/>
  </w:num>
  <w:num w:numId="18">
    <w:abstractNumId w:val="5"/>
  </w:num>
  <w:num w:numId="19">
    <w:abstractNumId w:val="20"/>
  </w:num>
  <w:num w:numId="20">
    <w:abstractNumId w:val="23"/>
  </w:num>
  <w:num w:numId="21">
    <w:abstractNumId w:val="9"/>
  </w:num>
  <w:num w:numId="22">
    <w:abstractNumId w:val="28"/>
  </w:num>
  <w:num w:numId="23">
    <w:abstractNumId w:val="27"/>
  </w:num>
  <w:num w:numId="24">
    <w:abstractNumId w:val="25"/>
  </w:num>
  <w:num w:numId="25">
    <w:abstractNumId w:val="15"/>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E1540"/>
    <w:rsid w:val="00102517"/>
    <w:rsid w:val="001106D6"/>
    <w:rsid w:val="0012027A"/>
    <w:rsid w:val="00126EF4"/>
    <w:rsid w:val="0012714B"/>
    <w:rsid w:val="001304C4"/>
    <w:rsid w:val="00140933"/>
    <w:rsid w:val="001444A8"/>
    <w:rsid w:val="00180CE5"/>
    <w:rsid w:val="00184F2E"/>
    <w:rsid w:val="00192903"/>
    <w:rsid w:val="001C03C0"/>
    <w:rsid w:val="001D6307"/>
    <w:rsid w:val="001D6966"/>
    <w:rsid w:val="001F335D"/>
    <w:rsid w:val="00203D7E"/>
    <w:rsid w:val="00204481"/>
    <w:rsid w:val="00206E6E"/>
    <w:rsid w:val="002339C1"/>
    <w:rsid w:val="00254409"/>
    <w:rsid w:val="00254D9A"/>
    <w:rsid w:val="00262155"/>
    <w:rsid w:val="00277AE9"/>
    <w:rsid w:val="002A25AA"/>
    <w:rsid w:val="002B53B4"/>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9542A"/>
    <w:rsid w:val="003A37FE"/>
    <w:rsid w:val="003A3E83"/>
    <w:rsid w:val="003B38E2"/>
    <w:rsid w:val="003B3C8B"/>
    <w:rsid w:val="003C2416"/>
    <w:rsid w:val="003C4E27"/>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D373A"/>
    <w:rsid w:val="004F33F5"/>
    <w:rsid w:val="00511172"/>
    <w:rsid w:val="00511592"/>
    <w:rsid w:val="00517D0F"/>
    <w:rsid w:val="005223B7"/>
    <w:rsid w:val="00530C3A"/>
    <w:rsid w:val="00532A8E"/>
    <w:rsid w:val="00550AC8"/>
    <w:rsid w:val="005717A0"/>
    <w:rsid w:val="00581F33"/>
    <w:rsid w:val="005A5E6A"/>
    <w:rsid w:val="005C38DC"/>
    <w:rsid w:val="005C403D"/>
    <w:rsid w:val="005D116B"/>
    <w:rsid w:val="005D5F2F"/>
    <w:rsid w:val="005F1D75"/>
    <w:rsid w:val="005F725E"/>
    <w:rsid w:val="00612471"/>
    <w:rsid w:val="00614B00"/>
    <w:rsid w:val="00615992"/>
    <w:rsid w:val="00624E09"/>
    <w:rsid w:val="0063050D"/>
    <w:rsid w:val="00633D51"/>
    <w:rsid w:val="00634062"/>
    <w:rsid w:val="00682899"/>
    <w:rsid w:val="00682C3C"/>
    <w:rsid w:val="006A7AED"/>
    <w:rsid w:val="006D06D6"/>
    <w:rsid w:val="007010AC"/>
    <w:rsid w:val="007046C6"/>
    <w:rsid w:val="00712274"/>
    <w:rsid w:val="00712415"/>
    <w:rsid w:val="00720AD8"/>
    <w:rsid w:val="00735AB3"/>
    <w:rsid w:val="00741C28"/>
    <w:rsid w:val="00742D00"/>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D5E6F"/>
    <w:rsid w:val="008D711D"/>
    <w:rsid w:val="008E1DAA"/>
    <w:rsid w:val="008E4D7C"/>
    <w:rsid w:val="008E5F56"/>
    <w:rsid w:val="008F3193"/>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148D"/>
    <w:rsid w:val="00A467CA"/>
    <w:rsid w:val="00A520B3"/>
    <w:rsid w:val="00A85362"/>
    <w:rsid w:val="00A86E47"/>
    <w:rsid w:val="00A94982"/>
    <w:rsid w:val="00AA05C2"/>
    <w:rsid w:val="00AA19E5"/>
    <w:rsid w:val="00AA1AD2"/>
    <w:rsid w:val="00AB4D34"/>
    <w:rsid w:val="00AC1538"/>
    <w:rsid w:val="00AC6516"/>
    <w:rsid w:val="00AD0566"/>
    <w:rsid w:val="00AD7B16"/>
    <w:rsid w:val="00AE3ED6"/>
    <w:rsid w:val="00AF4879"/>
    <w:rsid w:val="00B00073"/>
    <w:rsid w:val="00B04326"/>
    <w:rsid w:val="00B502C4"/>
    <w:rsid w:val="00B50B06"/>
    <w:rsid w:val="00B60D8B"/>
    <w:rsid w:val="00B760BD"/>
    <w:rsid w:val="00B92758"/>
    <w:rsid w:val="00BB2E9B"/>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49CF"/>
    <w:rsid w:val="00CC1E53"/>
    <w:rsid w:val="00CE6D02"/>
    <w:rsid w:val="00CF2AE7"/>
    <w:rsid w:val="00CF3964"/>
    <w:rsid w:val="00CF6AE3"/>
    <w:rsid w:val="00D01945"/>
    <w:rsid w:val="00D07B98"/>
    <w:rsid w:val="00D1617A"/>
    <w:rsid w:val="00D17E01"/>
    <w:rsid w:val="00D54C0A"/>
    <w:rsid w:val="00D76980"/>
    <w:rsid w:val="00D81BCB"/>
    <w:rsid w:val="00DA37E9"/>
    <w:rsid w:val="00DB64C1"/>
    <w:rsid w:val="00DB77E4"/>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E4C"/>
    <w:rsid w:val="00ED6AC5"/>
    <w:rsid w:val="00EF3278"/>
    <w:rsid w:val="00EF7574"/>
    <w:rsid w:val="00F0254E"/>
    <w:rsid w:val="00F06E17"/>
    <w:rsid w:val="00F11069"/>
    <w:rsid w:val="00F27918"/>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3DFEA-260D-46CD-9BB7-AC991FFE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5008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3</cp:revision>
  <cp:lastPrinted>2017-11-28T04:58:00Z</cp:lastPrinted>
  <dcterms:created xsi:type="dcterms:W3CDTF">2017-11-28T04:58:00Z</dcterms:created>
  <dcterms:modified xsi:type="dcterms:W3CDTF">2017-11-28T04:59:00Z</dcterms:modified>
</cp:coreProperties>
</file>