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15" w:rsidRPr="00C26AA1" w:rsidRDefault="00872115" w:rsidP="00872115">
      <w:pPr>
        <w:keepNext/>
        <w:pBdr>
          <w:bottom w:val="single" w:sz="12" w:space="6" w:color="auto"/>
        </w:pBdr>
        <w:spacing w:after="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rsidR="00872115" w:rsidRPr="00872115" w:rsidRDefault="00872115" w:rsidP="00872115">
      <w:pPr>
        <w:overflowPunct w:val="0"/>
        <w:autoSpaceDE w:val="0"/>
        <w:autoSpaceDN w:val="0"/>
        <w:adjustRightInd w:val="0"/>
        <w:spacing w:before="240" w:after="240" w:line="240" w:lineRule="auto"/>
        <w:ind w:left="2835" w:hanging="2835"/>
        <w:outlineLvl w:val="0"/>
        <w:rPr>
          <w:rFonts w:ascii="Arial" w:hAnsi="Arial"/>
          <w:sz w:val="24"/>
          <w:szCs w:val="24"/>
        </w:rPr>
      </w:pPr>
      <w:r w:rsidRPr="00872115">
        <w:rPr>
          <w:rFonts w:ascii="Arial" w:hAnsi="Arial"/>
          <w:b/>
          <w:sz w:val="24"/>
          <w:szCs w:val="24"/>
        </w:rPr>
        <w:t>Complainant:</w:t>
      </w:r>
      <w:r w:rsidRPr="00872115">
        <w:rPr>
          <w:rFonts w:ascii="Arial" w:hAnsi="Arial"/>
          <w:b/>
          <w:sz w:val="24"/>
          <w:szCs w:val="24"/>
        </w:rPr>
        <w:tab/>
      </w:r>
      <w:r>
        <w:rPr>
          <w:rFonts w:ascii="Arial" w:hAnsi="Arial"/>
          <w:sz w:val="24"/>
          <w:szCs w:val="24"/>
        </w:rPr>
        <w:t xml:space="preserve">Mr </w:t>
      </w:r>
      <w:r w:rsidR="005E0B63">
        <w:rPr>
          <w:rFonts w:ascii="Arial" w:hAnsi="Arial"/>
          <w:sz w:val="24"/>
          <w:szCs w:val="24"/>
        </w:rPr>
        <w:t>S</w:t>
      </w:r>
    </w:p>
    <w:p w:rsidR="00872115" w:rsidRPr="00872115" w:rsidRDefault="00872115" w:rsidP="00872115">
      <w:pPr>
        <w:overflowPunct w:val="0"/>
        <w:autoSpaceDE w:val="0"/>
        <w:autoSpaceDN w:val="0"/>
        <w:adjustRightInd w:val="0"/>
        <w:spacing w:before="240" w:after="240" w:line="240" w:lineRule="auto"/>
        <w:ind w:left="2835" w:hanging="2835"/>
        <w:outlineLvl w:val="0"/>
        <w:rPr>
          <w:rFonts w:ascii="Arial" w:hAnsi="Arial" w:cs="Arial"/>
          <w:sz w:val="24"/>
          <w:szCs w:val="24"/>
          <w:lang w:val="en-GB"/>
        </w:rPr>
      </w:pPr>
      <w:r w:rsidRPr="00872115">
        <w:rPr>
          <w:rFonts w:ascii="Arial" w:hAnsi="Arial"/>
          <w:b/>
          <w:sz w:val="24"/>
          <w:szCs w:val="24"/>
        </w:rPr>
        <w:t>Licensee</w:t>
      </w:r>
      <w:r w:rsidRPr="00872115">
        <w:rPr>
          <w:rFonts w:ascii="Arial" w:hAnsi="Arial" w:cs="Arial"/>
          <w:b/>
          <w:sz w:val="24"/>
          <w:szCs w:val="24"/>
          <w:lang w:val="en-GB"/>
        </w:rPr>
        <w:t>:</w:t>
      </w:r>
      <w:r w:rsidRPr="00872115">
        <w:rPr>
          <w:rFonts w:ascii="Arial" w:hAnsi="Arial" w:cs="Arial"/>
          <w:b/>
          <w:sz w:val="24"/>
          <w:szCs w:val="24"/>
          <w:lang w:val="en-GB"/>
        </w:rPr>
        <w:tab/>
      </w:r>
      <w:r w:rsidRPr="00872115">
        <w:rPr>
          <w:rFonts w:ascii="Arial" w:hAnsi="Arial" w:cs="Arial"/>
          <w:sz w:val="24"/>
          <w:szCs w:val="24"/>
          <w:lang w:val="en-GB"/>
        </w:rPr>
        <w:t>Ladbrokes Digital Australia Pty Ltd</w:t>
      </w:r>
    </w:p>
    <w:p w:rsidR="00872115" w:rsidRPr="00872115" w:rsidRDefault="00872115" w:rsidP="00872115">
      <w:pPr>
        <w:spacing w:before="240" w:after="240" w:line="240" w:lineRule="auto"/>
        <w:ind w:left="2835" w:hanging="2835"/>
        <w:rPr>
          <w:rFonts w:ascii="Arial" w:hAnsi="Arial" w:cs="Arial"/>
          <w:sz w:val="24"/>
          <w:szCs w:val="24"/>
          <w:lang w:val="en-GB"/>
        </w:rPr>
      </w:pPr>
      <w:r w:rsidRPr="00872115">
        <w:rPr>
          <w:rFonts w:ascii="Arial" w:hAnsi="Arial"/>
          <w:b/>
          <w:sz w:val="24"/>
          <w:szCs w:val="24"/>
        </w:rPr>
        <w:t>Proceedings</w:t>
      </w:r>
      <w:r w:rsidRPr="00872115">
        <w:rPr>
          <w:rFonts w:ascii="Arial" w:hAnsi="Arial" w:cs="Arial"/>
          <w:b/>
          <w:sz w:val="24"/>
          <w:szCs w:val="24"/>
          <w:lang w:val="en-GB"/>
        </w:rPr>
        <w:t>:</w:t>
      </w:r>
      <w:r w:rsidRPr="00872115">
        <w:rPr>
          <w:rFonts w:ascii="Arial" w:hAnsi="Arial" w:cs="Arial"/>
          <w:b/>
          <w:sz w:val="24"/>
          <w:szCs w:val="24"/>
          <w:lang w:val="en-GB"/>
        </w:rPr>
        <w:tab/>
      </w:r>
      <w:r w:rsidRPr="00872115">
        <w:rPr>
          <w:rFonts w:ascii="Arial" w:hAnsi="Arial" w:cs="Arial"/>
          <w:sz w:val="24"/>
          <w:szCs w:val="24"/>
        </w:rPr>
        <w:t xml:space="preserve">Pursuant to Section 85(4) of the </w:t>
      </w:r>
      <w:r w:rsidRPr="00872115">
        <w:rPr>
          <w:rFonts w:ascii="Arial" w:hAnsi="Arial" w:cs="Arial"/>
          <w:i/>
          <w:sz w:val="24"/>
          <w:szCs w:val="24"/>
        </w:rPr>
        <w:t>Racing and Betting Act</w:t>
      </w:r>
      <w:r w:rsidRPr="00872115">
        <w:rPr>
          <w:rFonts w:ascii="Arial" w:hAnsi="Arial" w:cs="Arial"/>
          <w:sz w:val="24"/>
          <w:szCs w:val="24"/>
        </w:rPr>
        <w:t xml:space="preserve"> – </w:t>
      </w:r>
      <w:r w:rsidRPr="00872115">
        <w:rPr>
          <w:rFonts w:ascii="Arial" w:hAnsi="Arial" w:cs="Arial"/>
          <w:sz w:val="24"/>
          <w:szCs w:val="24"/>
        </w:rPr>
        <w:br/>
      </w:r>
      <w:r>
        <w:rPr>
          <w:rFonts w:ascii="Arial" w:hAnsi="Arial" w:cs="Arial"/>
          <w:sz w:val="24"/>
          <w:szCs w:val="24"/>
        </w:rPr>
        <w:t xml:space="preserve">Referral of dispute to Racing Commission for </w:t>
      </w:r>
      <w:r w:rsidRPr="00872115">
        <w:rPr>
          <w:rFonts w:ascii="Arial" w:hAnsi="Arial" w:cs="Arial"/>
          <w:sz w:val="24"/>
          <w:szCs w:val="24"/>
        </w:rPr>
        <w:t>determination.</w:t>
      </w:r>
    </w:p>
    <w:p w:rsidR="00872115" w:rsidRPr="00872115" w:rsidRDefault="00872115" w:rsidP="00872115">
      <w:pPr>
        <w:spacing w:before="240" w:after="240" w:line="240" w:lineRule="auto"/>
        <w:ind w:left="2835" w:hanging="2835"/>
        <w:contextualSpacing/>
        <w:rPr>
          <w:rFonts w:ascii="Arial" w:hAnsi="Arial" w:cs="Arial"/>
          <w:sz w:val="24"/>
          <w:szCs w:val="24"/>
          <w:lang w:val="en-GB"/>
        </w:rPr>
      </w:pPr>
      <w:r w:rsidRPr="00872115">
        <w:rPr>
          <w:rFonts w:ascii="Arial" w:hAnsi="Arial"/>
          <w:b/>
          <w:sz w:val="24"/>
          <w:szCs w:val="24"/>
        </w:rPr>
        <w:t>Heard Before</w:t>
      </w:r>
      <w:r w:rsidRPr="00872115">
        <w:rPr>
          <w:rFonts w:ascii="Arial" w:hAnsi="Arial" w:cs="Arial"/>
          <w:b/>
          <w:sz w:val="24"/>
          <w:szCs w:val="24"/>
          <w:lang w:val="en-GB"/>
        </w:rPr>
        <w:t>:</w:t>
      </w:r>
      <w:r w:rsidRPr="00872115">
        <w:rPr>
          <w:rFonts w:ascii="Arial" w:hAnsi="Arial" w:cs="Arial"/>
          <w:b/>
          <w:sz w:val="24"/>
          <w:szCs w:val="24"/>
          <w:lang w:val="en-GB"/>
        </w:rPr>
        <w:tab/>
      </w:r>
      <w:r w:rsidRPr="00872115">
        <w:rPr>
          <w:rFonts w:ascii="Arial" w:hAnsi="Arial" w:cs="Arial"/>
          <w:sz w:val="24"/>
          <w:szCs w:val="24"/>
          <w:lang w:val="en-GB"/>
        </w:rPr>
        <w:t>John Boneham (Presiding Member)</w:t>
      </w:r>
    </w:p>
    <w:p w:rsidR="00872115" w:rsidRPr="00872115" w:rsidRDefault="00872115" w:rsidP="00872115">
      <w:pPr>
        <w:spacing w:before="240" w:after="240" w:line="240" w:lineRule="auto"/>
        <w:ind w:left="2835" w:hanging="2835"/>
        <w:contextualSpacing/>
        <w:rPr>
          <w:rFonts w:ascii="Arial" w:hAnsi="Arial" w:cs="Arial"/>
          <w:sz w:val="24"/>
          <w:szCs w:val="24"/>
        </w:rPr>
      </w:pPr>
      <w:r w:rsidRPr="00872115">
        <w:rPr>
          <w:rFonts w:ascii="Arial" w:hAnsi="Arial" w:cs="Arial"/>
          <w:b/>
          <w:sz w:val="24"/>
          <w:szCs w:val="24"/>
        </w:rPr>
        <w:t>(</w:t>
      </w:r>
      <w:proofErr w:type="gramStart"/>
      <w:r w:rsidRPr="00872115">
        <w:rPr>
          <w:rFonts w:ascii="Arial" w:hAnsi="Arial" w:cs="Arial"/>
          <w:b/>
          <w:sz w:val="24"/>
          <w:szCs w:val="24"/>
        </w:rPr>
        <w:t>on</w:t>
      </w:r>
      <w:proofErr w:type="gramEnd"/>
      <w:r w:rsidRPr="00872115">
        <w:rPr>
          <w:rFonts w:ascii="Arial" w:hAnsi="Arial" w:cs="Arial"/>
          <w:b/>
          <w:sz w:val="24"/>
          <w:szCs w:val="24"/>
        </w:rPr>
        <w:t xml:space="preserve"> papers)</w:t>
      </w:r>
      <w:r w:rsidRPr="00872115">
        <w:rPr>
          <w:rFonts w:ascii="Arial" w:hAnsi="Arial" w:cs="Arial"/>
          <w:b/>
          <w:sz w:val="24"/>
          <w:szCs w:val="24"/>
        </w:rPr>
        <w:tab/>
      </w:r>
      <w:r w:rsidRPr="00872115">
        <w:rPr>
          <w:rFonts w:ascii="Arial" w:hAnsi="Arial" w:cs="Arial"/>
          <w:sz w:val="24"/>
          <w:szCs w:val="24"/>
        </w:rPr>
        <w:t>Mr John McBride</w:t>
      </w:r>
    </w:p>
    <w:p w:rsidR="00872115" w:rsidRPr="00872115" w:rsidRDefault="00872115" w:rsidP="00872115">
      <w:pPr>
        <w:spacing w:before="240" w:after="240" w:line="240" w:lineRule="auto"/>
        <w:ind w:left="2835" w:hanging="2835"/>
        <w:contextualSpacing/>
        <w:rPr>
          <w:rFonts w:ascii="Arial" w:hAnsi="Arial" w:cs="Arial"/>
          <w:sz w:val="24"/>
          <w:szCs w:val="24"/>
        </w:rPr>
      </w:pPr>
      <w:r w:rsidRPr="00872115">
        <w:rPr>
          <w:rFonts w:ascii="Arial" w:hAnsi="Arial" w:cs="Arial"/>
          <w:b/>
          <w:sz w:val="24"/>
          <w:szCs w:val="24"/>
        </w:rPr>
        <w:tab/>
      </w:r>
      <w:r w:rsidRPr="00872115">
        <w:rPr>
          <w:rFonts w:ascii="Arial" w:hAnsi="Arial" w:cs="Arial"/>
          <w:sz w:val="24"/>
          <w:szCs w:val="24"/>
        </w:rPr>
        <w:t>Mr David Loy</w:t>
      </w:r>
    </w:p>
    <w:p w:rsidR="00872115" w:rsidRPr="00872115" w:rsidRDefault="00872115" w:rsidP="00872115">
      <w:pPr>
        <w:spacing w:before="240" w:after="240" w:line="240" w:lineRule="auto"/>
        <w:ind w:left="2835" w:hanging="2835"/>
        <w:contextualSpacing/>
        <w:rPr>
          <w:rFonts w:ascii="Arial" w:hAnsi="Arial" w:cs="Arial"/>
          <w:sz w:val="24"/>
          <w:szCs w:val="24"/>
        </w:rPr>
      </w:pPr>
    </w:p>
    <w:p w:rsidR="00872115" w:rsidRPr="00872115" w:rsidRDefault="00872115" w:rsidP="00872115">
      <w:pPr>
        <w:spacing w:before="240" w:after="240" w:line="240" w:lineRule="auto"/>
        <w:ind w:left="2835" w:hanging="2835"/>
        <w:rPr>
          <w:rFonts w:ascii="Arial" w:hAnsi="Arial" w:cs="Arial"/>
          <w:sz w:val="24"/>
          <w:szCs w:val="24"/>
        </w:rPr>
      </w:pPr>
      <w:r w:rsidRPr="00872115">
        <w:rPr>
          <w:rFonts w:ascii="Arial" w:hAnsi="Arial" w:cs="Arial"/>
          <w:b/>
          <w:sz w:val="24"/>
          <w:szCs w:val="24"/>
        </w:rPr>
        <w:t xml:space="preserve">Date of </w:t>
      </w:r>
      <w:r w:rsidRPr="00872115">
        <w:rPr>
          <w:rFonts w:ascii="Arial" w:hAnsi="Arial"/>
          <w:b/>
          <w:sz w:val="24"/>
          <w:szCs w:val="24"/>
        </w:rPr>
        <w:t>Decision</w:t>
      </w:r>
      <w:r w:rsidRPr="00872115">
        <w:rPr>
          <w:rFonts w:ascii="Arial" w:hAnsi="Arial" w:cs="Arial"/>
          <w:b/>
          <w:sz w:val="24"/>
          <w:szCs w:val="24"/>
        </w:rPr>
        <w:t>:</w:t>
      </w:r>
      <w:r w:rsidRPr="00872115">
        <w:rPr>
          <w:rFonts w:ascii="Arial" w:hAnsi="Arial" w:cs="Arial"/>
          <w:b/>
          <w:sz w:val="24"/>
          <w:szCs w:val="24"/>
        </w:rPr>
        <w:tab/>
      </w:r>
      <w:r>
        <w:rPr>
          <w:rFonts w:ascii="Arial" w:hAnsi="Arial" w:cs="Arial"/>
          <w:sz w:val="24"/>
          <w:szCs w:val="24"/>
        </w:rPr>
        <w:t>1 May 2018</w:t>
      </w:r>
    </w:p>
    <w:p w:rsidR="00872115" w:rsidRPr="00A30195" w:rsidRDefault="00872115" w:rsidP="00872115">
      <w:pPr>
        <w:pStyle w:val="BottomLine"/>
      </w:pPr>
    </w:p>
    <w:p w:rsidR="005463CA" w:rsidRPr="00872115" w:rsidRDefault="005463CA" w:rsidP="00872115">
      <w:pPr>
        <w:pStyle w:val="Heading2"/>
        <w:spacing w:before="280" w:line="360" w:lineRule="auto"/>
        <w:rPr>
          <w:rFonts w:cs="Arial"/>
        </w:rPr>
      </w:pPr>
      <w:r w:rsidRPr="005463CA">
        <w:rPr>
          <w:rFonts w:cs="Arial"/>
        </w:rPr>
        <w:t>B</w:t>
      </w:r>
      <w:r w:rsidR="00872115">
        <w:rPr>
          <w:rFonts w:cs="Arial"/>
        </w:rPr>
        <w:t>ackground</w:t>
      </w:r>
    </w:p>
    <w:p w:rsidR="00232F3D" w:rsidRDefault="00B90390" w:rsidP="00046120">
      <w:pPr>
        <w:pStyle w:val="ListParagraph"/>
        <w:numPr>
          <w:ilvl w:val="0"/>
          <w:numId w:val="4"/>
        </w:numPr>
        <w:spacing w:after="0"/>
        <w:jc w:val="both"/>
        <w:rPr>
          <w:rFonts w:ascii="Arial" w:hAnsi="Arial" w:cs="Arial"/>
          <w:i/>
        </w:rPr>
      </w:pPr>
      <w:r>
        <w:rPr>
          <w:rFonts w:ascii="Arial" w:hAnsi="Arial" w:cs="Arial"/>
        </w:rPr>
        <w:t>It is important to note that Ladbrokes has only been licensed in the Northern Territory since 28 September 2016, having previously been licensed by the Norfolk Island Gaming Authority.</w:t>
      </w:r>
    </w:p>
    <w:p w:rsidR="00D32836" w:rsidRPr="00D32836" w:rsidRDefault="00D32836" w:rsidP="00046120">
      <w:pPr>
        <w:spacing w:after="0"/>
        <w:ind w:left="360"/>
        <w:jc w:val="both"/>
        <w:rPr>
          <w:rFonts w:ascii="Arial" w:hAnsi="Arial" w:cs="Arial"/>
          <w:i/>
        </w:rPr>
      </w:pPr>
    </w:p>
    <w:p w:rsidR="00B5728A" w:rsidRDefault="00F00DA8" w:rsidP="00F00DA8">
      <w:pPr>
        <w:pStyle w:val="ListParagraph"/>
        <w:numPr>
          <w:ilvl w:val="0"/>
          <w:numId w:val="4"/>
        </w:numPr>
        <w:spacing w:after="0"/>
        <w:ind w:left="709" w:hanging="283"/>
        <w:jc w:val="both"/>
        <w:rPr>
          <w:rFonts w:ascii="Arial" w:hAnsi="Arial" w:cs="Arial"/>
        </w:rPr>
      </w:pPr>
      <w:r>
        <w:rPr>
          <w:rFonts w:ascii="Arial" w:hAnsi="Arial" w:cs="Arial"/>
        </w:rPr>
        <w:t>As such this Determination only relates to actions taken by the bookmaker after being licensed in the Northern Territory (</w:t>
      </w:r>
      <w:proofErr w:type="spellStart"/>
      <w:r>
        <w:rPr>
          <w:rFonts w:ascii="Arial" w:hAnsi="Arial" w:cs="Arial"/>
        </w:rPr>
        <w:t>ie</w:t>
      </w:r>
      <w:proofErr w:type="spellEnd"/>
      <w:r>
        <w:rPr>
          <w:rFonts w:ascii="Arial" w:hAnsi="Arial" w:cs="Arial"/>
        </w:rPr>
        <w:t xml:space="preserve"> the complaint by Mr </w:t>
      </w:r>
      <w:r w:rsidR="005E0B63">
        <w:rPr>
          <w:rFonts w:ascii="Arial" w:hAnsi="Arial" w:cs="Arial"/>
        </w:rPr>
        <w:t>S</w:t>
      </w:r>
      <w:r>
        <w:rPr>
          <w:rFonts w:ascii="Arial" w:hAnsi="Arial" w:cs="Arial"/>
        </w:rPr>
        <w:t xml:space="preserve"> around Ladbrokes handling of the re-opening of his account on 25 May 2017 and its subsequent closing on 26 May 2017).</w:t>
      </w:r>
    </w:p>
    <w:p w:rsidR="007512BB" w:rsidRPr="007512BB" w:rsidRDefault="007512BB" w:rsidP="00046120">
      <w:pPr>
        <w:spacing w:after="0"/>
        <w:ind w:left="360"/>
        <w:jc w:val="both"/>
        <w:rPr>
          <w:rFonts w:ascii="Arial" w:hAnsi="Arial" w:cs="Arial"/>
        </w:rPr>
      </w:pPr>
    </w:p>
    <w:p w:rsidR="00B5728A" w:rsidRDefault="00F00DA8" w:rsidP="00542069">
      <w:pPr>
        <w:pStyle w:val="ListParagraph"/>
        <w:numPr>
          <w:ilvl w:val="0"/>
          <w:numId w:val="4"/>
        </w:numPr>
        <w:spacing w:after="0"/>
        <w:jc w:val="both"/>
        <w:rPr>
          <w:rFonts w:ascii="Arial" w:hAnsi="Arial" w:cs="Arial"/>
        </w:rPr>
      </w:pPr>
      <w:r>
        <w:rPr>
          <w:rFonts w:ascii="Arial" w:hAnsi="Arial" w:cs="Arial"/>
        </w:rPr>
        <w:t>Despite this time frame</w:t>
      </w:r>
      <w:r w:rsidR="00FB0213">
        <w:rPr>
          <w:rFonts w:ascii="Arial" w:hAnsi="Arial" w:cs="Arial"/>
        </w:rPr>
        <w:t>,</w:t>
      </w:r>
      <w:r>
        <w:rPr>
          <w:rFonts w:ascii="Arial" w:hAnsi="Arial" w:cs="Arial"/>
        </w:rPr>
        <w:t xml:space="preserve"> matters relating to this dispute prior to 28 September 2016 have been outlined in this Determination</w:t>
      </w:r>
      <w:r w:rsidR="00FB0213">
        <w:rPr>
          <w:rFonts w:ascii="Arial" w:hAnsi="Arial" w:cs="Arial"/>
        </w:rPr>
        <w:t xml:space="preserve"> a</w:t>
      </w:r>
      <w:r>
        <w:rPr>
          <w:rFonts w:ascii="Arial" w:hAnsi="Arial" w:cs="Arial"/>
        </w:rPr>
        <w:t>s they provide some context to the matter at hand.</w:t>
      </w:r>
    </w:p>
    <w:p w:rsidR="00D32836" w:rsidRPr="00D32836" w:rsidRDefault="00D32836" w:rsidP="00542069">
      <w:pPr>
        <w:spacing w:after="0"/>
        <w:ind w:left="360"/>
        <w:jc w:val="both"/>
        <w:rPr>
          <w:rFonts w:ascii="Arial" w:hAnsi="Arial" w:cs="Arial"/>
        </w:rPr>
      </w:pPr>
    </w:p>
    <w:p w:rsidR="00E41A8D" w:rsidRPr="00593559" w:rsidRDefault="006220CF" w:rsidP="00972D57">
      <w:pPr>
        <w:pStyle w:val="ListParagraph"/>
        <w:numPr>
          <w:ilvl w:val="0"/>
          <w:numId w:val="4"/>
        </w:numPr>
        <w:spacing w:after="0"/>
        <w:jc w:val="both"/>
        <w:rPr>
          <w:rFonts w:ascii="Arial" w:hAnsi="Arial" w:cs="Arial"/>
          <w:i/>
        </w:rPr>
      </w:pPr>
      <w:r>
        <w:rPr>
          <w:rFonts w:ascii="Arial" w:hAnsi="Arial" w:cs="Arial"/>
        </w:rPr>
        <w:t>A chronological sequence of events is outlined as follows.</w:t>
      </w:r>
    </w:p>
    <w:p w:rsidR="00593559" w:rsidRPr="00593559" w:rsidRDefault="00593559" w:rsidP="00593559">
      <w:pPr>
        <w:pStyle w:val="ListParagraph"/>
        <w:rPr>
          <w:rFonts w:ascii="Arial" w:hAnsi="Arial" w:cs="Arial"/>
          <w:i/>
        </w:rPr>
      </w:pPr>
    </w:p>
    <w:p w:rsidR="00593559" w:rsidRPr="00593559" w:rsidRDefault="00872115" w:rsidP="00872115">
      <w:pPr>
        <w:pStyle w:val="Heading2"/>
        <w:spacing w:before="280" w:line="360" w:lineRule="auto"/>
        <w:rPr>
          <w:rFonts w:cs="Arial"/>
        </w:rPr>
      </w:pPr>
      <w:r>
        <w:rPr>
          <w:rFonts w:cs="Arial"/>
        </w:rPr>
        <w:t>Facts of the Matter</w:t>
      </w:r>
    </w:p>
    <w:p w:rsidR="00E06265" w:rsidRDefault="006220CF" w:rsidP="00972D57">
      <w:pPr>
        <w:pStyle w:val="ListParagraph"/>
        <w:numPr>
          <w:ilvl w:val="0"/>
          <w:numId w:val="4"/>
        </w:numPr>
        <w:spacing w:after="0"/>
        <w:jc w:val="both"/>
        <w:rPr>
          <w:rFonts w:ascii="Arial" w:hAnsi="Arial" w:cs="Arial"/>
        </w:rPr>
      </w:pPr>
      <w:r>
        <w:rPr>
          <w:rFonts w:ascii="Arial" w:hAnsi="Arial" w:cs="Arial"/>
        </w:rPr>
        <w:t xml:space="preserve">Mr </w:t>
      </w:r>
      <w:r w:rsidR="005E0B63">
        <w:rPr>
          <w:rFonts w:ascii="Arial" w:hAnsi="Arial" w:cs="Arial"/>
        </w:rPr>
        <w:t>S</w:t>
      </w:r>
      <w:r>
        <w:rPr>
          <w:rFonts w:ascii="Arial" w:hAnsi="Arial" w:cs="Arial"/>
        </w:rPr>
        <w:t xml:space="preserve"> initially opened an account with Ladbrokes subsidiary (Bookmaker.</w:t>
      </w:r>
      <w:r w:rsidR="004E726F">
        <w:rPr>
          <w:rFonts w:ascii="Arial" w:hAnsi="Arial" w:cs="Arial"/>
        </w:rPr>
        <w:t>c</w:t>
      </w:r>
      <w:r>
        <w:rPr>
          <w:rFonts w:ascii="Arial" w:hAnsi="Arial" w:cs="Arial"/>
        </w:rPr>
        <w:t>om) on 24 October 2014.</w:t>
      </w:r>
    </w:p>
    <w:p w:rsidR="00D32836" w:rsidRPr="00D32836" w:rsidRDefault="00D32836" w:rsidP="00542069">
      <w:pPr>
        <w:spacing w:after="0"/>
        <w:ind w:left="360"/>
        <w:jc w:val="both"/>
        <w:rPr>
          <w:rFonts w:ascii="Arial" w:hAnsi="Arial" w:cs="Arial"/>
        </w:rPr>
      </w:pPr>
    </w:p>
    <w:p w:rsidR="00E06265" w:rsidRDefault="00A920FE" w:rsidP="00542069">
      <w:pPr>
        <w:pStyle w:val="ListParagraph"/>
        <w:numPr>
          <w:ilvl w:val="0"/>
          <w:numId w:val="4"/>
        </w:numPr>
        <w:spacing w:after="0"/>
        <w:jc w:val="both"/>
        <w:rPr>
          <w:rFonts w:ascii="Arial" w:hAnsi="Arial" w:cs="Arial"/>
        </w:rPr>
      </w:pPr>
      <w:r>
        <w:rPr>
          <w:rFonts w:ascii="Arial" w:hAnsi="Arial" w:cs="Arial"/>
        </w:rPr>
        <w:t>On 13 November 2014</w:t>
      </w:r>
      <w:r w:rsidR="004E726F">
        <w:rPr>
          <w:rFonts w:ascii="Arial" w:hAnsi="Arial" w:cs="Arial"/>
        </w:rPr>
        <w:t>,</w:t>
      </w:r>
      <w:r>
        <w:rPr>
          <w:rFonts w:ascii="Arial" w:hAnsi="Arial" w:cs="Arial"/>
        </w:rPr>
        <w:t xml:space="preserve"> Mr </w:t>
      </w:r>
      <w:r w:rsidR="005E0B63">
        <w:rPr>
          <w:rFonts w:ascii="Arial" w:hAnsi="Arial" w:cs="Arial"/>
        </w:rPr>
        <w:t>S</w:t>
      </w:r>
      <w:r>
        <w:rPr>
          <w:rFonts w:ascii="Arial" w:hAnsi="Arial" w:cs="Arial"/>
        </w:rPr>
        <w:t xml:space="preserve"> requested closure of this account via </w:t>
      </w:r>
      <w:r w:rsidR="00896141">
        <w:rPr>
          <w:rFonts w:ascii="Arial" w:hAnsi="Arial" w:cs="Arial"/>
        </w:rPr>
        <w:t>email;</w:t>
      </w:r>
      <w:r>
        <w:rPr>
          <w:rFonts w:ascii="Arial" w:hAnsi="Arial" w:cs="Arial"/>
        </w:rPr>
        <w:t xml:space="preserve"> he wrote </w:t>
      </w:r>
      <w:r w:rsidR="00D85AB1">
        <w:rPr>
          <w:rFonts w:ascii="Arial" w:hAnsi="Arial" w:cs="Arial"/>
        </w:rPr>
        <w:t>‘Hi</w:t>
      </w:r>
      <w:r>
        <w:rPr>
          <w:rFonts w:ascii="Arial" w:hAnsi="Arial" w:cs="Arial"/>
        </w:rPr>
        <w:t>, can you please close my account</w:t>
      </w:r>
      <w:r w:rsidR="00D85AB1">
        <w:rPr>
          <w:rFonts w:ascii="Arial" w:hAnsi="Arial" w:cs="Arial"/>
        </w:rPr>
        <w:t>.</w:t>
      </w:r>
      <w:r>
        <w:rPr>
          <w:rFonts w:ascii="Arial" w:hAnsi="Arial" w:cs="Arial"/>
        </w:rPr>
        <w:t xml:space="preserve"> Thank you</w:t>
      </w:r>
      <w:r w:rsidR="00D85AB1">
        <w:rPr>
          <w:rFonts w:ascii="Arial" w:hAnsi="Arial" w:cs="Arial"/>
        </w:rPr>
        <w:t>.</w:t>
      </w:r>
      <w:r>
        <w:rPr>
          <w:rFonts w:ascii="Arial" w:hAnsi="Arial" w:cs="Arial"/>
        </w:rPr>
        <w:t xml:space="preserve"> </w:t>
      </w:r>
      <w:r w:rsidR="005E0B63">
        <w:rPr>
          <w:rFonts w:ascii="Arial" w:hAnsi="Arial" w:cs="Arial"/>
        </w:rPr>
        <w:t xml:space="preserve">Mr </w:t>
      </w:r>
      <w:r>
        <w:rPr>
          <w:rFonts w:ascii="Arial" w:hAnsi="Arial" w:cs="Arial"/>
        </w:rPr>
        <w:t>S’.</w:t>
      </w:r>
    </w:p>
    <w:p w:rsidR="003504C8" w:rsidRDefault="003504C8" w:rsidP="003504C8">
      <w:pPr>
        <w:spacing w:after="0"/>
        <w:jc w:val="both"/>
        <w:rPr>
          <w:rFonts w:ascii="Arial" w:hAnsi="Arial" w:cs="Arial"/>
        </w:rPr>
      </w:pPr>
    </w:p>
    <w:p w:rsidR="00231F83" w:rsidRDefault="00D85AB1" w:rsidP="00B51C4B">
      <w:pPr>
        <w:pStyle w:val="ListParagraph"/>
        <w:numPr>
          <w:ilvl w:val="0"/>
          <w:numId w:val="4"/>
        </w:numPr>
        <w:spacing w:after="0"/>
        <w:jc w:val="both"/>
        <w:rPr>
          <w:rFonts w:ascii="Arial" w:hAnsi="Arial" w:cs="Arial"/>
        </w:rPr>
      </w:pPr>
      <w:r>
        <w:rPr>
          <w:rFonts w:ascii="Arial" w:hAnsi="Arial" w:cs="Arial"/>
        </w:rPr>
        <w:t xml:space="preserve">As a result of this email Ladbrokes closed his account and as part of their procedures at the time advised him that he would be automatically excluded from re-opening the account for a period of six months and issued him with a self-exclusion form, this form was never returned to Ladbrokes by Mr </w:t>
      </w:r>
      <w:r w:rsidR="005E0B63">
        <w:rPr>
          <w:rFonts w:ascii="Arial" w:hAnsi="Arial" w:cs="Arial"/>
        </w:rPr>
        <w:t>S</w:t>
      </w:r>
      <w:r>
        <w:rPr>
          <w:rFonts w:ascii="Arial" w:hAnsi="Arial" w:cs="Arial"/>
        </w:rPr>
        <w:t>.</w:t>
      </w:r>
    </w:p>
    <w:p w:rsidR="003504C8" w:rsidRPr="003504C8" w:rsidRDefault="003504C8" w:rsidP="003504C8">
      <w:pPr>
        <w:spacing w:after="0"/>
        <w:ind w:left="360"/>
        <w:rPr>
          <w:rFonts w:ascii="Arial" w:hAnsi="Arial" w:cs="Arial"/>
        </w:rPr>
      </w:pPr>
    </w:p>
    <w:p w:rsidR="00872115" w:rsidRDefault="00872115">
      <w:pPr>
        <w:rPr>
          <w:rFonts w:ascii="Arial" w:hAnsi="Arial" w:cs="Arial"/>
        </w:rPr>
      </w:pPr>
      <w:r>
        <w:rPr>
          <w:rFonts w:ascii="Arial" w:hAnsi="Arial" w:cs="Arial"/>
        </w:rPr>
        <w:br w:type="page"/>
      </w:r>
    </w:p>
    <w:p w:rsidR="00872115" w:rsidRDefault="00872115" w:rsidP="00872115">
      <w:pPr>
        <w:pStyle w:val="ListParagraph"/>
        <w:spacing w:after="0"/>
        <w:jc w:val="both"/>
        <w:rPr>
          <w:rFonts w:ascii="Arial" w:hAnsi="Arial" w:cs="Arial"/>
        </w:rPr>
      </w:pPr>
    </w:p>
    <w:p w:rsidR="00872115" w:rsidRDefault="00872115" w:rsidP="00872115">
      <w:pPr>
        <w:pStyle w:val="ListParagraph"/>
        <w:spacing w:after="0"/>
        <w:jc w:val="both"/>
        <w:rPr>
          <w:rFonts w:ascii="Arial" w:hAnsi="Arial" w:cs="Arial"/>
        </w:rPr>
      </w:pPr>
    </w:p>
    <w:p w:rsidR="000D54BC" w:rsidRDefault="004E726F" w:rsidP="00D5614B">
      <w:pPr>
        <w:pStyle w:val="ListParagraph"/>
        <w:numPr>
          <w:ilvl w:val="0"/>
          <w:numId w:val="4"/>
        </w:numPr>
        <w:spacing w:after="0"/>
        <w:jc w:val="both"/>
        <w:rPr>
          <w:rFonts w:ascii="Arial" w:hAnsi="Arial" w:cs="Arial"/>
        </w:rPr>
      </w:pPr>
      <w:r>
        <w:rPr>
          <w:rFonts w:ascii="Arial" w:hAnsi="Arial" w:cs="Arial"/>
        </w:rPr>
        <w:t xml:space="preserve">On 2 February 2015, Mr </w:t>
      </w:r>
      <w:r w:rsidR="005E0B63">
        <w:rPr>
          <w:rFonts w:ascii="Arial" w:hAnsi="Arial" w:cs="Arial"/>
        </w:rPr>
        <w:t>S</w:t>
      </w:r>
      <w:r>
        <w:rPr>
          <w:rFonts w:ascii="Arial" w:hAnsi="Arial" w:cs="Arial"/>
        </w:rPr>
        <w:t xml:space="preserve"> opened another account with Ladbrokes through Bookmaker.com, however on the same day as the opening of the account it was realised that he was the subject of an automatic six months exclusion and this account was closed under advice to him.</w:t>
      </w:r>
    </w:p>
    <w:p w:rsidR="004D0BDE" w:rsidRPr="004D0BDE" w:rsidRDefault="004D0BDE" w:rsidP="004D0BDE">
      <w:pPr>
        <w:spacing w:after="0"/>
        <w:ind w:left="360"/>
        <w:jc w:val="both"/>
        <w:rPr>
          <w:rFonts w:ascii="Arial" w:hAnsi="Arial" w:cs="Arial"/>
        </w:rPr>
      </w:pPr>
    </w:p>
    <w:p w:rsidR="004D0BDE" w:rsidRDefault="00792DCC" w:rsidP="00D5614B">
      <w:pPr>
        <w:pStyle w:val="ListParagraph"/>
        <w:numPr>
          <w:ilvl w:val="0"/>
          <w:numId w:val="4"/>
        </w:numPr>
        <w:spacing w:after="0"/>
        <w:jc w:val="both"/>
        <w:rPr>
          <w:rFonts w:ascii="Arial" w:hAnsi="Arial" w:cs="Arial"/>
        </w:rPr>
      </w:pPr>
      <w:r>
        <w:rPr>
          <w:rFonts w:ascii="Arial" w:hAnsi="Arial" w:cs="Arial"/>
        </w:rPr>
        <w:t>The sole transaction on this new account was refunded as well as the opening deposit, which was also returned.</w:t>
      </w:r>
    </w:p>
    <w:p w:rsidR="004D0BDE" w:rsidRPr="004D0BDE" w:rsidRDefault="004D0BDE" w:rsidP="004D0BDE">
      <w:pPr>
        <w:spacing w:after="0"/>
        <w:ind w:left="360"/>
        <w:jc w:val="both"/>
        <w:rPr>
          <w:rFonts w:ascii="Arial" w:hAnsi="Arial" w:cs="Arial"/>
        </w:rPr>
      </w:pPr>
    </w:p>
    <w:p w:rsidR="006B6335" w:rsidRDefault="00792DCC" w:rsidP="00D5614B">
      <w:pPr>
        <w:pStyle w:val="ListParagraph"/>
        <w:numPr>
          <w:ilvl w:val="0"/>
          <w:numId w:val="4"/>
        </w:numPr>
        <w:spacing w:after="0"/>
        <w:jc w:val="both"/>
        <w:rPr>
          <w:rFonts w:ascii="Arial" w:hAnsi="Arial" w:cs="Arial"/>
        </w:rPr>
      </w:pPr>
      <w:r>
        <w:rPr>
          <w:rFonts w:ascii="Arial" w:hAnsi="Arial" w:cs="Arial"/>
        </w:rPr>
        <w:t xml:space="preserve">On 25 May 2017, Mr </w:t>
      </w:r>
      <w:r w:rsidR="005E0B63">
        <w:rPr>
          <w:rFonts w:ascii="Arial" w:hAnsi="Arial" w:cs="Arial"/>
        </w:rPr>
        <w:t>S</w:t>
      </w:r>
      <w:r>
        <w:rPr>
          <w:rFonts w:ascii="Arial" w:hAnsi="Arial" w:cs="Arial"/>
        </w:rPr>
        <w:t xml:space="preserve"> sent an email to Bookmaker.com requesting that his account with them be re-opened.</w:t>
      </w:r>
    </w:p>
    <w:p w:rsidR="004F24B9" w:rsidRDefault="004F24B9" w:rsidP="004F24B9">
      <w:pPr>
        <w:spacing w:after="0"/>
        <w:jc w:val="both"/>
        <w:rPr>
          <w:rFonts w:ascii="Arial" w:hAnsi="Arial" w:cs="Arial"/>
        </w:rPr>
      </w:pPr>
    </w:p>
    <w:p w:rsidR="008151F8" w:rsidRDefault="00E75DE1" w:rsidP="00D5614B">
      <w:pPr>
        <w:pStyle w:val="ListParagraph"/>
        <w:numPr>
          <w:ilvl w:val="0"/>
          <w:numId w:val="9"/>
        </w:numPr>
        <w:spacing w:after="0"/>
        <w:ind w:left="714" w:hanging="357"/>
        <w:jc w:val="both"/>
        <w:rPr>
          <w:rFonts w:ascii="Arial" w:hAnsi="Arial" w:cs="Arial"/>
        </w:rPr>
      </w:pPr>
      <w:r>
        <w:rPr>
          <w:rFonts w:ascii="Arial" w:hAnsi="Arial" w:cs="Arial"/>
        </w:rPr>
        <w:t xml:space="preserve">The </w:t>
      </w:r>
      <w:r w:rsidR="00E71745">
        <w:rPr>
          <w:rFonts w:ascii="Arial" w:hAnsi="Arial" w:cs="Arial"/>
        </w:rPr>
        <w:t>b</w:t>
      </w:r>
      <w:r>
        <w:rPr>
          <w:rFonts w:ascii="Arial" w:hAnsi="Arial" w:cs="Arial"/>
        </w:rPr>
        <w:t xml:space="preserve">ookmaker complied with this request as the initial six months exclusion period </w:t>
      </w:r>
      <w:r>
        <w:rPr>
          <w:rFonts w:ascii="Arial" w:hAnsi="Arial" w:cs="Arial"/>
        </w:rPr>
        <w:br/>
        <w:t>(from 2014) had well and truly expired and in their submission to the Commission</w:t>
      </w:r>
      <w:r w:rsidR="000901A1">
        <w:rPr>
          <w:rFonts w:ascii="Arial" w:hAnsi="Arial" w:cs="Arial"/>
        </w:rPr>
        <w:t xml:space="preserve"> they indicated they had never received any indication from Mr </w:t>
      </w:r>
      <w:r w:rsidR="005E0B63">
        <w:rPr>
          <w:rFonts w:ascii="Arial" w:hAnsi="Arial" w:cs="Arial"/>
        </w:rPr>
        <w:t>S</w:t>
      </w:r>
      <w:r w:rsidR="000901A1">
        <w:rPr>
          <w:rFonts w:ascii="Arial" w:hAnsi="Arial" w:cs="Arial"/>
        </w:rPr>
        <w:t xml:space="preserve"> that he had any issues around problem gambling.</w:t>
      </w:r>
    </w:p>
    <w:p w:rsidR="00B465C7" w:rsidRDefault="00B465C7" w:rsidP="00B465C7">
      <w:pPr>
        <w:spacing w:after="0"/>
        <w:jc w:val="both"/>
        <w:rPr>
          <w:rFonts w:ascii="Arial" w:hAnsi="Arial" w:cs="Arial"/>
        </w:rPr>
      </w:pPr>
    </w:p>
    <w:p w:rsidR="00BC5625" w:rsidRDefault="00A66445" w:rsidP="003B1D99">
      <w:pPr>
        <w:pStyle w:val="ListParagraph"/>
        <w:numPr>
          <w:ilvl w:val="0"/>
          <w:numId w:val="9"/>
        </w:numPr>
        <w:spacing w:after="0"/>
        <w:ind w:left="714" w:hanging="357"/>
        <w:jc w:val="both"/>
        <w:rPr>
          <w:rFonts w:ascii="Arial" w:hAnsi="Arial" w:cs="Arial"/>
        </w:rPr>
      </w:pPr>
      <w:r>
        <w:rPr>
          <w:rFonts w:ascii="Arial" w:hAnsi="Arial" w:cs="Arial"/>
        </w:rPr>
        <w:t>The matter of any problem gambling notification will be addressed later in this Determination as it forms an integral part of the Commission’s decision in relation to the May 2017 dispute.</w:t>
      </w:r>
    </w:p>
    <w:p w:rsidR="008642E0" w:rsidRDefault="008642E0" w:rsidP="008642E0">
      <w:pPr>
        <w:spacing w:after="0"/>
        <w:jc w:val="both"/>
        <w:rPr>
          <w:rFonts w:ascii="Arial" w:hAnsi="Arial" w:cs="Arial"/>
        </w:rPr>
      </w:pPr>
    </w:p>
    <w:p w:rsidR="00655CF4" w:rsidRPr="00531829" w:rsidRDefault="004A7524" w:rsidP="000C16FE">
      <w:pPr>
        <w:pStyle w:val="ListParagraph"/>
        <w:numPr>
          <w:ilvl w:val="0"/>
          <w:numId w:val="9"/>
        </w:numPr>
        <w:spacing w:after="0"/>
        <w:ind w:left="696" w:hanging="356"/>
        <w:jc w:val="both"/>
        <w:rPr>
          <w:rFonts w:ascii="Arial" w:hAnsi="Arial" w:cs="Arial"/>
        </w:rPr>
      </w:pPr>
      <w:r>
        <w:rPr>
          <w:rFonts w:ascii="Arial" w:hAnsi="Arial" w:cs="Arial"/>
        </w:rPr>
        <w:t xml:space="preserve">On 26 May 2017, following a lengthy telephone dispute with Ladbrokes Customer Service staff Mr </w:t>
      </w:r>
      <w:r w:rsidR="005E0B63">
        <w:rPr>
          <w:rFonts w:ascii="Arial" w:hAnsi="Arial" w:cs="Arial"/>
        </w:rPr>
        <w:t>S</w:t>
      </w:r>
      <w:r>
        <w:rPr>
          <w:rFonts w:ascii="Arial" w:hAnsi="Arial" w:cs="Arial"/>
        </w:rPr>
        <w:t xml:space="preserve"> advised them that he had a problem with gambling and that he had previously advised them of this as far back as November 2014.</w:t>
      </w:r>
    </w:p>
    <w:p w:rsidR="000F389D" w:rsidRPr="00531829" w:rsidRDefault="000F389D" w:rsidP="001F633B">
      <w:pPr>
        <w:pStyle w:val="ListParagraph"/>
        <w:jc w:val="both"/>
        <w:rPr>
          <w:rFonts w:ascii="Arial" w:hAnsi="Arial" w:cs="Arial"/>
          <w:i/>
        </w:rPr>
      </w:pPr>
    </w:p>
    <w:p w:rsidR="002B42DF" w:rsidRDefault="004C04E5" w:rsidP="002B42DF">
      <w:pPr>
        <w:pStyle w:val="ListParagraph"/>
        <w:numPr>
          <w:ilvl w:val="0"/>
          <w:numId w:val="9"/>
        </w:numPr>
        <w:spacing w:after="0"/>
        <w:jc w:val="both"/>
        <w:rPr>
          <w:rFonts w:ascii="Arial" w:hAnsi="Arial" w:cs="Arial"/>
        </w:rPr>
      </w:pPr>
      <w:r>
        <w:rPr>
          <w:rFonts w:ascii="Arial" w:hAnsi="Arial" w:cs="Arial"/>
        </w:rPr>
        <w:t>It is important to note that Ladbrokes have continually denied any such knowledge.  The existence of any such evidence has been thoroughly investigated by the Commission and no concrete evidence has been uncovered.</w:t>
      </w:r>
    </w:p>
    <w:p w:rsidR="007C6A76" w:rsidRDefault="007C6A76" w:rsidP="007C6A76">
      <w:pPr>
        <w:spacing w:after="0"/>
        <w:jc w:val="both"/>
        <w:rPr>
          <w:rFonts w:ascii="Arial" w:hAnsi="Arial" w:cs="Arial"/>
        </w:rPr>
      </w:pPr>
    </w:p>
    <w:p w:rsidR="00FD1B8F" w:rsidRDefault="004C04E5" w:rsidP="00485982">
      <w:pPr>
        <w:pStyle w:val="ListParagraph"/>
        <w:numPr>
          <w:ilvl w:val="0"/>
          <w:numId w:val="9"/>
        </w:numPr>
        <w:spacing w:after="0"/>
        <w:ind w:left="697" w:hanging="357"/>
        <w:jc w:val="both"/>
        <w:rPr>
          <w:rFonts w:ascii="Arial" w:hAnsi="Arial" w:cs="Arial"/>
        </w:rPr>
      </w:pPr>
      <w:r>
        <w:rPr>
          <w:rFonts w:ascii="Arial" w:hAnsi="Arial" w:cs="Arial"/>
        </w:rPr>
        <w:t xml:space="preserve">As a result of the raising of a complaint by Mr </w:t>
      </w:r>
      <w:r w:rsidR="005E0B63">
        <w:rPr>
          <w:rFonts w:ascii="Arial" w:hAnsi="Arial" w:cs="Arial"/>
        </w:rPr>
        <w:t>S</w:t>
      </w:r>
      <w:r>
        <w:rPr>
          <w:rFonts w:ascii="Arial" w:hAnsi="Arial" w:cs="Arial"/>
        </w:rPr>
        <w:t xml:space="preserve"> and his advice that he did indeed suffer from a gambling problem, Ladbrokes moved to immediately close his Bookmaker.com and also his Betstar account (Betstar also being a Ladbrokes subsidiary).</w:t>
      </w:r>
    </w:p>
    <w:p w:rsidR="009422B4" w:rsidRDefault="009422B4" w:rsidP="009422B4">
      <w:pPr>
        <w:spacing w:after="0"/>
        <w:ind w:left="340"/>
        <w:jc w:val="both"/>
        <w:rPr>
          <w:rFonts w:ascii="Arial" w:hAnsi="Arial" w:cs="Arial"/>
        </w:rPr>
      </w:pPr>
    </w:p>
    <w:p w:rsidR="004310B9" w:rsidRDefault="000D1623" w:rsidP="00485982">
      <w:pPr>
        <w:pStyle w:val="ListParagraph"/>
        <w:numPr>
          <w:ilvl w:val="0"/>
          <w:numId w:val="9"/>
        </w:numPr>
        <w:spacing w:after="0"/>
        <w:ind w:left="697" w:hanging="357"/>
        <w:jc w:val="both"/>
        <w:rPr>
          <w:rFonts w:ascii="Arial" w:hAnsi="Arial" w:cs="Arial"/>
        </w:rPr>
      </w:pPr>
      <w:r>
        <w:rPr>
          <w:rFonts w:ascii="Arial" w:hAnsi="Arial" w:cs="Arial"/>
        </w:rPr>
        <w:t xml:space="preserve">Mr </w:t>
      </w:r>
      <w:r w:rsidR="005E0B63">
        <w:rPr>
          <w:rFonts w:ascii="Arial" w:hAnsi="Arial" w:cs="Arial"/>
        </w:rPr>
        <w:t>S</w:t>
      </w:r>
      <w:r>
        <w:rPr>
          <w:rFonts w:ascii="Arial" w:hAnsi="Arial" w:cs="Arial"/>
        </w:rPr>
        <w:t xml:space="preserve"> submits he is seeking that his deposits to both sites be returned, less any withdrawals, which amounts to a sum of approximately $1,500.00.</w:t>
      </w:r>
    </w:p>
    <w:p w:rsidR="00D66307" w:rsidRPr="00D66307" w:rsidRDefault="00D66307" w:rsidP="00D66307">
      <w:pPr>
        <w:spacing w:after="0"/>
        <w:ind w:left="340"/>
        <w:jc w:val="both"/>
        <w:rPr>
          <w:rFonts w:ascii="Arial" w:hAnsi="Arial" w:cs="Arial"/>
        </w:rPr>
      </w:pPr>
    </w:p>
    <w:p w:rsidR="00D66307" w:rsidRPr="00872115" w:rsidRDefault="00956C1D" w:rsidP="00872115">
      <w:pPr>
        <w:pStyle w:val="Heading2"/>
        <w:spacing w:before="280" w:line="360" w:lineRule="auto"/>
        <w:rPr>
          <w:rFonts w:cs="Arial"/>
        </w:rPr>
      </w:pPr>
      <w:r>
        <w:rPr>
          <w:rFonts w:cs="Arial"/>
        </w:rPr>
        <w:t>C</w:t>
      </w:r>
      <w:r w:rsidR="00872115">
        <w:rPr>
          <w:rFonts w:cs="Arial"/>
        </w:rPr>
        <w:t>onsideration of the Issue</w:t>
      </w:r>
    </w:p>
    <w:p w:rsidR="00D15F57" w:rsidRDefault="00336FE3" w:rsidP="000C16FE">
      <w:pPr>
        <w:pStyle w:val="ListParagraph"/>
        <w:numPr>
          <w:ilvl w:val="0"/>
          <w:numId w:val="9"/>
        </w:numPr>
        <w:spacing w:after="0"/>
        <w:jc w:val="both"/>
        <w:rPr>
          <w:rFonts w:ascii="Arial" w:hAnsi="Arial" w:cs="Arial"/>
        </w:rPr>
      </w:pPr>
      <w:r>
        <w:rPr>
          <w:rFonts w:ascii="Arial" w:hAnsi="Arial" w:cs="Arial"/>
        </w:rPr>
        <w:t>There are two major aspects of this matter that warrant the Commissions consideration.</w:t>
      </w:r>
    </w:p>
    <w:p w:rsidR="000A32BC" w:rsidRDefault="000A32BC" w:rsidP="000A32BC">
      <w:pPr>
        <w:spacing w:after="0"/>
        <w:jc w:val="both"/>
        <w:rPr>
          <w:rFonts w:ascii="Arial" w:hAnsi="Arial" w:cs="Arial"/>
        </w:rPr>
      </w:pPr>
    </w:p>
    <w:p w:rsidR="00916BF0" w:rsidRDefault="00336FE3" w:rsidP="000C16FE">
      <w:pPr>
        <w:pStyle w:val="ListParagraph"/>
        <w:numPr>
          <w:ilvl w:val="0"/>
          <w:numId w:val="9"/>
        </w:numPr>
        <w:spacing w:after="0"/>
        <w:jc w:val="both"/>
        <w:rPr>
          <w:rFonts w:ascii="Arial" w:hAnsi="Arial" w:cs="Arial"/>
        </w:rPr>
      </w:pPr>
      <w:r>
        <w:rPr>
          <w:rFonts w:ascii="Arial" w:hAnsi="Arial" w:cs="Arial"/>
        </w:rPr>
        <w:t xml:space="preserve">Firstly did Ladbrokes (prior to 26 May 2017) ever have any knowledge of Mr </w:t>
      </w:r>
      <w:r w:rsidR="005E0B63">
        <w:rPr>
          <w:rFonts w:ascii="Arial" w:hAnsi="Arial" w:cs="Arial"/>
        </w:rPr>
        <w:t>S</w:t>
      </w:r>
      <w:r>
        <w:rPr>
          <w:rFonts w:ascii="Arial" w:hAnsi="Arial" w:cs="Arial"/>
        </w:rPr>
        <w:t xml:space="preserve"> alleged advices around problem gambling issues</w:t>
      </w:r>
      <w:r w:rsidR="00B83CED">
        <w:rPr>
          <w:rFonts w:ascii="Arial" w:hAnsi="Arial" w:cs="Arial"/>
        </w:rPr>
        <w:t>?  And if so, did they seek to take unfair advantage of these alleged problems.</w:t>
      </w:r>
    </w:p>
    <w:p w:rsidR="00485982" w:rsidRPr="00485982" w:rsidRDefault="00485982" w:rsidP="00485982">
      <w:pPr>
        <w:spacing w:after="0"/>
        <w:ind w:left="320"/>
        <w:jc w:val="both"/>
        <w:rPr>
          <w:rFonts w:ascii="Arial" w:hAnsi="Arial" w:cs="Arial"/>
        </w:rPr>
      </w:pPr>
    </w:p>
    <w:p w:rsidR="003C5F30" w:rsidRDefault="00B83CED" w:rsidP="003C5F30">
      <w:pPr>
        <w:pStyle w:val="ListParagraph"/>
        <w:numPr>
          <w:ilvl w:val="0"/>
          <w:numId w:val="9"/>
        </w:numPr>
        <w:spacing w:after="0"/>
        <w:jc w:val="both"/>
        <w:rPr>
          <w:rFonts w:ascii="Arial" w:hAnsi="Arial" w:cs="Arial"/>
        </w:rPr>
      </w:pPr>
      <w:r>
        <w:rPr>
          <w:rFonts w:ascii="Arial" w:hAnsi="Arial" w:cs="Arial"/>
        </w:rPr>
        <w:t>Secondly, given the history of account re-openings and  closures, did Ladbrokes fail in their observance of the requirements of the Northern Territory Code of Practice for Responsible Online Gambling 2016 (the Code), which has an extensive section relating to red flag punter behaviours that may indicate possible problem gambling.</w:t>
      </w:r>
    </w:p>
    <w:p w:rsidR="00587AAF" w:rsidRPr="00026CE1" w:rsidRDefault="00587AAF" w:rsidP="00026CE1">
      <w:pPr>
        <w:pStyle w:val="ListParagraph"/>
        <w:rPr>
          <w:rFonts w:ascii="Arial" w:hAnsi="Arial" w:cs="Arial"/>
        </w:rPr>
      </w:pPr>
    </w:p>
    <w:p w:rsidR="00872115" w:rsidRDefault="00872115" w:rsidP="00026CE1">
      <w:pPr>
        <w:rPr>
          <w:rFonts w:ascii="Arial" w:hAnsi="Arial" w:cs="Arial"/>
          <w:b/>
        </w:rPr>
      </w:pPr>
    </w:p>
    <w:p w:rsidR="005E0B63" w:rsidRDefault="005E0B63" w:rsidP="00872115">
      <w:pPr>
        <w:pStyle w:val="Heading2"/>
        <w:spacing w:before="280" w:line="360" w:lineRule="auto"/>
        <w:rPr>
          <w:rFonts w:cs="Arial"/>
        </w:rPr>
      </w:pPr>
    </w:p>
    <w:p w:rsidR="00026CE1" w:rsidRPr="00872115" w:rsidRDefault="00026CE1" w:rsidP="00872115">
      <w:pPr>
        <w:pStyle w:val="Heading2"/>
        <w:spacing w:before="280" w:line="360" w:lineRule="auto"/>
        <w:rPr>
          <w:rFonts w:cs="Arial"/>
        </w:rPr>
      </w:pPr>
      <w:bookmarkStart w:id="0" w:name="_GoBack"/>
      <w:bookmarkEnd w:id="0"/>
      <w:r>
        <w:rPr>
          <w:rFonts w:cs="Arial"/>
        </w:rPr>
        <w:t>D</w:t>
      </w:r>
      <w:r w:rsidR="00872115">
        <w:rPr>
          <w:rFonts w:cs="Arial"/>
        </w:rPr>
        <w:t>ecision</w:t>
      </w:r>
    </w:p>
    <w:p w:rsidR="008E2A9A" w:rsidRDefault="00026CE1" w:rsidP="003C5F30">
      <w:pPr>
        <w:pStyle w:val="ListParagraph"/>
        <w:numPr>
          <w:ilvl w:val="0"/>
          <w:numId w:val="9"/>
        </w:numPr>
        <w:spacing w:after="0"/>
        <w:jc w:val="both"/>
        <w:rPr>
          <w:rFonts w:ascii="Arial" w:hAnsi="Arial" w:cs="Arial"/>
        </w:rPr>
      </w:pPr>
      <w:r>
        <w:rPr>
          <w:rFonts w:ascii="Arial" w:hAnsi="Arial" w:cs="Arial"/>
        </w:rPr>
        <w:t>Before outlining the Commission’s decision in this matter it is important to state that it is not within the Commission’s remit to determine compensation in any gambling dispute.</w:t>
      </w:r>
      <w:r w:rsidR="00BD158B">
        <w:rPr>
          <w:rFonts w:ascii="Arial" w:hAnsi="Arial" w:cs="Arial"/>
        </w:rPr>
        <w:t xml:space="preserve">  This is a matter that falls within the jurisdiction of the Courts.</w:t>
      </w:r>
    </w:p>
    <w:p w:rsidR="00872115" w:rsidRDefault="00872115" w:rsidP="00C349A6">
      <w:pPr>
        <w:spacing w:after="0"/>
        <w:jc w:val="both"/>
        <w:rPr>
          <w:rFonts w:ascii="Arial" w:hAnsi="Arial" w:cs="Arial"/>
        </w:rPr>
      </w:pPr>
    </w:p>
    <w:p w:rsidR="00A6490E" w:rsidRDefault="00326BCE" w:rsidP="007D553D">
      <w:pPr>
        <w:pStyle w:val="ListParagraph"/>
        <w:numPr>
          <w:ilvl w:val="0"/>
          <w:numId w:val="9"/>
        </w:numPr>
        <w:spacing w:after="0"/>
        <w:jc w:val="both"/>
        <w:rPr>
          <w:rFonts w:ascii="Arial" w:hAnsi="Arial" w:cs="Arial"/>
          <w:b/>
        </w:rPr>
      </w:pPr>
      <w:r>
        <w:rPr>
          <w:rFonts w:ascii="Arial" w:hAnsi="Arial" w:cs="Arial"/>
        </w:rPr>
        <w:t>The Commission can however adjudicate on matters relating to the observance by bookmakers to their published terms and conditions, their adherence to the requirements of the Northern Territory Code of Practice for Responsible Online Gambling 2016 and the legality of any bets placed with a Northern Territory bookmaker.</w:t>
      </w:r>
    </w:p>
    <w:p w:rsidR="00F34838" w:rsidRDefault="00F34838" w:rsidP="00F34838">
      <w:pPr>
        <w:spacing w:after="0"/>
        <w:jc w:val="both"/>
        <w:rPr>
          <w:rFonts w:ascii="Arial" w:hAnsi="Arial" w:cs="Arial"/>
        </w:rPr>
      </w:pPr>
    </w:p>
    <w:p w:rsidR="00F34838" w:rsidRDefault="0010335E" w:rsidP="00F34838">
      <w:pPr>
        <w:pStyle w:val="ListParagraph"/>
        <w:numPr>
          <w:ilvl w:val="0"/>
          <w:numId w:val="9"/>
        </w:numPr>
        <w:spacing w:after="0"/>
        <w:jc w:val="both"/>
        <w:rPr>
          <w:rFonts w:ascii="Arial" w:hAnsi="Arial" w:cs="Arial"/>
        </w:rPr>
      </w:pPr>
      <w:r>
        <w:rPr>
          <w:rFonts w:ascii="Arial" w:hAnsi="Arial" w:cs="Arial"/>
        </w:rPr>
        <w:t xml:space="preserve">As a result of making detailed investigations into this matter and taking into account matters that transpired prior to Ladbrokes Northern Territory Licensing, we are confident that Ladbrokes were not advised by Mr </w:t>
      </w:r>
      <w:r w:rsidR="005E0B63">
        <w:rPr>
          <w:rFonts w:ascii="Arial" w:hAnsi="Arial" w:cs="Arial"/>
        </w:rPr>
        <w:t>S</w:t>
      </w:r>
      <w:r>
        <w:rPr>
          <w:rFonts w:ascii="Arial" w:hAnsi="Arial" w:cs="Arial"/>
        </w:rPr>
        <w:t xml:space="preserve"> that he had </w:t>
      </w:r>
      <w:r w:rsidR="009D53BC">
        <w:rPr>
          <w:rFonts w:ascii="Arial" w:hAnsi="Arial" w:cs="Arial"/>
        </w:rPr>
        <w:t>a gambling problem</w:t>
      </w:r>
      <w:r>
        <w:rPr>
          <w:rFonts w:ascii="Arial" w:hAnsi="Arial" w:cs="Arial"/>
        </w:rPr>
        <w:t xml:space="preserve"> prior to his advice to them on 26 May 2017.</w:t>
      </w:r>
    </w:p>
    <w:p w:rsidR="0096364E" w:rsidRPr="0096364E" w:rsidRDefault="0096364E" w:rsidP="0096364E">
      <w:pPr>
        <w:spacing w:after="0"/>
        <w:jc w:val="both"/>
        <w:rPr>
          <w:rFonts w:ascii="Arial" w:hAnsi="Arial" w:cs="Arial"/>
        </w:rPr>
      </w:pPr>
    </w:p>
    <w:p w:rsidR="0096364E" w:rsidRDefault="009D53BC" w:rsidP="00305B88">
      <w:pPr>
        <w:pStyle w:val="ListParagraph"/>
        <w:numPr>
          <w:ilvl w:val="0"/>
          <w:numId w:val="9"/>
        </w:numPr>
        <w:spacing w:after="0"/>
        <w:jc w:val="both"/>
        <w:rPr>
          <w:rFonts w:ascii="Arial" w:hAnsi="Arial" w:cs="Arial"/>
        </w:rPr>
      </w:pPr>
      <w:r>
        <w:rPr>
          <w:rFonts w:ascii="Arial" w:hAnsi="Arial" w:cs="Arial"/>
        </w:rPr>
        <w:t xml:space="preserve">We also find that Ladbrokes observed all the requirements of their license around account openings, operations and indeed closure (which was </w:t>
      </w:r>
      <w:r w:rsidR="00D635B5">
        <w:rPr>
          <w:rFonts w:ascii="Arial" w:hAnsi="Arial" w:cs="Arial"/>
        </w:rPr>
        <w:t>actioned</w:t>
      </w:r>
      <w:r>
        <w:rPr>
          <w:rFonts w:ascii="Arial" w:hAnsi="Arial" w:cs="Arial"/>
        </w:rPr>
        <w:t xml:space="preserve"> immediately they became aware of Mr </w:t>
      </w:r>
      <w:r w:rsidR="005E0B63">
        <w:rPr>
          <w:rFonts w:ascii="Arial" w:hAnsi="Arial" w:cs="Arial"/>
        </w:rPr>
        <w:t>S</w:t>
      </w:r>
      <w:r>
        <w:rPr>
          <w:rFonts w:ascii="Arial" w:hAnsi="Arial" w:cs="Arial"/>
        </w:rPr>
        <w:t xml:space="preserve"> gambling problem).</w:t>
      </w:r>
    </w:p>
    <w:p w:rsidR="00253947" w:rsidRDefault="00253947" w:rsidP="00253947">
      <w:pPr>
        <w:spacing w:after="0"/>
        <w:jc w:val="both"/>
        <w:rPr>
          <w:rFonts w:ascii="Arial" w:hAnsi="Arial" w:cs="Arial"/>
        </w:rPr>
      </w:pPr>
    </w:p>
    <w:p w:rsidR="00253947" w:rsidRDefault="00971165" w:rsidP="00253947">
      <w:pPr>
        <w:pStyle w:val="ListParagraph"/>
        <w:numPr>
          <w:ilvl w:val="0"/>
          <w:numId w:val="9"/>
        </w:numPr>
        <w:spacing w:after="0"/>
        <w:jc w:val="both"/>
        <w:rPr>
          <w:rFonts w:ascii="Arial" w:hAnsi="Arial" w:cs="Arial"/>
        </w:rPr>
      </w:pPr>
      <w:r>
        <w:rPr>
          <w:rFonts w:ascii="Arial" w:hAnsi="Arial" w:cs="Arial"/>
        </w:rPr>
        <w:t xml:space="preserve">Accordingly, we determine that all wagering transactions on Mr </w:t>
      </w:r>
      <w:r w:rsidR="005E0B63">
        <w:rPr>
          <w:rFonts w:ascii="Arial" w:hAnsi="Arial" w:cs="Arial"/>
        </w:rPr>
        <w:t>S</w:t>
      </w:r>
      <w:r>
        <w:rPr>
          <w:rFonts w:ascii="Arial" w:hAnsi="Arial" w:cs="Arial"/>
        </w:rPr>
        <w:t xml:space="preserve"> accounts were lawful.</w:t>
      </w:r>
    </w:p>
    <w:p w:rsidR="004A3FC7" w:rsidRDefault="004A3FC7" w:rsidP="004A3FC7">
      <w:pPr>
        <w:spacing w:after="0"/>
        <w:jc w:val="both"/>
        <w:rPr>
          <w:rFonts w:ascii="Arial" w:hAnsi="Arial" w:cs="Arial"/>
        </w:rPr>
      </w:pPr>
    </w:p>
    <w:p w:rsidR="004A3FC7" w:rsidRDefault="001E253D" w:rsidP="004A3FC7">
      <w:pPr>
        <w:pStyle w:val="ListParagraph"/>
        <w:numPr>
          <w:ilvl w:val="0"/>
          <w:numId w:val="9"/>
        </w:numPr>
        <w:spacing w:after="0"/>
        <w:jc w:val="both"/>
        <w:rPr>
          <w:rFonts w:ascii="Arial" w:hAnsi="Arial" w:cs="Arial"/>
        </w:rPr>
      </w:pPr>
      <w:r>
        <w:rPr>
          <w:rFonts w:ascii="Arial" w:hAnsi="Arial" w:cs="Arial"/>
        </w:rPr>
        <w:t>With regards observance of the Northern Territory Code of Practice for Responsible Online Gambling 2016 we make the following Determination.</w:t>
      </w:r>
    </w:p>
    <w:p w:rsidR="004A3FC7" w:rsidRPr="004A3FC7" w:rsidRDefault="004A3FC7" w:rsidP="004A3FC7">
      <w:pPr>
        <w:pStyle w:val="ListParagraph"/>
        <w:rPr>
          <w:rFonts w:ascii="Arial" w:hAnsi="Arial" w:cs="Arial"/>
        </w:rPr>
      </w:pPr>
    </w:p>
    <w:p w:rsidR="004A3FC7" w:rsidRDefault="001E253D" w:rsidP="004A3FC7">
      <w:pPr>
        <w:pStyle w:val="ListParagraph"/>
        <w:numPr>
          <w:ilvl w:val="0"/>
          <w:numId w:val="9"/>
        </w:numPr>
        <w:spacing w:after="0"/>
        <w:jc w:val="both"/>
        <w:rPr>
          <w:rFonts w:ascii="Arial" w:hAnsi="Arial" w:cs="Arial"/>
        </w:rPr>
      </w:pPr>
      <w:r>
        <w:rPr>
          <w:rFonts w:ascii="Arial" w:hAnsi="Arial" w:cs="Arial"/>
        </w:rPr>
        <w:t xml:space="preserve">Whilst best practice would indicate that given the previous account conduct around closures and exclusion it may </w:t>
      </w:r>
      <w:r w:rsidR="000948FB">
        <w:rPr>
          <w:rFonts w:ascii="Arial" w:hAnsi="Arial" w:cs="Arial"/>
        </w:rPr>
        <w:t>have</w:t>
      </w:r>
      <w:r>
        <w:rPr>
          <w:rFonts w:ascii="Arial" w:hAnsi="Arial" w:cs="Arial"/>
        </w:rPr>
        <w:t xml:space="preserve"> been preferable that these red flag behaviours were given more weight prior to the re-opening of Mr </w:t>
      </w:r>
      <w:r w:rsidR="005E0B63">
        <w:rPr>
          <w:rFonts w:ascii="Arial" w:hAnsi="Arial" w:cs="Arial"/>
        </w:rPr>
        <w:t>S</w:t>
      </w:r>
      <w:r>
        <w:rPr>
          <w:rFonts w:ascii="Arial" w:hAnsi="Arial" w:cs="Arial"/>
        </w:rPr>
        <w:t xml:space="preserve"> account.</w:t>
      </w:r>
    </w:p>
    <w:p w:rsidR="00587AAF" w:rsidRDefault="00587AAF" w:rsidP="00587AAF">
      <w:pPr>
        <w:pStyle w:val="ListParagraph"/>
        <w:rPr>
          <w:rFonts w:ascii="Arial" w:hAnsi="Arial" w:cs="Arial"/>
        </w:rPr>
      </w:pPr>
    </w:p>
    <w:p w:rsidR="00587AAF" w:rsidRPr="00587AAF" w:rsidRDefault="00587AAF" w:rsidP="00587AAF">
      <w:pPr>
        <w:pStyle w:val="ListParagraph"/>
        <w:rPr>
          <w:rFonts w:ascii="Arial" w:hAnsi="Arial" w:cs="Arial"/>
        </w:rPr>
      </w:pPr>
      <w:r>
        <w:rPr>
          <w:rFonts w:ascii="Arial" w:hAnsi="Arial" w:cs="Arial"/>
        </w:rPr>
        <w:t>However we do not consider that these factors amount to a contravention of the Code.</w:t>
      </w:r>
    </w:p>
    <w:p w:rsidR="004A3FC7" w:rsidRPr="004A3FC7" w:rsidRDefault="004A3FC7" w:rsidP="004A3FC7">
      <w:pPr>
        <w:pStyle w:val="ListParagraph"/>
        <w:rPr>
          <w:rFonts w:ascii="Arial" w:hAnsi="Arial" w:cs="Arial"/>
        </w:rPr>
      </w:pPr>
    </w:p>
    <w:p w:rsidR="004A3FC7" w:rsidRDefault="00B74E45" w:rsidP="004A3FC7">
      <w:pPr>
        <w:pStyle w:val="ListParagraph"/>
        <w:numPr>
          <w:ilvl w:val="0"/>
          <w:numId w:val="9"/>
        </w:numPr>
        <w:spacing w:after="0"/>
        <w:jc w:val="both"/>
        <w:rPr>
          <w:rFonts w:ascii="Arial" w:hAnsi="Arial" w:cs="Arial"/>
        </w:rPr>
      </w:pPr>
      <w:r>
        <w:rPr>
          <w:rFonts w:ascii="Arial" w:hAnsi="Arial" w:cs="Arial"/>
        </w:rPr>
        <w:t xml:space="preserve">Given the forgoing observation we do not consider these perceived shortcomings warrant </w:t>
      </w:r>
      <w:r w:rsidR="00A340C8">
        <w:rPr>
          <w:rFonts w:ascii="Arial" w:hAnsi="Arial" w:cs="Arial"/>
        </w:rPr>
        <w:t>any</w:t>
      </w:r>
      <w:r>
        <w:rPr>
          <w:rFonts w:ascii="Arial" w:hAnsi="Arial" w:cs="Arial"/>
        </w:rPr>
        <w:t xml:space="preserve"> further action by the Commission.</w:t>
      </w:r>
    </w:p>
    <w:p w:rsidR="00746E80" w:rsidRPr="00746E80" w:rsidRDefault="00746E80" w:rsidP="00746E80">
      <w:pPr>
        <w:pStyle w:val="ListParagraph"/>
        <w:rPr>
          <w:rFonts w:ascii="Arial" w:hAnsi="Arial" w:cs="Arial"/>
        </w:rPr>
      </w:pPr>
    </w:p>
    <w:p w:rsidR="009364F2" w:rsidRDefault="009364F2" w:rsidP="0096364E">
      <w:pPr>
        <w:spacing w:after="0"/>
        <w:jc w:val="both"/>
        <w:rPr>
          <w:rFonts w:ascii="Arial" w:hAnsi="Arial" w:cs="Arial"/>
        </w:rPr>
      </w:pPr>
    </w:p>
    <w:p w:rsidR="006B7765" w:rsidRPr="0096364E" w:rsidRDefault="008E6F05" w:rsidP="0096364E">
      <w:pPr>
        <w:spacing w:after="0"/>
        <w:jc w:val="both"/>
        <w:rPr>
          <w:rFonts w:ascii="Arial" w:hAnsi="Arial" w:cs="Arial"/>
        </w:rPr>
      </w:pPr>
      <w:r>
        <w:rPr>
          <w:rFonts w:ascii="Arial" w:hAnsi="Arial" w:cs="Arial"/>
          <w:noProof/>
          <w:lang w:eastAsia="en-AU"/>
        </w:rPr>
        <w:drawing>
          <wp:inline distT="0" distB="0" distL="0" distR="0">
            <wp:extent cx="2457957" cy="10526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518369" cy="1078495"/>
                    </a:xfrm>
                    <a:prstGeom prst="rect">
                      <a:avLst/>
                    </a:prstGeom>
                  </pic:spPr>
                </pic:pic>
              </a:graphicData>
            </a:graphic>
          </wp:inline>
        </w:drawing>
      </w:r>
    </w:p>
    <w:p w:rsidR="00E529E3" w:rsidRDefault="00872115" w:rsidP="00E529E3">
      <w:pPr>
        <w:spacing w:after="0" w:line="240" w:lineRule="auto"/>
        <w:rPr>
          <w:rFonts w:ascii="Arial" w:hAnsi="Arial" w:cs="Arial"/>
          <w:b/>
        </w:rPr>
      </w:pPr>
      <w:r>
        <w:rPr>
          <w:rFonts w:ascii="Arial" w:hAnsi="Arial" w:cs="Arial"/>
          <w:b/>
        </w:rPr>
        <w:t>John Boneham</w:t>
      </w:r>
    </w:p>
    <w:p w:rsidR="00872115" w:rsidRDefault="00872115" w:rsidP="00E529E3">
      <w:pPr>
        <w:spacing w:after="0" w:line="240" w:lineRule="auto"/>
        <w:rPr>
          <w:rFonts w:ascii="Arial" w:hAnsi="Arial" w:cs="Arial"/>
        </w:rPr>
      </w:pPr>
      <w:r>
        <w:rPr>
          <w:rFonts w:ascii="Arial" w:hAnsi="Arial" w:cs="Arial"/>
        </w:rPr>
        <w:t>Presiding Member</w:t>
      </w:r>
    </w:p>
    <w:p w:rsidR="00231F83" w:rsidRDefault="00872115" w:rsidP="00872115">
      <w:pPr>
        <w:spacing w:after="0" w:line="240" w:lineRule="auto"/>
        <w:rPr>
          <w:rFonts w:ascii="Arial" w:hAnsi="Arial" w:cs="Arial"/>
        </w:rPr>
      </w:pPr>
      <w:r>
        <w:rPr>
          <w:rFonts w:ascii="Arial" w:hAnsi="Arial" w:cs="Arial"/>
        </w:rPr>
        <w:t>Racing Commission</w:t>
      </w:r>
    </w:p>
    <w:p w:rsidR="0072277F" w:rsidRDefault="0072277F" w:rsidP="009422B4">
      <w:pPr>
        <w:spacing w:after="0" w:line="240" w:lineRule="auto"/>
        <w:rPr>
          <w:rFonts w:ascii="Arial" w:hAnsi="Arial" w:cs="Arial"/>
        </w:rPr>
      </w:pPr>
    </w:p>
    <w:p w:rsidR="0072277F" w:rsidRPr="00231F83" w:rsidRDefault="00872115" w:rsidP="009422B4">
      <w:pPr>
        <w:spacing w:after="0" w:line="240" w:lineRule="auto"/>
        <w:rPr>
          <w:rFonts w:ascii="Arial" w:hAnsi="Arial" w:cs="Arial"/>
        </w:rPr>
      </w:pPr>
      <w:r>
        <w:rPr>
          <w:rFonts w:ascii="Arial" w:hAnsi="Arial" w:cs="Arial"/>
        </w:rPr>
        <w:t>1 May 2018</w:t>
      </w:r>
    </w:p>
    <w:sectPr w:rsidR="0072277F" w:rsidRPr="00231F83" w:rsidSect="00872115">
      <w:headerReference w:type="first" r:id="rId9"/>
      <w:pgSz w:w="11906" w:h="16838"/>
      <w:pgMar w:top="567" w:right="1440" w:bottom="56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15" w:rsidRDefault="00872115" w:rsidP="00872115">
      <w:pPr>
        <w:spacing w:after="0" w:line="240" w:lineRule="auto"/>
      </w:pPr>
      <w:r>
        <w:separator/>
      </w:r>
    </w:p>
  </w:endnote>
  <w:endnote w:type="continuationSeparator" w:id="0">
    <w:p w:rsidR="00872115" w:rsidRDefault="00872115" w:rsidP="00872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15" w:rsidRDefault="00872115" w:rsidP="00872115">
      <w:pPr>
        <w:spacing w:after="0" w:line="240" w:lineRule="auto"/>
      </w:pPr>
      <w:r>
        <w:separator/>
      </w:r>
    </w:p>
  </w:footnote>
  <w:footnote w:type="continuationSeparator" w:id="0">
    <w:p w:rsidR="00872115" w:rsidRDefault="00872115" w:rsidP="00872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15" w:rsidRDefault="00872115" w:rsidP="00872115">
    <w:pPr>
      <w:spacing w:after="0" w:line="240" w:lineRule="auto"/>
      <w:jc w:val="center"/>
      <w:rPr>
        <w:rFonts w:ascii="Arial" w:hAnsi="Arial"/>
        <w:b/>
        <w:sz w:val="32"/>
      </w:rPr>
    </w:pPr>
  </w:p>
  <w:p w:rsidR="00872115" w:rsidRDefault="00872115" w:rsidP="00872115">
    <w:pPr>
      <w:spacing w:after="0" w:line="240" w:lineRule="auto"/>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952"/>
    <w:multiLevelType w:val="hybridMultilevel"/>
    <w:tmpl w:val="3014E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3259AA"/>
    <w:multiLevelType w:val="hybridMultilevel"/>
    <w:tmpl w:val="C06A5AF2"/>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771127"/>
    <w:multiLevelType w:val="hybridMultilevel"/>
    <w:tmpl w:val="2B943E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A5726CE"/>
    <w:multiLevelType w:val="hybridMultilevel"/>
    <w:tmpl w:val="BDD8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2237B"/>
    <w:multiLevelType w:val="hybridMultilevel"/>
    <w:tmpl w:val="C8248F3C"/>
    <w:lvl w:ilvl="0" w:tplc="019892A0">
      <w:start w:val="1"/>
      <w:numFmt w:val="decimal"/>
      <w:lvlText w:val="%1."/>
      <w:lvlJc w:val="left"/>
      <w:pPr>
        <w:ind w:left="1455" w:hanging="360"/>
      </w:pPr>
      <w:rPr>
        <w:rFonts w:hint="default"/>
        <w:b w:val="0"/>
        <w:sz w:val="24"/>
        <w:szCs w:val="24"/>
      </w:rPr>
    </w:lvl>
    <w:lvl w:ilvl="1" w:tplc="0C090019" w:tentative="1">
      <w:start w:val="1"/>
      <w:numFmt w:val="lowerLetter"/>
      <w:lvlText w:val="%2."/>
      <w:lvlJc w:val="left"/>
      <w:pPr>
        <w:ind w:left="2175" w:hanging="360"/>
      </w:pPr>
    </w:lvl>
    <w:lvl w:ilvl="2" w:tplc="0C09001B" w:tentative="1">
      <w:start w:val="1"/>
      <w:numFmt w:val="lowerRoman"/>
      <w:lvlText w:val="%3."/>
      <w:lvlJc w:val="right"/>
      <w:pPr>
        <w:ind w:left="2895" w:hanging="180"/>
      </w:pPr>
    </w:lvl>
    <w:lvl w:ilvl="3" w:tplc="0C09000F" w:tentative="1">
      <w:start w:val="1"/>
      <w:numFmt w:val="decimal"/>
      <w:lvlText w:val="%4."/>
      <w:lvlJc w:val="left"/>
      <w:pPr>
        <w:ind w:left="3615" w:hanging="360"/>
      </w:pPr>
    </w:lvl>
    <w:lvl w:ilvl="4" w:tplc="0C090019" w:tentative="1">
      <w:start w:val="1"/>
      <w:numFmt w:val="lowerLetter"/>
      <w:lvlText w:val="%5."/>
      <w:lvlJc w:val="left"/>
      <w:pPr>
        <w:ind w:left="4335" w:hanging="360"/>
      </w:pPr>
    </w:lvl>
    <w:lvl w:ilvl="5" w:tplc="0C09001B" w:tentative="1">
      <w:start w:val="1"/>
      <w:numFmt w:val="lowerRoman"/>
      <w:lvlText w:val="%6."/>
      <w:lvlJc w:val="right"/>
      <w:pPr>
        <w:ind w:left="5055" w:hanging="180"/>
      </w:pPr>
    </w:lvl>
    <w:lvl w:ilvl="6" w:tplc="0C09000F" w:tentative="1">
      <w:start w:val="1"/>
      <w:numFmt w:val="decimal"/>
      <w:lvlText w:val="%7."/>
      <w:lvlJc w:val="left"/>
      <w:pPr>
        <w:ind w:left="5775" w:hanging="360"/>
      </w:pPr>
    </w:lvl>
    <w:lvl w:ilvl="7" w:tplc="0C090019" w:tentative="1">
      <w:start w:val="1"/>
      <w:numFmt w:val="lowerLetter"/>
      <w:lvlText w:val="%8."/>
      <w:lvlJc w:val="left"/>
      <w:pPr>
        <w:ind w:left="6495" w:hanging="360"/>
      </w:pPr>
    </w:lvl>
    <w:lvl w:ilvl="8" w:tplc="0C09001B" w:tentative="1">
      <w:start w:val="1"/>
      <w:numFmt w:val="lowerRoman"/>
      <w:lvlText w:val="%9."/>
      <w:lvlJc w:val="right"/>
      <w:pPr>
        <w:ind w:left="7215" w:hanging="180"/>
      </w:pPr>
    </w:lvl>
  </w:abstractNum>
  <w:abstractNum w:abstractNumId="5" w15:restartNumberingAfterBreak="0">
    <w:nsid w:val="23B062D7"/>
    <w:multiLevelType w:val="hybridMultilevel"/>
    <w:tmpl w:val="2A8A6096"/>
    <w:lvl w:ilvl="0" w:tplc="019892A0">
      <w:start w:val="1"/>
      <w:numFmt w:val="decimal"/>
      <w:lvlText w:val="%1."/>
      <w:lvlJc w:val="left"/>
      <w:pPr>
        <w:ind w:left="1400" w:hanging="360"/>
      </w:pPr>
      <w:rPr>
        <w:rFonts w:hint="default"/>
        <w:b w:val="0"/>
        <w:sz w:val="24"/>
        <w:szCs w:val="24"/>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D40177"/>
    <w:multiLevelType w:val="hybridMultilevel"/>
    <w:tmpl w:val="D4B6E5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BC83A9D"/>
    <w:multiLevelType w:val="hybridMultilevel"/>
    <w:tmpl w:val="282C840C"/>
    <w:lvl w:ilvl="0" w:tplc="8C9E2638">
      <w:start w:val="1"/>
      <w:numFmt w:val="decimal"/>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22077B"/>
    <w:multiLevelType w:val="hybridMultilevel"/>
    <w:tmpl w:val="4BFA2334"/>
    <w:lvl w:ilvl="0" w:tplc="019892A0">
      <w:start w:val="1"/>
      <w:numFmt w:val="decimal"/>
      <w:lvlText w:val="%1."/>
      <w:lvlJc w:val="left"/>
      <w:pPr>
        <w:ind w:left="1457" w:hanging="360"/>
      </w:pPr>
      <w:rPr>
        <w:rFonts w:hint="default"/>
        <w:b w:val="0"/>
        <w:sz w:val="24"/>
        <w:szCs w:val="24"/>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0" w15:restartNumberingAfterBreak="0">
    <w:nsid w:val="423105DE"/>
    <w:multiLevelType w:val="hybridMultilevel"/>
    <w:tmpl w:val="787A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20086"/>
    <w:multiLevelType w:val="hybridMultilevel"/>
    <w:tmpl w:val="630E9812"/>
    <w:lvl w:ilvl="0" w:tplc="019892A0">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B5F4A4D"/>
    <w:multiLevelType w:val="hybridMultilevel"/>
    <w:tmpl w:val="4080FE58"/>
    <w:lvl w:ilvl="0" w:tplc="019892A0">
      <w:start w:val="1"/>
      <w:numFmt w:val="decimal"/>
      <w:lvlText w:val="%1."/>
      <w:lvlJc w:val="left"/>
      <w:pPr>
        <w:ind w:left="1457" w:hanging="360"/>
      </w:pPr>
      <w:rPr>
        <w:rFonts w:hint="default"/>
        <w:b w:val="0"/>
        <w:sz w:val="24"/>
        <w:szCs w:val="24"/>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3"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FDB43BF"/>
    <w:multiLevelType w:val="hybridMultilevel"/>
    <w:tmpl w:val="A3FC6B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533BC1"/>
    <w:multiLevelType w:val="hybridMultilevel"/>
    <w:tmpl w:val="44AC014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B550993"/>
    <w:multiLevelType w:val="hybridMultilevel"/>
    <w:tmpl w:val="16B4423A"/>
    <w:lvl w:ilvl="0" w:tplc="0C090017">
      <w:start w:val="1"/>
      <w:numFmt w:val="lowerLetter"/>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5C8A5D1B"/>
    <w:multiLevelType w:val="hybridMultilevel"/>
    <w:tmpl w:val="3AC85ED8"/>
    <w:lvl w:ilvl="0" w:tplc="019892A0">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C5554"/>
    <w:multiLevelType w:val="hybridMultilevel"/>
    <w:tmpl w:val="5DBA0646"/>
    <w:lvl w:ilvl="0" w:tplc="019892A0">
      <w:start w:val="1"/>
      <w:numFmt w:val="decimal"/>
      <w:lvlText w:val="%1."/>
      <w:lvlJc w:val="left"/>
      <w:pPr>
        <w:ind w:left="1040" w:hanging="360"/>
      </w:pPr>
      <w:rPr>
        <w:rFonts w:hint="default"/>
        <w:b w:val="0"/>
        <w:sz w:val="24"/>
        <w:szCs w:val="24"/>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15:restartNumberingAfterBreak="0">
    <w:nsid w:val="60B84E96"/>
    <w:multiLevelType w:val="hybridMultilevel"/>
    <w:tmpl w:val="298C6AC6"/>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07AB9"/>
    <w:multiLevelType w:val="hybridMultilevel"/>
    <w:tmpl w:val="DFEC0A90"/>
    <w:lvl w:ilvl="0" w:tplc="019892A0">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8F407D"/>
    <w:multiLevelType w:val="hybridMultilevel"/>
    <w:tmpl w:val="220A5950"/>
    <w:lvl w:ilvl="0" w:tplc="0C090005">
      <w:start w:val="1"/>
      <w:numFmt w:val="bullet"/>
      <w:lvlText w:val=""/>
      <w:lvlJc w:val="left"/>
      <w:pPr>
        <w:ind w:left="1455" w:hanging="360"/>
      </w:pPr>
      <w:rPr>
        <w:rFonts w:ascii="Wingdings" w:hAnsi="Wingdings"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23" w15:restartNumberingAfterBreak="0">
    <w:nsid w:val="703B6676"/>
    <w:multiLevelType w:val="hybridMultilevel"/>
    <w:tmpl w:val="F698E1A2"/>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179710C"/>
    <w:multiLevelType w:val="hybridMultilevel"/>
    <w:tmpl w:val="3E3C04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3740998"/>
    <w:multiLevelType w:val="hybridMultilevel"/>
    <w:tmpl w:val="82CC3FDA"/>
    <w:lvl w:ilvl="0" w:tplc="019892A0">
      <w:start w:val="1"/>
      <w:numFmt w:val="decimal"/>
      <w:lvlText w:val="%1."/>
      <w:lvlJc w:val="left"/>
      <w:pPr>
        <w:ind w:left="1457" w:hanging="360"/>
      </w:pPr>
      <w:rPr>
        <w:rFonts w:hint="default"/>
        <w:b w:val="0"/>
        <w:sz w:val="24"/>
        <w:szCs w:val="24"/>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6" w15:restartNumberingAfterBreak="0">
    <w:nsid w:val="76625A3D"/>
    <w:multiLevelType w:val="hybridMultilevel"/>
    <w:tmpl w:val="2A80DCD8"/>
    <w:lvl w:ilvl="0" w:tplc="019892A0">
      <w:start w:val="1"/>
      <w:numFmt w:val="decimal"/>
      <w:lvlText w:val="%1."/>
      <w:lvlJc w:val="left"/>
      <w:pPr>
        <w:ind w:left="1457" w:hanging="360"/>
      </w:pPr>
      <w:rPr>
        <w:rFonts w:hint="default"/>
        <w:b w:val="0"/>
        <w:sz w:val="24"/>
        <w:szCs w:val="24"/>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7" w15:restartNumberingAfterBreak="0">
    <w:nsid w:val="781E6B68"/>
    <w:multiLevelType w:val="hybridMultilevel"/>
    <w:tmpl w:val="BEDA3ABA"/>
    <w:lvl w:ilvl="0" w:tplc="107A8AD0">
      <w:start w:val="1"/>
      <w:numFmt w:val="decimal"/>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28" w15:restartNumberingAfterBreak="0">
    <w:nsid w:val="7AA72A6A"/>
    <w:multiLevelType w:val="hybridMultilevel"/>
    <w:tmpl w:val="B68C9A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8"/>
  </w:num>
  <w:num w:numId="5">
    <w:abstractNumId w:val="12"/>
  </w:num>
  <w:num w:numId="6">
    <w:abstractNumId w:val="25"/>
  </w:num>
  <w:num w:numId="7">
    <w:abstractNumId w:val="11"/>
  </w:num>
  <w:num w:numId="8">
    <w:abstractNumId w:val="21"/>
  </w:num>
  <w:num w:numId="9">
    <w:abstractNumId w:val="1"/>
  </w:num>
  <w:num w:numId="10">
    <w:abstractNumId w:val="23"/>
  </w:num>
  <w:num w:numId="11">
    <w:abstractNumId w:val="24"/>
  </w:num>
  <w:num w:numId="12">
    <w:abstractNumId w:val="26"/>
  </w:num>
  <w:num w:numId="13">
    <w:abstractNumId w:val="22"/>
  </w:num>
  <w:num w:numId="14">
    <w:abstractNumId w:val="4"/>
  </w:num>
  <w:num w:numId="15">
    <w:abstractNumId w:val="20"/>
  </w:num>
  <w:num w:numId="16">
    <w:abstractNumId w:val="5"/>
  </w:num>
  <w:num w:numId="17">
    <w:abstractNumId w:val="18"/>
  </w:num>
  <w:num w:numId="18">
    <w:abstractNumId w:val="17"/>
  </w:num>
  <w:num w:numId="19">
    <w:abstractNumId w:val="19"/>
  </w:num>
  <w:num w:numId="20">
    <w:abstractNumId w:val="2"/>
  </w:num>
  <w:num w:numId="21">
    <w:abstractNumId w:val="13"/>
  </w:num>
  <w:num w:numId="22">
    <w:abstractNumId w:val="6"/>
  </w:num>
  <w:num w:numId="23">
    <w:abstractNumId w:val="9"/>
  </w:num>
  <w:num w:numId="24">
    <w:abstractNumId w:val="0"/>
  </w:num>
  <w:num w:numId="25">
    <w:abstractNumId w:val="16"/>
  </w:num>
  <w:num w:numId="26">
    <w:abstractNumId w:val="15"/>
  </w:num>
  <w:num w:numId="27">
    <w:abstractNumId w:val="27"/>
  </w:num>
  <w:num w:numId="28">
    <w:abstractNumId w:val="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D1"/>
    <w:rsid w:val="00011B49"/>
    <w:rsid w:val="00012E8E"/>
    <w:rsid w:val="00016D26"/>
    <w:rsid w:val="00021649"/>
    <w:rsid w:val="00026CE1"/>
    <w:rsid w:val="00046120"/>
    <w:rsid w:val="000637FD"/>
    <w:rsid w:val="000901A1"/>
    <w:rsid w:val="000948FB"/>
    <w:rsid w:val="0009645F"/>
    <w:rsid w:val="000A32BC"/>
    <w:rsid w:val="000B5BEE"/>
    <w:rsid w:val="000C16FE"/>
    <w:rsid w:val="000C7B07"/>
    <w:rsid w:val="000D1623"/>
    <w:rsid w:val="000D54BC"/>
    <w:rsid w:val="000E5A65"/>
    <w:rsid w:val="000E7829"/>
    <w:rsid w:val="000F2A4C"/>
    <w:rsid w:val="000F3204"/>
    <w:rsid w:val="000F389D"/>
    <w:rsid w:val="000F453D"/>
    <w:rsid w:val="000F5CDA"/>
    <w:rsid w:val="0010335E"/>
    <w:rsid w:val="00104B84"/>
    <w:rsid w:val="00105E06"/>
    <w:rsid w:val="001373D8"/>
    <w:rsid w:val="00143F9A"/>
    <w:rsid w:val="00186F9C"/>
    <w:rsid w:val="001D05AB"/>
    <w:rsid w:val="001D1F04"/>
    <w:rsid w:val="001D4A0F"/>
    <w:rsid w:val="001D6EB0"/>
    <w:rsid w:val="001E253D"/>
    <w:rsid w:val="001E3DD2"/>
    <w:rsid w:val="001F633B"/>
    <w:rsid w:val="0022151A"/>
    <w:rsid w:val="002259E6"/>
    <w:rsid w:val="00227A4F"/>
    <w:rsid w:val="00231F83"/>
    <w:rsid w:val="00232F3D"/>
    <w:rsid w:val="00235199"/>
    <w:rsid w:val="002452F0"/>
    <w:rsid w:val="00253947"/>
    <w:rsid w:val="00260256"/>
    <w:rsid w:val="002859F1"/>
    <w:rsid w:val="002B24CE"/>
    <w:rsid w:val="002B3F3C"/>
    <w:rsid w:val="002B42DF"/>
    <w:rsid w:val="002B4B45"/>
    <w:rsid w:val="002D2604"/>
    <w:rsid w:val="002D5043"/>
    <w:rsid w:val="002D6D70"/>
    <w:rsid w:val="002E1928"/>
    <w:rsid w:val="003003BD"/>
    <w:rsid w:val="00305B88"/>
    <w:rsid w:val="00306D8E"/>
    <w:rsid w:val="00323684"/>
    <w:rsid w:val="00324F8C"/>
    <w:rsid w:val="00326BCE"/>
    <w:rsid w:val="003274EA"/>
    <w:rsid w:val="0033209C"/>
    <w:rsid w:val="00336FE3"/>
    <w:rsid w:val="003504C8"/>
    <w:rsid w:val="00350E28"/>
    <w:rsid w:val="00372125"/>
    <w:rsid w:val="0037722C"/>
    <w:rsid w:val="003903EC"/>
    <w:rsid w:val="003A68EE"/>
    <w:rsid w:val="003B1D99"/>
    <w:rsid w:val="003B5AB7"/>
    <w:rsid w:val="003C5F30"/>
    <w:rsid w:val="003C7535"/>
    <w:rsid w:val="003F3D84"/>
    <w:rsid w:val="00417B80"/>
    <w:rsid w:val="00424B58"/>
    <w:rsid w:val="004310B9"/>
    <w:rsid w:val="0044553C"/>
    <w:rsid w:val="0045178C"/>
    <w:rsid w:val="00452FD7"/>
    <w:rsid w:val="00465792"/>
    <w:rsid w:val="004675BF"/>
    <w:rsid w:val="004742F0"/>
    <w:rsid w:val="00480274"/>
    <w:rsid w:val="00485450"/>
    <w:rsid w:val="00485982"/>
    <w:rsid w:val="00486B65"/>
    <w:rsid w:val="004A3FC7"/>
    <w:rsid w:val="004A7524"/>
    <w:rsid w:val="004C04E5"/>
    <w:rsid w:val="004C542D"/>
    <w:rsid w:val="004D0BDE"/>
    <w:rsid w:val="004E6A2D"/>
    <w:rsid w:val="004E726F"/>
    <w:rsid w:val="004F24B9"/>
    <w:rsid w:val="00522DA2"/>
    <w:rsid w:val="00531829"/>
    <w:rsid w:val="00532BCC"/>
    <w:rsid w:val="005362DF"/>
    <w:rsid w:val="00542069"/>
    <w:rsid w:val="005445AF"/>
    <w:rsid w:val="005463CA"/>
    <w:rsid w:val="00550E35"/>
    <w:rsid w:val="005701DB"/>
    <w:rsid w:val="005721AC"/>
    <w:rsid w:val="005772CD"/>
    <w:rsid w:val="005873E1"/>
    <w:rsid w:val="00587AAF"/>
    <w:rsid w:val="00593559"/>
    <w:rsid w:val="005A1514"/>
    <w:rsid w:val="005A7269"/>
    <w:rsid w:val="005E0B63"/>
    <w:rsid w:val="00607614"/>
    <w:rsid w:val="00612522"/>
    <w:rsid w:val="006220CF"/>
    <w:rsid w:val="00655CF4"/>
    <w:rsid w:val="00656C8E"/>
    <w:rsid w:val="0066042D"/>
    <w:rsid w:val="0067447E"/>
    <w:rsid w:val="006874CB"/>
    <w:rsid w:val="00695484"/>
    <w:rsid w:val="006B2925"/>
    <w:rsid w:val="006B6335"/>
    <w:rsid w:val="006B7765"/>
    <w:rsid w:val="006C1439"/>
    <w:rsid w:val="006C2E4D"/>
    <w:rsid w:val="006C59F9"/>
    <w:rsid w:val="006F4709"/>
    <w:rsid w:val="00710F83"/>
    <w:rsid w:val="00716361"/>
    <w:rsid w:val="00716C12"/>
    <w:rsid w:val="00717020"/>
    <w:rsid w:val="0072277F"/>
    <w:rsid w:val="00746E80"/>
    <w:rsid w:val="007512BB"/>
    <w:rsid w:val="00754887"/>
    <w:rsid w:val="00755FEA"/>
    <w:rsid w:val="00756667"/>
    <w:rsid w:val="00776323"/>
    <w:rsid w:val="00785469"/>
    <w:rsid w:val="00792DCC"/>
    <w:rsid w:val="007A5133"/>
    <w:rsid w:val="007C6A76"/>
    <w:rsid w:val="007D553D"/>
    <w:rsid w:val="007E0F09"/>
    <w:rsid w:val="00811CBE"/>
    <w:rsid w:val="008151F8"/>
    <w:rsid w:val="00821A11"/>
    <w:rsid w:val="008377BC"/>
    <w:rsid w:val="0084398A"/>
    <w:rsid w:val="008614E9"/>
    <w:rsid w:val="008642E0"/>
    <w:rsid w:val="008672BA"/>
    <w:rsid w:val="00872115"/>
    <w:rsid w:val="00872476"/>
    <w:rsid w:val="00896141"/>
    <w:rsid w:val="008D1FFB"/>
    <w:rsid w:val="008D5C45"/>
    <w:rsid w:val="008E2A9A"/>
    <w:rsid w:val="008E6F05"/>
    <w:rsid w:val="00902F7F"/>
    <w:rsid w:val="00906FCF"/>
    <w:rsid w:val="00915D0A"/>
    <w:rsid w:val="00916BF0"/>
    <w:rsid w:val="00921D41"/>
    <w:rsid w:val="00930122"/>
    <w:rsid w:val="009364F2"/>
    <w:rsid w:val="00937B30"/>
    <w:rsid w:val="009422B4"/>
    <w:rsid w:val="00956C1D"/>
    <w:rsid w:val="0096364E"/>
    <w:rsid w:val="00971165"/>
    <w:rsid w:val="00972D57"/>
    <w:rsid w:val="009C209C"/>
    <w:rsid w:val="009C2BA6"/>
    <w:rsid w:val="009D53BC"/>
    <w:rsid w:val="009D68DA"/>
    <w:rsid w:val="009E1829"/>
    <w:rsid w:val="009E4269"/>
    <w:rsid w:val="009F7C09"/>
    <w:rsid w:val="00A13E67"/>
    <w:rsid w:val="00A17C3C"/>
    <w:rsid w:val="00A211BD"/>
    <w:rsid w:val="00A340C8"/>
    <w:rsid w:val="00A35733"/>
    <w:rsid w:val="00A362F7"/>
    <w:rsid w:val="00A42DB0"/>
    <w:rsid w:val="00A6490E"/>
    <w:rsid w:val="00A66445"/>
    <w:rsid w:val="00A8219E"/>
    <w:rsid w:val="00A82825"/>
    <w:rsid w:val="00A920FE"/>
    <w:rsid w:val="00AC0445"/>
    <w:rsid w:val="00AE551F"/>
    <w:rsid w:val="00B005C2"/>
    <w:rsid w:val="00B07F3A"/>
    <w:rsid w:val="00B169DF"/>
    <w:rsid w:val="00B2648D"/>
    <w:rsid w:val="00B40771"/>
    <w:rsid w:val="00B434E7"/>
    <w:rsid w:val="00B465C7"/>
    <w:rsid w:val="00B47788"/>
    <w:rsid w:val="00B51C4B"/>
    <w:rsid w:val="00B53558"/>
    <w:rsid w:val="00B557F2"/>
    <w:rsid w:val="00B5728A"/>
    <w:rsid w:val="00B7052E"/>
    <w:rsid w:val="00B70FD1"/>
    <w:rsid w:val="00B712A8"/>
    <w:rsid w:val="00B73428"/>
    <w:rsid w:val="00B74E45"/>
    <w:rsid w:val="00B7573D"/>
    <w:rsid w:val="00B83CED"/>
    <w:rsid w:val="00B90390"/>
    <w:rsid w:val="00B93B32"/>
    <w:rsid w:val="00B960CA"/>
    <w:rsid w:val="00BA2F71"/>
    <w:rsid w:val="00BB0473"/>
    <w:rsid w:val="00BB19F2"/>
    <w:rsid w:val="00BC5625"/>
    <w:rsid w:val="00BD158B"/>
    <w:rsid w:val="00BF0484"/>
    <w:rsid w:val="00C10920"/>
    <w:rsid w:val="00C14B69"/>
    <w:rsid w:val="00C16347"/>
    <w:rsid w:val="00C349A6"/>
    <w:rsid w:val="00C36B63"/>
    <w:rsid w:val="00C41DAC"/>
    <w:rsid w:val="00C47F7C"/>
    <w:rsid w:val="00C641B8"/>
    <w:rsid w:val="00C658EE"/>
    <w:rsid w:val="00C6770C"/>
    <w:rsid w:val="00C712CB"/>
    <w:rsid w:val="00C73F4F"/>
    <w:rsid w:val="00C80364"/>
    <w:rsid w:val="00CE04D7"/>
    <w:rsid w:val="00CE11EC"/>
    <w:rsid w:val="00D10C43"/>
    <w:rsid w:val="00D15F57"/>
    <w:rsid w:val="00D23425"/>
    <w:rsid w:val="00D32836"/>
    <w:rsid w:val="00D539CD"/>
    <w:rsid w:val="00D557BD"/>
    <w:rsid w:val="00D5614B"/>
    <w:rsid w:val="00D635B5"/>
    <w:rsid w:val="00D66307"/>
    <w:rsid w:val="00D77B76"/>
    <w:rsid w:val="00D8159F"/>
    <w:rsid w:val="00D85AB1"/>
    <w:rsid w:val="00D9344E"/>
    <w:rsid w:val="00D93E8E"/>
    <w:rsid w:val="00DA5FA2"/>
    <w:rsid w:val="00E06265"/>
    <w:rsid w:val="00E21E89"/>
    <w:rsid w:val="00E22836"/>
    <w:rsid w:val="00E32115"/>
    <w:rsid w:val="00E33301"/>
    <w:rsid w:val="00E37A1F"/>
    <w:rsid w:val="00E41A8D"/>
    <w:rsid w:val="00E463BF"/>
    <w:rsid w:val="00E51EE9"/>
    <w:rsid w:val="00E529E3"/>
    <w:rsid w:val="00E67BB9"/>
    <w:rsid w:val="00E71745"/>
    <w:rsid w:val="00E75DE1"/>
    <w:rsid w:val="00E76602"/>
    <w:rsid w:val="00E81D4A"/>
    <w:rsid w:val="00E82B31"/>
    <w:rsid w:val="00E84664"/>
    <w:rsid w:val="00EA7C0A"/>
    <w:rsid w:val="00EC208B"/>
    <w:rsid w:val="00EC780B"/>
    <w:rsid w:val="00EF0B5D"/>
    <w:rsid w:val="00EF6BE3"/>
    <w:rsid w:val="00F00DA8"/>
    <w:rsid w:val="00F079A1"/>
    <w:rsid w:val="00F107E9"/>
    <w:rsid w:val="00F22CFA"/>
    <w:rsid w:val="00F2399E"/>
    <w:rsid w:val="00F26AE0"/>
    <w:rsid w:val="00F33370"/>
    <w:rsid w:val="00F34838"/>
    <w:rsid w:val="00F64893"/>
    <w:rsid w:val="00F67266"/>
    <w:rsid w:val="00F91102"/>
    <w:rsid w:val="00F94BDE"/>
    <w:rsid w:val="00FA325D"/>
    <w:rsid w:val="00FB0213"/>
    <w:rsid w:val="00FC0A53"/>
    <w:rsid w:val="00FC4487"/>
    <w:rsid w:val="00FD1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B3FEC-DEB2-4AAD-A798-8EC35EFF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59F"/>
  </w:style>
  <w:style w:type="paragraph" w:styleId="Heading2">
    <w:name w:val="heading 2"/>
    <w:basedOn w:val="Normal"/>
    <w:next w:val="Normal"/>
    <w:link w:val="Heading2Char"/>
    <w:unhideWhenUsed/>
    <w:qFormat/>
    <w:rsid w:val="00872115"/>
    <w:pPr>
      <w:keepNext/>
      <w:spacing w:before="360" w:after="120" w:line="240" w:lineRule="auto"/>
      <w:jc w:val="both"/>
      <w:outlineLvl w:val="1"/>
    </w:pPr>
    <w:rPr>
      <w:rFonts w:ascii="Arial" w:eastAsia="Times New Roman" w:hAnsi="Arial" w:cs="Times New Roman"/>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A8D"/>
    <w:pPr>
      <w:ind w:left="720"/>
      <w:contextualSpacing/>
    </w:pPr>
  </w:style>
  <w:style w:type="table" w:styleId="TableGrid">
    <w:name w:val="Table Grid"/>
    <w:basedOn w:val="TableNormal"/>
    <w:uiPriority w:val="59"/>
    <w:rsid w:val="004F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F2"/>
    <w:rPr>
      <w:rFonts w:ascii="Tahoma" w:hAnsi="Tahoma" w:cs="Tahoma"/>
      <w:sz w:val="16"/>
      <w:szCs w:val="16"/>
    </w:rPr>
  </w:style>
  <w:style w:type="character" w:styleId="Hyperlink">
    <w:name w:val="Hyperlink"/>
    <w:basedOn w:val="DefaultParagraphFont"/>
    <w:uiPriority w:val="99"/>
    <w:unhideWhenUsed/>
    <w:rsid w:val="007C6A76"/>
    <w:rPr>
      <w:color w:val="0000FF" w:themeColor="hyperlink"/>
      <w:u w:val="single"/>
    </w:rPr>
  </w:style>
  <w:style w:type="paragraph" w:styleId="Header">
    <w:name w:val="header"/>
    <w:basedOn w:val="Normal"/>
    <w:link w:val="HeaderChar"/>
    <w:uiPriority w:val="99"/>
    <w:unhideWhenUsed/>
    <w:rsid w:val="00872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115"/>
  </w:style>
  <w:style w:type="paragraph" w:styleId="Footer">
    <w:name w:val="footer"/>
    <w:basedOn w:val="Normal"/>
    <w:link w:val="FooterChar"/>
    <w:uiPriority w:val="99"/>
    <w:unhideWhenUsed/>
    <w:rsid w:val="00872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115"/>
  </w:style>
  <w:style w:type="paragraph" w:customStyle="1" w:styleId="BottomLine">
    <w:name w:val="Bottom Line"/>
    <w:basedOn w:val="Normal"/>
    <w:rsid w:val="00872115"/>
    <w:pPr>
      <w:pBdr>
        <w:top w:val="single" w:sz="12" w:space="1" w:color="auto"/>
      </w:pBdr>
      <w:spacing w:after="0" w:line="240" w:lineRule="auto"/>
      <w:jc w:val="both"/>
    </w:pPr>
    <w:rPr>
      <w:rFonts w:ascii="Arial" w:eastAsia="Times New Roman" w:hAnsi="Arial" w:cs="Times New Roman"/>
      <w:sz w:val="24"/>
      <w:szCs w:val="20"/>
      <w:lang w:eastAsia="en-AU"/>
    </w:rPr>
  </w:style>
  <w:style w:type="character" w:customStyle="1" w:styleId="Heading2Char">
    <w:name w:val="Heading 2 Char"/>
    <w:basedOn w:val="DefaultParagraphFont"/>
    <w:link w:val="Heading2"/>
    <w:rsid w:val="00872115"/>
    <w:rPr>
      <w:rFonts w:ascii="Arial" w:eastAsia="Times New Roman" w:hAnsi="Arial" w:cs="Times New Roman"/>
      <w:b/>
      <w:bCs/>
      <w:iCs/>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50456-D579-4B09-B1A3-7B3B0DC3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Teritory Government</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Macdonald</dc:creator>
  <cp:lastModifiedBy>Louise Ranger</cp:lastModifiedBy>
  <cp:revision>3</cp:revision>
  <cp:lastPrinted>2018-04-27T02:11:00Z</cp:lastPrinted>
  <dcterms:created xsi:type="dcterms:W3CDTF">2018-04-30T05:12:00Z</dcterms:created>
  <dcterms:modified xsi:type="dcterms:W3CDTF">2018-04-30T05:13:00Z</dcterms:modified>
</cp:coreProperties>
</file>