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EECA" w14:textId="00EAEF54" w:rsidR="004F52E5" w:rsidRPr="00542647" w:rsidRDefault="00E7404D" w:rsidP="00542647">
      <w:pPr>
        <w:ind w:left="-851"/>
        <w:jc w:val="center"/>
        <w:rPr>
          <w:b/>
          <w:sz w:val="36"/>
          <w:szCs w:val="36"/>
        </w:rPr>
      </w:pPr>
      <w:r>
        <w:rPr>
          <w:b/>
          <w:sz w:val="36"/>
          <w:szCs w:val="36"/>
        </w:rPr>
        <w:t xml:space="preserve">Delegate of the </w:t>
      </w:r>
      <w:r w:rsidR="005E3139">
        <w:rPr>
          <w:b/>
          <w:sz w:val="36"/>
          <w:szCs w:val="36"/>
        </w:rPr>
        <w:t>Director of Gaming Machines</w:t>
      </w:r>
    </w:p>
    <w:p w14:paraId="13BB301F" w14:textId="6C79D667" w:rsidR="00E53BBD" w:rsidRPr="00542647" w:rsidRDefault="005E3139" w:rsidP="00A4397C">
      <w:pPr>
        <w:spacing w:after="0"/>
        <w:ind w:left="-851"/>
        <w:jc w:val="center"/>
        <w:rPr>
          <w:b/>
          <w:sz w:val="36"/>
          <w:szCs w:val="36"/>
        </w:rPr>
      </w:pPr>
      <w:r>
        <w:rPr>
          <w:b/>
          <w:sz w:val="36"/>
          <w:szCs w:val="36"/>
        </w:rPr>
        <w:t>Decision Notice</w:t>
      </w:r>
    </w:p>
    <w:p w14:paraId="26FEEA21" w14:textId="77777777" w:rsidR="00542647" w:rsidRPr="00D37E10" w:rsidRDefault="00542647" w:rsidP="00542647">
      <w:pPr>
        <w:pBdr>
          <w:bottom w:val="single" w:sz="4" w:space="1" w:color="auto"/>
        </w:pBdr>
        <w:ind w:left="-851"/>
        <w:jc w:val="center"/>
        <w:rPr>
          <w:b/>
          <w:sz w:val="28"/>
          <w:szCs w:val="28"/>
        </w:rPr>
      </w:pPr>
    </w:p>
    <w:tbl>
      <w:tblPr>
        <w:tblStyle w:val="NTGtable"/>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6707"/>
      </w:tblGrid>
      <w:tr w:rsidR="00542647" w14:paraId="226CFB90" w14:textId="77777777" w:rsidTr="001A75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shd w:val="clear" w:color="auto" w:fill="auto"/>
          </w:tcPr>
          <w:p w14:paraId="1C68AD76" w14:textId="77777777" w:rsidR="00542647" w:rsidRPr="00542647" w:rsidRDefault="00542647" w:rsidP="00542647">
            <w:pPr>
              <w:spacing w:before="40" w:after="40"/>
              <w:rPr>
                <w:szCs w:val="22"/>
              </w:rPr>
            </w:pPr>
            <w:r w:rsidRPr="00542647">
              <w:rPr>
                <w:szCs w:val="22"/>
              </w:rPr>
              <w:t>MATTER:</w:t>
            </w:r>
          </w:p>
        </w:tc>
        <w:tc>
          <w:tcPr>
            <w:tcW w:w="6707" w:type="dxa"/>
            <w:shd w:val="clear" w:color="auto" w:fill="auto"/>
          </w:tcPr>
          <w:p w14:paraId="76D3478E" w14:textId="4D8F5BB0" w:rsidR="00542647" w:rsidRPr="00542647" w:rsidRDefault="00E53BBD" w:rsidP="00542647">
            <w:pPr>
              <w:cnfStyle w:val="100000000000" w:firstRow="1" w:lastRow="0" w:firstColumn="0" w:lastColumn="0" w:oddVBand="0" w:evenVBand="0" w:oddHBand="0" w:evenHBand="0" w:firstRowFirstColumn="0" w:firstRowLastColumn="0" w:lastRowFirstColumn="0" w:lastRowLastColumn="0"/>
              <w:rPr>
                <w:b w:val="0"/>
                <w:szCs w:val="22"/>
              </w:rPr>
            </w:pPr>
            <w:r>
              <w:rPr>
                <w:b w:val="0"/>
                <w:szCs w:val="22"/>
              </w:rPr>
              <w:t xml:space="preserve">APPLICATION FOR </w:t>
            </w:r>
            <w:r w:rsidR="001A75C5">
              <w:rPr>
                <w:b w:val="0"/>
                <w:szCs w:val="22"/>
              </w:rPr>
              <w:t>SUBSTIUTION</w:t>
            </w:r>
            <w:r>
              <w:rPr>
                <w:b w:val="0"/>
                <w:szCs w:val="22"/>
              </w:rPr>
              <w:t xml:space="preserve"> OF A GAMING MACHINE LICENCE</w:t>
            </w:r>
          </w:p>
        </w:tc>
      </w:tr>
      <w:tr w:rsidR="00542647" w:rsidRPr="00542647" w14:paraId="1D57B495" w14:textId="77777777" w:rsidTr="001A7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9FB8938" w14:textId="0FBD555E" w:rsidR="00542647" w:rsidRPr="00542647" w:rsidRDefault="00494405" w:rsidP="00542647">
            <w:pPr>
              <w:rPr>
                <w:b/>
                <w:szCs w:val="36"/>
              </w:rPr>
            </w:pPr>
            <w:r>
              <w:rPr>
                <w:b/>
                <w:szCs w:val="36"/>
              </w:rPr>
              <w:t>LICENSEE</w:t>
            </w:r>
            <w:r w:rsidR="00542647">
              <w:rPr>
                <w:b/>
                <w:szCs w:val="36"/>
              </w:rPr>
              <w:t>:</w:t>
            </w:r>
          </w:p>
        </w:tc>
        <w:tc>
          <w:tcPr>
            <w:tcW w:w="6707" w:type="dxa"/>
          </w:tcPr>
          <w:p w14:paraId="51CC153D" w14:textId="7D8B5BF6" w:rsidR="00542647" w:rsidRPr="00542647" w:rsidRDefault="00A551C9" w:rsidP="00542647">
            <w:pPr>
              <w:cnfStyle w:val="000000100000" w:firstRow="0" w:lastRow="0" w:firstColumn="0" w:lastColumn="0" w:oddVBand="0" w:evenVBand="0" w:oddHBand="1" w:evenHBand="0" w:firstRowFirstColumn="0" w:firstRowLastColumn="0" w:lastRowFirstColumn="0" w:lastRowLastColumn="0"/>
              <w:rPr>
                <w:szCs w:val="36"/>
              </w:rPr>
            </w:pPr>
            <w:r>
              <w:rPr>
                <w:szCs w:val="36"/>
              </w:rPr>
              <w:t>Bluehole Steakhouse Pty Ltd</w:t>
            </w:r>
          </w:p>
        </w:tc>
      </w:tr>
      <w:tr w:rsidR="00542647" w:rsidRPr="00542647" w14:paraId="1FF59100" w14:textId="77777777" w:rsidTr="001A75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8B76F6D" w14:textId="17E81025" w:rsidR="00542647" w:rsidRPr="00542647" w:rsidRDefault="001A75C5" w:rsidP="00542647">
            <w:pPr>
              <w:rPr>
                <w:b/>
                <w:szCs w:val="36"/>
              </w:rPr>
            </w:pPr>
            <w:r>
              <w:rPr>
                <w:b/>
                <w:szCs w:val="36"/>
              </w:rPr>
              <w:t xml:space="preserve">PROPOSED </w:t>
            </w:r>
            <w:r w:rsidR="00494405">
              <w:rPr>
                <w:b/>
                <w:szCs w:val="36"/>
              </w:rPr>
              <w:t>PREMISES</w:t>
            </w:r>
            <w:r w:rsidR="00542647">
              <w:rPr>
                <w:b/>
                <w:szCs w:val="36"/>
              </w:rPr>
              <w:t>:</w:t>
            </w:r>
          </w:p>
        </w:tc>
        <w:tc>
          <w:tcPr>
            <w:tcW w:w="6707" w:type="dxa"/>
            <w:shd w:val="clear" w:color="auto" w:fill="auto"/>
          </w:tcPr>
          <w:p w14:paraId="403A8463" w14:textId="74C82543" w:rsidR="00570561" w:rsidRPr="00542647" w:rsidRDefault="00A551C9" w:rsidP="00542647">
            <w:pPr>
              <w:cnfStyle w:val="000000010000" w:firstRow="0" w:lastRow="0" w:firstColumn="0" w:lastColumn="0" w:oddVBand="0" w:evenVBand="0" w:oddHBand="0" w:evenHBand="1" w:firstRowFirstColumn="0" w:firstRowLastColumn="0" w:lastRowFirstColumn="0" w:lastRowLastColumn="0"/>
              <w:rPr>
                <w:szCs w:val="36"/>
              </w:rPr>
            </w:pPr>
            <w:r>
              <w:rPr>
                <w:szCs w:val="36"/>
              </w:rPr>
              <w:t>28 Mitchell Street</w:t>
            </w:r>
            <w:r w:rsidR="00570561">
              <w:rPr>
                <w:szCs w:val="36"/>
              </w:rPr>
              <w:t>, Darwin NT 0800</w:t>
            </w:r>
          </w:p>
        </w:tc>
      </w:tr>
      <w:tr w:rsidR="00542647" w:rsidRPr="00542647" w14:paraId="4CE9BBBB" w14:textId="77777777" w:rsidTr="001A7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AC867F8" w14:textId="43F6214A" w:rsidR="00542647" w:rsidRPr="00542647" w:rsidRDefault="00494405" w:rsidP="00542647">
            <w:pPr>
              <w:rPr>
                <w:b/>
                <w:szCs w:val="36"/>
              </w:rPr>
            </w:pPr>
            <w:r>
              <w:rPr>
                <w:b/>
                <w:szCs w:val="36"/>
              </w:rPr>
              <w:t>LICENCE</w:t>
            </w:r>
            <w:r w:rsidR="00E53BBD">
              <w:rPr>
                <w:b/>
                <w:szCs w:val="36"/>
              </w:rPr>
              <w:t xml:space="preserve"> NUMBER</w:t>
            </w:r>
            <w:r w:rsidR="00542647">
              <w:rPr>
                <w:b/>
                <w:szCs w:val="36"/>
              </w:rPr>
              <w:t>:</w:t>
            </w:r>
          </w:p>
        </w:tc>
        <w:tc>
          <w:tcPr>
            <w:tcW w:w="6707" w:type="dxa"/>
          </w:tcPr>
          <w:p w14:paraId="65496D0F" w14:textId="36ED7703" w:rsidR="00542647" w:rsidRPr="00542647" w:rsidRDefault="00E53BBD" w:rsidP="00542647">
            <w:pPr>
              <w:cnfStyle w:val="000000100000" w:firstRow="0" w:lastRow="0" w:firstColumn="0" w:lastColumn="0" w:oddVBand="0" w:evenVBand="0" w:oddHBand="1" w:evenHBand="0" w:firstRowFirstColumn="0" w:firstRowLastColumn="0" w:lastRowFirstColumn="0" w:lastRowLastColumn="0"/>
              <w:rPr>
                <w:szCs w:val="36"/>
              </w:rPr>
            </w:pPr>
            <w:r>
              <w:rPr>
                <w:szCs w:val="36"/>
              </w:rPr>
              <w:t>GM</w:t>
            </w:r>
            <w:r w:rsidR="00A551C9">
              <w:rPr>
                <w:szCs w:val="36"/>
              </w:rPr>
              <w:t>239</w:t>
            </w:r>
          </w:p>
        </w:tc>
      </w:tr>
      <w:tr w:rsidR="00542647" w:rsidRPr="00542647" w14:paraId="74950097" w14:textId="77777777" w:rsidTr="001A75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DD3C243" w14:textId="39D37136" w:rsidR="00542647" w:rsidRPr="00542647" w:rsidRDefault="00494405" w:rsidP="00542647">
            <w:pPr>
              <w:rPr>
                <w:b/>
                <w:szCs w:val="36"/>
              </w:rPr>
            </w:pPr>
            <w:r>
              <w:rPr>
                <w:b/>
                <w:szCs w:val="36"/>
              </w:rPr>
              <w:t>LEGISLATION</w:t>
            </w:r>
            <w:r w:rsidR="00542647">
              <w:rPr>
                <w:b/>
                <w:szCs w:val="36"/>
              </w:rPr>
              <w:t>:</w:t>
            </w:r>
          </w:p>
        </w:tc>
        <w:tc>
          <w:tcPr>
            <w:tcW w:w="6707" w:type="dxa"/>
            <w:shd w:val="clear" w:color="auto" w:fill="auto"/>
          </w:tcPr>
          <w:p w14:paraId="7FD04932" w14:textId="1F079477" w:rsidR="00542647" w:rsidRPr="00494405" w:rsidRDefault="00E53BBD" w:rsidP="00542647">
            <w:pPr>
              <w:cnfStyle w:val="000000010000" w:firstRow="0" w:lastRow="0" w:firstColumn="0" w:lastColumn="0" w:oddVBand="0" w:evenVBand="0" w:oddHBand="0" w:evenHBand="1" w:firstRowFirstColumn="0" w:firstRowLastColumn="0" w:lastRowFirstColumn="0" w:lastRowLastColumn="0"/>
              <w:rPr>
                <w:szCs w:val="36"/>
              </w:rPr>
            </w:pPr>
            <w:r>
              <w:rPr>
                <w:szCs w:val="36"/>
              </w:rPr>
              <w:t xml:space="preserve">Section </w:t>
            </w:r>
            <w:r w:rsidR="001A75C5">
              <w:rPr>
                <w:szCs w:val="36"/>
              </w:rPr>
              <w:t>42B of the</w:t>
            </w:r>
            <w:r>
              <w:rPr>
                <w:szCs w:val="36"/>
              </w:rPr>
              <w:t xml:space="preserve"> </w:t>
            </w:r>
            <w:r w:rsidRPr="00E53BBD">
              <w:rPr>
                <w:i/>
                <w:iCs/>
                <w:szCs w:val="36"/>
              </w:rPr>
              <w:t>Gaming Machine Act 1995</w:t>
            </w:r>
          </w:p>
        </w:tc>
      </w:tr>
      <w:tr w:rsidR="00494405" w:rsidRPr="00542647" w14:paraId="1BBD087C" w14:textId="77777777" w:rsidTr="001A7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7A13AD5" w14:textId="22281312" w:rsidR="00494405" w:rsidRDefault="00494405" w:rsidP="00542647">
            <w:pPr>
              <w:rPr>
                <w:b/>
                <w:szCs w:val="36"/>
              </w:rPr>
            </w:pPr>
            <w:r>
              <w:rPr>
                <w:b/>
                <w:szCs w:val="36"/>
              </w:rPr>
              <w:t xml:space="preserve">DATE OF </w:t>
            </w:r>
            <w:r w:rsidR="005E3139">
              <w:rPr>
                <w:b/>
                <w:szCs w:val="36"/>
              </w:rPr>
              <w:t>DECISION</w:t>
            </w:r>
            <w:r>
              <w:rPr>
                <w:b/>
                <w:szCs w:val="36"/>
              </w:rPr>
              <w:t>:</w:t>
            </w:r>
          </w:p>
        </w:tc>
        <w:tc>
          <w:tcPr>
            <w:tcW w:w="6707" w:type="dxa"/>
          </w:tcPr>
          <w:p w14:paraId="3F5ADC2A" w14:textId="4CBC7458" w:rsidR="00494405" w:rsidRPr="00542647" w:rsidRDefault="005E1A53" w:rsidP="00542647">
            <w:pPr>
              <w:cnfStyle w:val="000000100000" w:firstRow="0" w:lastRow="0" w:firstColumn="0" w:lastColumn="0" w:oddVBand="0" w:evenVBand="0" w:oddHBand="1" w:evenHBand="0" w:firstRowFirstColumn="0" w:firstRowLastColumn="0" w:lastRowFirstColumn="0" w:lastRowLastColumn="0"/>
              <w:rPr>
                <w:szCs w:val="36"/>
                <w:highlight w:val="yellow"/>
              </w:rPr>
            </w:pPr>
            <w:r w:rsidRPr="005E1A53">
              <w:rPr>
                <w:szCs w:val="36"/>
              </w:rPr>
              <w:t>13 March 2026</w:t>
            </w:r>
          </w:p>
        </w:tc>
      </w:tr>
    </w:tbl>
    <w:p w14:paraId="1344A3C2" w14:textId="77777777" w:rsidR="00542647" w:rsidRPr="00D37E10" w:rsidRDefault="00542647" w:rsidP="00542647">
      <w:pPr>
        <w:pBdr>
          <w:bottom w:val="single" w:sz="4" w:space="1" w:color="auto"/>
        </w:pBdr>
        <w:ind w:left="-851"/>
        <w:jc w:val="center"/>
        <w:rPr>
          <w:bCs/>
          <w:sz w:val="28"/>
          <w:szCs w:val="28"/>
        </w:rPr>
      </w:pPr>
    </w:p>
    <w:p w14:paraId="21C4421D" w14:textId="5C21263E" w:rsidR="00655AE4" w:rsidRPr="00FD215A" w:rsidRDefault="00655AE4" w:rsidP="006F04A5">
      <w:pPr>
        <w:pStyle w:val="Heading2"/>
        <w:ind w:left="-851"/>
        <w:jc w:val="both"/>
        <w:rPr>
          <w:color w:val="auto"/>
        </w:rPr>
      </w:pPr>
      <w:r w:rsidRPr="00FD215A">
        <w:rPr>
          <w:color w:val="auto"/>
        </w:rPr>
        <w:t>DECISION</w:t>
      </w:r>
    </w:p>
    <w:p w14:paraId="0B168EFD" w14:textId="03C39247" w:rsidR="00655AE4" w:rsidRDefault="00570561" w:rsidP="006F04A5">
      <w:pPr>
        <w:pStyle w:val="ListParagraph"/>
        <w:numPr>
          <w:ilvl w:val="0"/>
          <w:numId w:val="15"/>
        </w:numPr>
        <w:ind w:left="-567"/>
        <w:jc w:val="both"/>
      </w:pPr>
      <w:r>
        <w:t xml:space="preserve">After due consideration of all the issues as outlined in this Decision Notice, as </w:t>
      </w:r>
      <w:r w:rsidR="00726445">
        <w:t xml:space="preserve">Delegate of the </w:t>
      </w:r>
      <w:r>
        <w:t xml:space="preserve">Director of Gaming Machines, I grant the application for substitution of </w:t>
      </w:r>
      <w:r w:rsidR="00D37E10">
        <w:t>g</w:t>
      </w:r>
      <w:r>
        <w:t xml:space="preserve">aming </w:t>
      </w:r>
      <w:r w:rsidR="00D37E10">
        <w:t>m</w:t>
      </w:r>
      <w:r>
        <w:t xml:space="preserve">achine </w:t>
      </w:r>
      <w:r w:rsidR="00D37E10">
        <w:t>l</w:t>
      </w:r>
      <w:r>
        <w:t xml:space="preserve">icence </w:t>
      </w:r>
      <w:r w:rsidR="00D37E10">
        <w:t xml:space="preserve">number </w:t>
      </w:r>
      <w:r>
        <w:t>GM</w:t>
      </w:r>
      <w:r w:rsidR="00A551C9">
        <w:t>239</w:t>
      </w:r>
      <w:r>
        <w:t xml:space="preserve">, from </w:t>
      </w:r>
      <w:r w:rsidR="00A551C9">
        <w:t xml:space="preserve">5 Nurndina Street, Batchelor 0845, </w:t>
      </w:r>
      <w:r>
        <w:t xml:space="preserve">to the new location </w:t>
      </w:r>
      <w:r w:rsidR="00A551C9">
        <w:t>28 Mitchell Street</w:t>
      </w:r>
      <w:r>
        <w:t xml:space="preserve">, Darwin NT 0800, for the applicant </w:t>
      </w:r>
      <w:r w:rsidR="00A551C9">
        <w:t>Bluehole Steakhouse Pty Ltd</w:t>
      </w:r>
      <w:r>
        <w:t>.</w:t>
      </w:r>
    </w:p>
    <w:p w14:paraId="4B4B098A" w14:textId="3360C076" w:rsidR="00542647" w:rsidRPr="00FD215A" w:rsidRDefault="00E53BBD" w:rsidP="006F04A5">
      <w:pPr>
        <w:pStyle w:val="Heading2"/>
        <w:ind w:left="-851"/>
        <w:jc w:val="both"/>
        <w:rPr>
          <w:color w:val="auto"/>
        </w:rPr>
      </w:pPr>
      <w:r w:rsidRPr="00FD215A">
        <w:rPr>
          <w:color w:val="auto"/>
        </w:rPr>
        <w:t>BACKGROUND</w:t>
      </w:r>
    </w:p>
    <w:p w14:paraId="3B0A067C" w14:textId="1EA83537" w:rsidR="00DE6219" w:rsidRDefault="00A551C9" w:rsidP="006F04A5">
      <w:pPr>
        <w:pStyle w:val="ListParagraph"/>
        <w:numPr>
          <w:ilvl w:val="0"/>
          <w:numId w:val="15"/>
        </w:numPr>
        <w:ind w:left="-567"/>
        <w:jc w:val="both"/>
      </w:pPr>
      <w:r>
        <w:t>Bluehole Steakhouse</w:t>
      </w:r>
      <w:r w:rsidR="004C297B">
        <w:t xml:space="preserve"> Pty Ltd</w:t>
      </w:r>
      <w:r w:rsidR="003E252A">
        <w:t xml:space="preserve"> (the </w:t>
      </w:r>
      <w:r w:rsidR="00661234">
        <w:t>Applicant</w:t>
      </w:r>
      <w:r w:rsidR="003E252A">
        <w:t xml:space="preserve">) </w:t>
      </w:r>
      <w:r w:rsidR="003E6E26">
        <w:t>is</w:t>
      </w:r>
      <w:r w:rsidR="003E252A">
        <w:t xml:space="preserve"> the licensee of </w:t>
      </w:r>
      <w:r w:rsidR="00D37E10">
        <w:t>g</w:t>
      </w:r>
      <w:r w:rsidR="003E252A">
        <w:t xml:space="preserve">aming </w:t>
      </w:r>
      <w:r w:rsidR="00D37E10">
        <w:t>m</w:t>
      </w:r>
      <w:r w:rsidR="003E252A">
        <w:t xml:space="preserve">achine </w:t>
      </w:r>
      <w:r w:rsidR="00D37E10">
        <w:t>l</w:t>
      </w:r>
      <w:r w:rsidR="003E252A">
        <w:t xml:space="preserve">icence </w:t>
      </w:r>
      <w:r w:rsidR="00D37E10">
        <w:t>n</w:t>
      </w:r>
      <w:r w:rsidR="003E252A">
        <w:t>umber GM</w:t>
      </w:r>
      <w:r>
        <w:t>239</w:t>
      </w:r>
      <w:r w:rsidR="003E252A">
        <w:t xml:space="preserve"> for premises </w:t>
      </w:r>
      <w:r>
        <w:t xml:space="preserve">formerly </w:t>
      </w:r>
      <w:r w:rsidR="003E252A">
        <w:t xml:space="preserve">known as </w:t>
      </w:r>
      <w:r>
        <w:t>Rum Jungle Tavern</w:t>
      </w:r>
      <w:r w:rsidR="00D071D4">
        <w:t xml:space="preserve">, </w:t>
      </w:r>
      <w:r>
        <w:t>5 Nurdina St</w:t>
      </w:r>
      <w:r w:rsidR="00D32995">
        <w:t>reet</w:t>
      </w:r>
      <w:r w:rsidR="00D071D4">
        <w:t xml:space="preserve">, </w:t>
      </w:r>
      <w:r>
        <w:t>Batchelor</w:t>
      </w:r>
      <w:r w:rsidR="00D071D4">
        <w:t>, NT, 08</w:t>
      </w:r>
      <w:r>
        <w:t>45</w:t>
      </w:r>
      <w:r w:rsidR="00D071D4">
        <w:t>.</w:t>
      </w:r>
      <w:r w:rsidR="005E3139">
        <w:t xml:space="preserve"> </w:t>
      </w:r>
      <w:r w:rsidR="00DE6219">
        <w:t xml:space="preserve">The </w:t>
      </w:r>
      <w:r w:rsidR="00661234">
        <w:t>Applicant</w:t>
      </w:r>
      <w:r w:rsidR="00DE6219">
        <w:t xml:space="preserve"> is approved to operate </w:t>
      </w:r>
      <w:r>
        <w:t>10</w:t>
      </w:r>
      <w:r w:rsidR="00DE6219">
        <w:t xml:space="preserve"> gaming machines.</w:t>
      </w:r>
    </w:p>
    <w:p w14:paraId="1FB5C25B" w14:textId="5AC6905F" w:rsidR="00E53BBD" w:rsidRPr="005E3139" w:rsidRDefault="00E53BBD" w:rsidP="006F04A5">
      <w:pPr>
        <w:pStyle w:val="ListParagraph"/>
        <w:numPr>
          <w:ilvl w:val="0"/>
          <w:numId w:val="15"/>
        </w:numPr>
        <w:ind w:left="-567"/>
        <w:jc w:val="both"/>
      </w:pPr>
      <w:r>
        <w:t xml:space="preserve">On </w:t>
      </w:r>
      <w:r w:rsidR="00A551C9">
        <w:t>25</w:t>
      </w:r>
      <w:r w:rsidR="00D071D4">
        <w:t xml:space="preserve"> November 202</w:t>
      </w:r>
      <w:r w:rsidR="00A551C9">
        <w:t>5</w:t>
      </w:r>
      <w:r w:rsidR="005E3139">
        <w:t xml:space="preserve"> an application </w:t>
      </w:r>
      <w:r w:rsidR="00DF4E49">
        <w:t xml:space="preserve">was lodged </w:t>
      </w:r>
      <w:r w:rsidR="005E3139">
        <w:t>for</w:t>
      </w:r>
      <w:r w:rsidR="00DF4E49">
        <w:t xml:space="preserve"> the</w:t>
      </w:r>
      <w:r w:rsidR="005E3139">
        <w:t xml:space="preserve"> substitution of premises in accordance with the</w:t>
      </w:r>
      <w:r w:rsidR="00D071D4">
        <w:t xml:space="preserve"> </w:t>
      </w:r>
      <w:r w:rsidR="00D071D4" w:rsidRPr="00D071D4">
        <w:rPr>
          <w:i/>
          <w:iCs w:val="0"/>
        </w:rPr>
        <w:t>Gaming Machine</w:t>
      </w:r>
      <w:r w:rsidR="005E3139" w:rsidRPr="00D071D4">
        <w:rPr>
          <w:i/>
          <w:iCs w:val="0"/>
        </w:rPr>
        <w:t xml:space="preserve"> Act</w:t>
      </w:r>
      <w:r w:rsidR="00D071D4" w:rsidRPr="00D071D4">
        <w:rPr>
          <w:i/>
          <w:iCs w:val="0"/>
        </w:rPr>
        <w:t xml:space="preserve"> 1995 </w:t>
      </w:r>
      <w:r w:rsidR="00D071D4">
        <w:t>(Act).</w:t>
      </w:r>
      <w:r w:rsidR="00980A8D">
        <w:t xml:space="preserve"> There is no prescribed fee for such an application.</w:t>
      </w:r>
    </w:p>
    <w:p w14:paraId="763F7641" w14:textId="304F2A93" w:rsidR="00B519CB" w:rsidRPr="001A24A4" w:rsidRDefault="005E3139" w:rsidP="006F04A5">
      <w:pPr>
        <w:pStyle w:val="ListParagraph"/>
        <w:numPr>
          <w:ilvl w:val="0"/>
          <w:numId w:val="15"/>
        </w:numPr>
        <w:ind w:left="-567"/>
        <w:jc w:val="both"/>
      </w:pPr>
      <w:r w:rsidRPr="005E3139">
        <w:t xml:space="preserve">Attached with the application was a concurrent application for a substitution of the </w:t>
      </w:r>
      <w:r w:rsidR="006602F4">
        <w:t>l</w:t>
      </w:r>
      <w:r w:rsidRPr="005E3139">
        <w:t xml:space="preserve">iquor </w:t>
      </w:r>
      <w:r w:rsidR="006602F4">
        <w:t>l</w:t>
      </w:r>
      <w:r w:rsidRPr="005E3139">
        <w:t xml:space="preserve">icence held by the </w:t>
      </w:r>
      <w:r w:rsidR="00661234">
        <w:t>Applicant</w:t>
      </w:r>
      <w:r w:rsidRPr="005E3139">
        <w:t xml:space="preserve">. The application made pursuant to the </w:t>
      </w:r>
      <w:r w:rsidRPr="005E3139">
        <w:rPr>
          <w:i/>
          <w:iCs w:val="0"/>
        </w:rPr>
        <w:t>Liquor Act 2019</w:t>
      </w:r>
      <w:r w:rsidRPr="005E3139">
        <w:t xml:space="preserve"> has been determined by the Liquor Commission </w:t>
      </w:r>
      <w:r w:rsidR="006602F4">
        <w:t>(Commission) with approval granted</w:t>
      </w:r>
      <w:r w:rsidR="006602F4" w:rsidRPr="005E3139">
        <w:t xml:space="preserve"> on </w:t>
      </w:r>
      <w:r w:rsidR="004F03CE" w:rsidRPr="004F03CE">
        <w:t>26</w:t>
      </w:r>
      <w:r w:rsidR="006602F4" w:rsidRPr="004F03CE">
        <w:t xml:space="preserve"> February 202</w:t>
      </w:r>
      <w:r w:rsidR="004F03CE" w:rsidRPr="004F03CE">
        <w:t>6</w:t>
      </w:r>
      <w:r w:rsidR="006602F4" w:rsidRPr="004F03CE">
        <w:t>.</w:t>
      </w:r>
    </w:p>
    <w:p w14:paraId="5EBCB0BA" w14:textId="7714B3B1" w:rsidR="00D071D4" w:rsidRPr="001A24A4" w:rsidRDefault="005E3139" w:rsidP="006F04A5">
      <w:pPr>
        <w:pStyle w:val="ListParagraph"/>
        <w:numPr>
          <w:ilvl w:val="0"/>
          <w:numId w:val="15"/>
        </w:numPr>
        <w:ind w:left="-567"/>
        <w:jc w:val="both"/>
      </w:pPr>
      <w:r w:rsidRPr="005E3139">
        <w:t xml:space="preserve">With the liquor licence application determined, </w:t>
      </w:r>
      <w:r w:rsidR="001A24A4">
        <w:t>the application for substitution of gaming machine licence</w:t>
      </w:r>
      <w:r w:rsidRPr="005E3139">
        <w:t xml:space="preserve"> can now be considered by the Director of Gaming Machines (the Director).</w:t>
      </w:r>
    </w:p>
    <w:p w14:paraId="2BBBC9E3" w14:textId="23D0C20E" w:rsidR="005E3139" w:rsidRPr="00D37E10" w:rsidRDefault="005E3139" w:rsidP="006F04A5">
      <w:pPr>
        <w:pStyle w:val="Heading2"/>
        <w:ind w:left="-851"/>
        <w:jc w:val="both"/>
        <w:rPr>
          <w:color w:val="1F1F5F" w:themeColor="text1"/>
        </w:rPr>
      </w:pPr>
      <w:r w:rsidRPr="005E3139">
        <w:t xml:space="preserve"> </w:t>
      </w:r>
      <w:r w:rsidR="00D071D4" w:rsidRPr="003142CF">
        <w:rPr>
          <w:color w:val="auto"/>
        </w:rPr>
        <w:t>APPLICATION</w:t>
      </w:r>
    </w:p>
    <w:p w14:paraId="0551BC91" w14:textId="68211048" w:rsidR="005E3139" w:rsidRDefault="00D071D4" w:rsidP="006F04A5">
      <w:pPr>
        <w:pStyle w:val="ListParagraph"/>
        <w:numPr>
          <w:ilvl w:val="0"/>
          <w:numId w:val="15"/>
        </w:numPr>
        <w:ind w:left="-567"/>
        <w:jc w:val="both"/>
      </w:pPr>
      <w:r>
        <w:t xml:space="preserve">This application is to substitute the gaming machine licence from </w:t>
      </w:r>
      <w:r w:rsidR="00D32995">
        <w:t>5 Nurdina Street</w:t>
      </w:r>
      <w:r>
        <w:t xml:space="preserve">, </w:t>
      </w:r>
      <w:r w:rsidR="00D32995">
        <w:t>Batchelor NT 0845</w:t>
      </w:r>
      <w:r>
        <w:t xml:space="preserve"> to </w:t>
      </w:r>
      <w:r w:rsidR="00D32995">
        <w:t>28 Mitchell Street</w:t>
      </w:r>
      <w:r>
        <w:t xml:space="preserve">, Darwin. </w:t>
      </w:r>
    </w:p>
    <w:p w14:paraId="5D4ED9F8" w14:textId="79CD489B" w:rsidR="004C297B" w:rsidRDefault="004C297B" w:rsidP="006F04A5">
      <w:pPr>
        <w:pStyle w:val="ListParagraph"/>
        <w:numPr>
          <w:ilvl w:val="0"/>
          <w:numId w:val="15"/>
        </w:numPr>
        <w:ind w:left="-567"/>
        <w:jc w:val="both"/>
      </w:pPr>
      <w:r>
        <w:t>The application was made by Mr Arminio Niceforo. Mr Niceforo, through another entity</w:t>
      </w:r>
      <w:r w:rsidR="00377E00">
        <w:t>,</w:t>
      </w:r>
      <w:r>
        <w:t xml:space="preserve"> is the owner of the proposed premises which includes two tenancies, one of which is vacant. The other tenancy is currently licensed and operates as Bub &amp; Sool, with Liquor Licence 80807967. </w:t>
      </w:r>
    </w:p>
    <w:p w14:paraId="4D879F17" w14:textId="4DFC5A22" w:rsidR="00F030B5" w:rsidRPr="0070351C" w:rsidRDefault="0070351C" w:rsidP="006F04A5">
      <w:pPr>
        <w:pStyle w:val="ListParagraph"/>
        <w:numPr>
          <w:ilvl w:val="0"/>
          <w:numId w:val="15"/>
        </w:numPr>
        <w:ind w:left="-567"/>
        <w:jc w:val="both"/>
      </w:pPr>
      <w:r w:rsidRPr="0070351C">
        <w:t>T</w:t>
      </w:r>
      <w:r w:rsidR="00F030B5" w:rsidRPr="0070351C">
        <w:t xml:space="preserve">he </w:t>
      </w:r>
      <w:r w:rsidR="00661234">
        <w:t>Applicant</w:t>
      </w:r>
      <w:r w:rsidR="00F030B5" w:rsidRPr="0070351C">
        <w:t xml:space="preserve"> </w:t>
      </w:r>
      <w:r w:rsidR="000F3951" w:rsidRPr="0070351C">
        <w:t>provided the following</w:t>
      </w:r>
      <w:r w:rsidR="00F030B5" w:rsidRPr="0070351C">
        <w:t xml:space="preserve"> information </w:t>
      </w:r>
      <w:r w:rsidR="000F3951" w:rsidRPr="0070351C">
        <w:t>in support of their application</w:t>
      </w:r>
      <w:r w:rsidR="00F31B6E" w:rsidRPr="0070351C">
        <w:t>:</w:t>
      </w:r>
    </w:p>
    <w:p w14:paraId="149DB519" w14:textId="383A0200" w:rsidR="00F030B5" w:rsidRPr="0070351C" w:rsidRDefault="00BE26E7" w:rsidP="006F04A5">
      <w:pPr>
        <w:pStyle w:val="ListParagraph"/>
        <w:numPr>
          <w:ilvl w:val="1"/>
          <w:numId w:val="15"/>
        </w:numPr>
        <w:ind w:left="0"/>
        <w:jc w:val="both"/>
      </w:pPr>
      <w:r w:rsidRPr="0070351C">
        <w:lastRenderedPageBreak/>
        <w:t>Section 42C(1)(a)</w:t>
      </w:r>
      <w:r w:rsidR="0070351C">
        <w:t xml:space="preserve"> -</w:t>
      </w:r>
      <w:r w:rsidR="00C73F94" w:rsidRPr="0070351C">
        <w:t xml:space="preserve"> </w:t>
      </w:r>
      <w:r w:rsidR="0070351C" w:rsidRPr="0070351C">
        <w:t xml:space="preserve">A copy of the </w:t>
      </w:r>
      <w:r w:rsidR="00980A8D">
        <w:t xml:space="preserve">substitution </w:t>
      </w:r>
      <w:r w:rsidR="00466131">
        <w:t xml:space="preserve">application under the </w:t>
      </w:r>
      <w:r w:rsidR="00466131" w:rsidRPr="00466131">
        <w:rPr>
          <w:i/>
          <w:iCs w:val="0"/>
        </w:rPr>
        <w:t>Liquor Act 2019</w:t>
      </w:r>
      <w:r w:rsidR="006602F4">
        <w:t>;</w:t>
      </w:r>
    </w:p>
    <w:p w14:paraId="6CA2D6ED" w14:textId="46C6FBDA" w:rsidR="00786460" w:rsidRPr="0037452E" w:rsidRDefault="00786460" w:rsidP="006F04A5">
      <w:pPr>
        <w:pStyle w:val="ListParagraph"/>
        <w:numPr>
          <w:ilvl w:val="1"/>
          <w:numId w:val="15"/>
        </w:numPr>
        <w:ind w:left="0"/>
        <w:jc w:val="both"/>
      </w:pPr>
      <w:r w:rsidRPr="0037452E">
        <w:t>Section 42C(1)(b)</w:t>
      </w:r>
      <w:r w:rsidR="001903D0" w:rsidRPr="0037452E">
        <w:t xml:space="preserve"> </w:t>
      </w:r>
      <w:r w:rsidRPr="0037452E">
        <w:t>–</w:t>
      </w:r>
      <w:r w:rsidR="001903D0" w:rsidRPr="0037452E">
        <w:t xml:space="preserve"> </w:t>
      </w:r>
      <w:r w:rsidR="00466131" w:rsidRPr="0037452E">
        <w:t>I</w:t>
      </w:r>
      <w:r w:rsidRPr="0037452E">
        <w:t>nformation in accordance with section 24(3)(d)(iii), being a</w:t>
      </w:r>
      <w:r w:rsidR="00466131" w:rsidRPr="0037452E">
        <w:t xml:space="preserve"> copy of the resolution or minute of proceedings of the governing body of the </w:t>
      </w:r>
      <w:r w:rsidRPr="0037452E">
        <w:t>body corporate</w:t>
      </w:r>
      <w:r w:rsidR="006602F4" w:rsidRPr="0037452E">
        <w:t>;</w:t>
      </w:r>
    </w:p>
    <w:p w14:paraId="52A2B712" w14:textId="31D8DCD3" w:rsidR="00181579" w:rsidRPr="001774AE" w:rsidRDefault="00181579" w:rsidP="006F04A5">
      <w:pPr>
        <w:pStyle w:val="ListParagraph"/>
        <w:numPr>
          <w:ilvl w:val="1"/>
          <w:numId w:val="15"/>
        </w:numPr>
        <w:ind w:left="0"/>
        <w:jc w:val="both"/>
      </w:pPr>
      <w:r w:rsidRPr="001774AE">
        <w:t xml:space="preserve">Section 42C(1)(b) – Information in accordance with 24(3)(e), </w:t>
      </w:r>
      <w:r w:rsidR="001774AE" w:rsidRPr="001774AE">
        <w:t>was not required as the Applicant is not a club;</w:t>
      </w:r>
    </w:p>
    <w:p w14:paraId="3FEFBA16" w14:textId="737D7B01" w:rsidR="0070351C" w:rsidRPr="0046155A" w:rsidRDefault="0070351C" w:rsidP="006F04A5">
      <w:pPr>
        <w:pStyle w:val="ListParagraph"/>
        <w:numPr>
          <w:ilvl w:val="1"/>
          <w:numId w:val="15"/>
        </w:numPr>
        <w:ind w:left="0"/>
        <w:jc w:val="both"/>
      </w:pPr>
      <w:r w:rsidRPr="0046155A">
        <w:t>Section 42C(1)(b) – Information in accordance with Section 24(3)(g)</w:t>
      </w:r>
      <w:r w:rsidR="00466131" w:rsidRPr="0046155A">
        <w:t>, including plans</w:t>
      </w:r>
      <w:r w:rsidR="006602F4" w:rsidRPr="0046155A">
        <w:t xml:space="preserve"> for the new premises;</w:t>
      </w:r>
    </w:p>
    <w:p w14:paraId="087F92E6" w14:textId="01FDEE7E" w:rsidR="0070351C" w:rsidRPr="001774AE" w:rsidRDefault="0070351C" w:rsidP="006F04A5">
      <w:pPr>
        <w:pStyle w:val="ListParagraph"/>
        <w:numPr>
          <w:ilvl w:val="1"/>
          <w:numId w:val="15"/>
        </w:numPr>
        <w:ind w:left="0"/>
        <w:jc w:val="both"/>
      </w:pPr>
      <w:r w:rsidRPr="001774AE">
        <w:t>Section 42C(1)(b) – Information in accordance with Section 24(3)(j)</w:t>
      </w:r>
      <w:r w:rsidR="00466131" w:rsidRPr="001774AE">
        <w:t xml:space="preserve"> regarding </w:t>
      </w:r>
      <w:r w:rsidRPr="001774AE">
        <w:t>ownership of the premises</w:t>
      </w:r>
      <w:r w:rsidR="006602F4" w:rsidRPr="001774AE">
        <w:t>;</w:t>
      </w:r>
    </w:p>
    <w:p w14:paraId="63862D14" w14:textId="402B0EC7" w:rsidR="0070351C" w:rsidRPr="006472E5" w:rsidRDefault="0070351C" w:rsidP="006F04A5">
      <w:pPr>
        <w:pStyle w:val="ListParagraph"/>
        <w:numPr>
          <w:ilvl w:val="1"/>
          <w:numId w:val="15"/>
        </w:numPr>
        <w:ind w:left="0"/>
        <w:jc w:val="both"/>
      </w:pPr>
      <w:r w:rsidRPr="006472E5">
        <w:t xml:space="preserve">Section 42C(1)(b) – Information in accordance with Section 24(3)(ka) pertaining to </w:t>
      </w:r>
      <w:r w:rsidR="00466131" w:rsidRPr="006472E5">
        <w:t xml:space="preserve">monitoring </w:t>
      </w:r>
      <w:r w:rsidRPr="006472E5">
        <w:t>arrangements for gaming machines</w:t>
      </w:r>
      <w:r w:rsidR="006602F4" w:rsidRPr="006472E5">
        <w:t>;</w:t>
      </w:r>
    </w:p>
    <w:p w14:paraId="2460226D" w14:textId="5E24DC25" w:rsidR="00251F73" w:rsidRPr="001774AE" w:rsidRDefault="00251F73" w:rsidP="006F04A5">
      <w:pPr>
        <w:pStyle w:val="ListParagraph"/>
        <w:numPr>
          <w:ilvl w:val="1"/>
          <w:numId w:val="15"/>
        </w:numPr>
        <w:ind w:left="0"/>
        <w:jc w:val="both"/>
      </w:pPr>
      <w:r w:rsidRPr="001774AE">
        <w:t xml:space="preserve">Section 42C(1)(b) – Information in accordance with Section 24(3)(ma) </w:t>
      </w:r>
      <w:r w:rsidR="001774AE" w:rsidRPr="001774AE">
        <w:t>was not required as the applicant is not a club;</w:t>
      </w:r>
    </w:p>
    <w:p w14:paraId="60CB126D" w14:textId="0374C1CF" w:rsidR="00251F73" w:rsidRPr="006472E5" w:rsidRDefault="0070351C" w:rsidP="00251F73">
      <w:pPr>
        <w:pStyle w:val="ListParagraph"/>
        <w:numPr>
          <w:ilvl w:val="1"/>
          <w:numId w:val="15"/>
        </w:numPr>
        <w:ind w:left="0"/>
        <w:jc w:val="both"/>
      </w:pPr>
      <w:r w:rsidRPr="006472E5">
        <w:t>Section 42C(1)(c) – A statutory declaration in accordance with Section 24(3)(h)</w:t>
      </w:r>
      <w:r w:rsidR="006602F4" w:rsidRPr="006472E5">
        <w:t>;</w:t>
      </w:r>
    </w:p>
    <w:p w14:paraId="72ABC5A5" w14:textId="016BCE83" w:rsidR="0070351C" w:rsidRPr="001774AE" w:rsidRDefault="0070351C" w:rsidP="006F04A5">
      <w:pPr>
        <w:pStyle w:val="ListParagraph"/>
        <w:numPr>
          <w:ilvl w:val="1"/>
          <w:numId w:val="15"/>
        </w:numPr>
        <w:ind w:left="0"/>
        <w:jc w:val="both"/>
      </w:pPr>
      <w:r w:rsidRPr="001774AE">
        <w:t xml:space="preserve">Section 42C(1)(d) – A statement of the number of gaming machines that the </w:t>
      </w:r>
      <w:r w:rsidR="00661234" w:rsidRPr="001774AE">
        <w:t>Applicant</w:t>
      </w:r>
      <w:r w:rsidRPr="001774AE">
        <w:t xml:space="preserve"> seeks to have authorised for use under the licence at the new premises</w:t>
      </w:r>
      <w:r w:rsidR="001A24A4" w:rsidRPr="001774AE">
        <w:t xml:space="preserve">, being </w:t>
      </w:r>
      <w:r w:rsidR="001774AE">
        <w:t>10</w:t>
      </w:r>
      <w:r w:rsidR="006602F4" w:rsidRPr="001774AE">
        <w:t>;</w:t>
      </w:r>
    </w:p>
    <w:p w14:paraId="24711C4A" w14:textId="398055DE" w:rsidR="00753886" w:rsidRPr="001774AE" w:rsidRDefault="00753886" w:rsidP="006F04A5">
      <w:pPr>
        <w:pStyle w:val="ListParagraph"/>
        <w:numPr>
          <w:ilvl w:val="1"/>
          <w:numId w:val="15"/>
        </w:numPr>
        <w:ind w:left="0"/>
        <w:jc w:val="both"/>
      </w:pPr>
      <w:r w:rsidRPr="001774AE">
        <w:t>Section 42C(1)(e) –</w:t>
      </w:r>
      <w:r w:rsidR="001774AE" w:rsidRPr="001774AE">
        <w:t xml:space="preserve"> A</w:t>
      </w:r>
      <w:r w:rsidR="00466131" w:rsidRPr="001774AE">
        <w:t xml:space="preserve"> </w:t>
      </w:r>
      <w:r w:rsidRPr="001774AE">
        <w:t>C</w:t>
      </w:r>
      <w:r w:rsidR="00786460" w:rsidRPr="001774AE">
        <w:t>ommunity Impact Analysis (CIA)</w:t>
      </w:r>
      <w:r w:rsidR="006602F4" w:rsidRPr="001774AE">
        <w:t>;</w:t>
      </w:r>
    </w:p>
    <w:p w14:paraId="5868471A" w14:textId="45183DA4" w:rsidR="00753886" w:rsidRPr="001774AE" w:rsidRDefault="00753886" w:rsidP="006F04A5">
      <w:pPr>
        <w:pStyle w:val="ListParagraph"/>
        <w:numPr>
          <w:ilvl w:val="1"/>
          <w:numId w:val="15"/>
        </w:numPr>
        <w:ind w:left="0"/>
        <w:jc w:val="both"/>
      </w:pPr>
      <w:r w:rsidRPr="001774AE">
        <w:t>Section 42C(1)(f) – Details of the applicant’s problem gambling risk management and responsible gambling strategies for the new venue</w:t>
      </w:r>
      <w:r w:rsidR="006602F4" w:rsidRPr="001774AE">
        <w:t>; and</w:t>
      </w:r>
    </w:p>
    <w:p w14:paraId="5F655678" w14:textId="0C7D6C4C" w:rsidR="00A116FB" w:rsidRPr="001774AE" w:rsidRDefault="00753886" w:rsidP="006F04A5">
      <w:pPr>
        <w:pStyle w:val="ListParagraph"/>
        <w:numPr>
          <w:ilvl w:val="1"/>
          <w:numId w:val="15"/>
        </w:numPr>
        <w:ind w:left="0"/>
        <w:jc w:val="both"/>
      </w:pPr>
      <w:r w:rsidRPr="001774AE">
        <w:t xml:space="preserve">Section 42C(1)(g) – </w:t>
      </w:r>
      <w:r w:rsidR="006602F4" w:rsidRPr="001774AE">
        <w:t>No</w:t>
      </w:r>
      <w:r w:rsidRPr="001774AE">
        <w:t xml:space="preserve"> </w:t>
      </w:r>
      <w:r w:rsidR="00466131" w:rsidRPr="001774AE">
        <w:t xml:space="preserve">additional information </w:t>
      </w:r>
      <w:r w:rsidR="006602F4" w:rsidRPr="001774AE">
        <w:t xml:space="preserve">was </w:t>
      </w:r>
      <w:r w:rsidR="00466131" w:rsidRPr="001774AE">
        <w:t>requested by the Director.</w:t>
      </w:r>
    </w:p>
    <w:p w14:paraId="0881D1A9" w14:textId="48AA13E8" w:rsidR="00466131" w:rsidRDefault="00466131" w:rsidP="006F04A5">
      <w:pPr>
        <w:pStyle w:val="Heading2"/>
        <w:ind w:left="-851"/>
        <w:jc w:val="both"/>
        <w:rPr>
          <w:color w:val="auto"/>
        </w:rPr>
      </w:pPr>
      <w:r>
        <w:rPr>
          <w:color w:val="auto"/>
        </w:rPr>
        <w:t>PUBLICATION</w:t>
      </w:r>
    </w:p>
    <w:p w14:paraId="5A52E60D" w14:textId="175DC57F" w:rsidR="00466131" w:rsidRPr="003075F3" w:rsidRDefault="00466131" w:rsidP="006F04A5">
      <w:pPr>
        <w:pStyle w:val="ListParagraph"/>
        <w:numPr>
          <w:ilvl w:val="0"/>
          <w:numId w:val="15"/>
        </w:numPr>
        <w:ind w:left="-567"/>
        <w:jc w:val="both"/>
      </w:pPr>
      <w:r w:rsidRPr="003075F3">
        <w:t xml:space="preserve">Public notices of the application were published in the </w:t>
      </w:r>
      <w:r w:rsidRPr="00BD742D">
        <w:t xml:space="preserve">NT News on </w:t>
      </w:r>
      <w:r w:rsidR="00BD742D" w:rsidRPr="00BD742D">
        <w:t>29</w:t>
      </w:r>
      <w:r w:rsidR="007F5B37" w:rsidRPr="00BD742D">
        <w:t xml:space="preserve"> November 202</w:t>
      </w:r>
      <w:r w:rsidR="00BD742D" w:rsidRPr="00BD742D">
        <w:t>5</w:t>
      </w:r>
      <w:r w:rsidRPr="00BD742D">
        <w:t xml:space="preserve">, </w:t>
      </w:r>
      <w:r w:rsidRPr="003075F3">
        <w:t xml:space="preserve">concurrent with the liquor substitution application. </w:t>
      </w:r>
      <w:r w:rsidR="0043450D" w:rsidRPr="003075F3">
        <w:t xml:space="preserve">Those seeking to make a submission were advised that the 30 day notice period expires on </w:t>
      </w:r>
      <w:r w:rsidR="003075F3" w:rsidRPr="003075F3">
        <w:t>Monday 29 December 2025</w:t>
      </w:r>
      <w:r w:rsidR="0043450D" w:rsidRPr="003075F3">
        <w:t>.</w:t>
      </w:r>
    </w:p>
    <w:p w14:paraId="13EDB829" w14:textId="66AEC2EC" w:rsidR="008D06CD" w:rsidRDefault="008D06CD" w:rsidP="006F04A5">
      <w:pPr>
        <w:pStyle w:val="Heading2"/>
        <w:ind w:left="-851"/>
        <w:jc w:val="both"/>
        <w:rPr>
          <w:color w:val="auto"/>
        </w:rPr>
      </w:pPr>
      <w:r>
        <w:rPr>
          <w:color w:val="auto"/>
        </w:rPr>
        <w:t>SUBMISSIONS</w:t>
      </w:r>
    </w:p>
    <w:p w14:paraId="09ADDEA2" w14:textId="368047AA" w:rsidR="008D06CD" w:rsidRPr="003075F3" w:rsidRDefault="008D06CD" w:rsidP="006F04A5">
      <w:pPr>
        <w:pStyle w:val="ListParagraph"/>
        <w:numPr>
          <w:ilvl w:val="0"/>
          <w:numId w:val="15"/>
        </w:numPr>
        <w:ind w:left="-567"/>
        <w:jc w:val="both"/>
      </w:pPr>
      <w:r w:rsidRPr="003075F3">
        <w:t xml:space="preserve">Being concurrent applications, persons submitted objections per the </w:t>
      </w:r>
      <w:r w:rsidRPr="003075F3">
        <w:rPr>
          <w:i/>
          <w:iCs w:val="0"/>
        </w:rPr>
        <w:t>Liquor Act 2019</w:t>
      </w:r>
      <w:r w:rsidRPr="003075F3">
        <w:t>, or submissions</w:t>
      </w:r>
      <w:r w:rsidR="00676C0C" w:rsidRPr="003075F3">
        <w:t xml:space="preserve"> under</w:t>
      </w:r>
      <w:r w:rsidRPr="003075F3">
        <w:t xml:space="preserve"> the </w:t>
      </w:r>
      <w:r w:rsidRPr="003075F3">
        <w:rPr>
          <w:i/>
          <w:iCs w:val="0"/>
        </w:rPr>
        <w:t>Gaming Machine Act 1995</w:t>
      </w:r>
      <w:r w:rsidR="006602F4" w:rsidRPr="003075F3">
        <w:t>.</w:t>
      </w:r>
    </w:p>
    <w:p w14:paraId="263A896A" w14:textId="18BA7B8C" w:rsidR="00D37896" w:rsidRPr="003075F3" w:rsidRDefault="00D37896" w:rsidP="006F04A5">
      <w:pPr>
        <w:pStyle w:val="ListParagraph"/>
        <w:numPr>
          <w:ilvl w:val="0"/>
          <w:numId w:val="15"/>
        </w:numPr>
        <w:ind w:left="-567"/>
        <w:jc w:val="both"/>
      </w:pPr>
      <w:r w:rsidRPr="003075F3">
        <w:t xml:space="preserve">The Act requires a submission </w:t>
      </w:r>
      <w:r w:rsidR="00E63E5C" w:rsidRPr="003075F3">
        <w:t xml:space="preserve">can be lodged </w:t>
      </w:r>
      <w:r w:rsidRPr="003075F3">
        <w:t>on the</w:t>
      </w:r>
      <w:r w:rsidR="001A24A4" w:rsidRPr="003075F3">
        <w:t xml:space="preserve"> application for substitution of gaming machine licence</w:t>
      </w:r>
      <w:r w:rsidRPr="003075F3">
        <w:t>, where that submission could be either positive or negative. The Act does not outline a requirement for any submission received to be sent to the Applicant for comment or response.</w:t>
      </w:r>
    </w:p>
    <w:p w14:paraId="7E3F31B4" w14:textId="58921B34" w:rsidR="00D37896" w:rsidRDefault="00D37896" w:rsidP="006F04A5">
      <w:pPr>
        <w:pStyle w:val="ListParagraph"/>
        <w:numPr>
          <w:ilvl w:val="0"/>
          <w:numId w:val="15"/>
        </w:numPr>
        <w:ind w:left="-567"/>
        <w:jc w:val="both"/>
      </w:pPr>
      <w:r w:rsidRPr="003075F3">
        <w:t xml:space="preserve">As a result of publication of the joint applications, </w:t>
      </w:r>
      <w:r w:rsidR="003075F3" w:rsidRPr="003075F3">
        <w:t>no</w:t>
      </w:r>
      <w:r w:rsidR="000A4CED" w:rsidRPr="003075F3">
        <w:t xml:space="preserve"> </w:t>
      </w:r>
      <w:r w:rsidRPr="003075F3">
        <w:t>submissions were received</w:t>
      </w:r>
      <w:r w:rsidR="00E63E5C" w:rsidRPr="003075F3">
        <w:t xml:space="preserve"> for the gaming application</w:t>
      </w:r>
      <w:r w:rsidR="003075F3" w:rsidRPr="003075F3">
        <w:t>.</w:t>
      </w:r>
    </w:p>
    <w:p w14:paraId="09E19150" w14:textId="2D58DE50" w:rsidR="006472E5" w:rsidRPr="003075F3" w:rsidRDefault="006472E5" w:rsidP="006F04A5">
      <w:pPr>
        <w:pStyle w:val="ListParagraph"/>
        <w:numPr>
          <w:ilvl w:val="0"/>
          <w:numId w:val="15"/>
        </w:numPr>
        <w:ind w:left="-567"/>
        <w:jc w:val="both"/>
      </w:pPr>
      <w:r>
        <w:t xml:space="preserve">Separately, it is noted that there were no objections received from the public in regard to the liquor licence application. </w:t>
      </w:r>
    </w:p>
    <w:p w14:paraId="522578BC" w14:textId="624C73DD" w:rsidR="00717C5E" w:rsidRPr="003142CF" w:rsidRDefault="00717C5E" w:rsidP="006F04A5">
      <w:pPr>
        <w:pStyle w:val="Heading2"/>
        <w:ind w:left="-851"/>
        <w:jc w:val="both"/>
        <w:rPr>
          <w:color w:val="auto"/>
        </w:rPr>
      </w:pPr>
      <w:r w:rsidRPr="003142CF">
        <w:rPr>
          <w:color w:val="auto"/>
        </w:rPr>
        <w:t>STAKEHOLDER ENGAGEMENT</w:t>
      </w:r>
    </w:p>
    <w:p w14:paraId="2989D5D2" w14:textId="2A572C33" w:rsidR="00717C5E" w:rsidRPr="003E6E26" w:rsidRDefault="00717C5E" w:rsidP="006F04A5">
      <w:pPr>
        <w:pStyle w:val="ListParagraph"/>
        <w:numPr>
          <w:ilvl w:val="0"/>
          <w:numId w:val="15"/>
        </w:numPr>
        <w:ind w:left="-567"/>
        <w:jc w:val="both"/>
      </w:pPr>
      <w:r w:rsidRPr="004570CC">
        <w:t>The Applicant conducted its own neighbourhood consultations by way of an online and letterbox survey</w:t>
      </w:r>
      <w:r w:rsidR="004C07C0">
        <w:t>, delivering 2,900 flyers.</w:t>
      </w:r>
      <w:r w:rsidRPr="004570CC">
        <w:t xml:space="preserve"> The consultation addressed both the liquor and gaming licence and asked </w:t>
      </w:r>
      <w:r w:rsidR="00D77479">
        <w:t xml:space="preserve">separately </w:t>
      </w:r>
      <w:r w:rsidRPr="004570CC">
        <w:t xml:space="preserve">whether the </w:t>
      </w:r>
      <w:r w:rsidR="004570CC" w:rsidRPr="004570CC">
        <w:t xml:space="preserve">new Liquor Licence with a Public Bar Authority, </w:t>
      </w:r>
      <w:r w:rsidR="00DB3129">
        <w:t>and</w:t>
      </w:r>
      <w:r w:rsidR="004570CC" w:rsidRPr="004570CC">
        <w:t xml:space="preserve"> a gaming licence with ten </w:t>
      </w:r>
      <w:r w:rsidR="004570CC" w:rsidRPr="003E6E26">
        <w:lastRenderedPageBreak/>
        <w:t xml:space="preserve">gaming machines </w:t>
      </w:r>
      <w:r w:rsidRPr="003E6E26">
        <w:t>will have a positive, negative or no impact on the local community.</w:t>
      </w:r>
      <w:r w:rsidR="004C07C0" w:rsidRPr="003E6E26">
        <w:t xml:space="preserve"> From the 19 survey results received</w:t>
      </w:r>
      <w:r w:rsidR="00DA4411" w:rsidRPr="003E6E26">
        <w:t xml:space="preserve"> </w:t>
      </w:r>
      <w:r w:rsidR="004C07C0" w:rsidRPr="003E6E26">
        <w:t>in response to the proposed gaming licence, four were positive, 11 negative and four no impact</w:t>
      </w:r>
      <w:r w:rsidR="001A5BEC" w:rsidRPr="003E6E26">
        <w:t>.</w:t>
      </w:r>
    </w:p>
    <w:p w14:paraId="558295CF" w14:textId="150DC8F4" w:rsidR="00AE72A5" w:rsidRPr="003E6E26" w:rsidRDefault="00AE72A5" w:rsidP="006F04A5">
      <w:pPr>
        <w:pStyle w:val="ListParagraph"/>
        <w:numPr>
          <w:ilvl w:val="0"/>
          <w:numId w:val="15"/>
        </w:numPr>
        <w:ind w:left="-567"/>
        <w:jc w:val="both"/>
      </w:pPr>
      <w:r w:rsidRPr="003E6E26">
        <w:t xml:space="preserve">Given the response rate was exceptionally low, responses </w:t>
      </w:r>
      <w:r w:rsidR="004D23E1" w:rsidRPr="003E6E26">
        <w:t>from</w:t>
      </w:r>
      <w:r w:rsidRPr="003E6E26">
        <w:t xml:space="preserve"> 19 individuals </w:t>
      </w:r>
      <w:r w:rsidR="00F24814" w:rsidRPr="003E6E26">
        <w:t>cannot be considered</w:t>
      </w:r>
      <w:r w:rsidR="00D77479" w:rsidRPr="003E6E26">
        <w:t xml:space="preserve"> </w:t>
      </w:r>
      <w:r w:rsidR="004D23E1" w:rsidRPr="003E6E26">
        <w:t xml:space="preserve">an accurate </w:t>
      </w:r>
      <w:r w:rsidR="00EA6669" w:rsidRPr="003E6E26">
        <w:t>reflection</w:t>
      </w:r>
      <w:r w:rsidRPr="003E6E26">
        <w:t xml:space="preserve"> of the </w:t>
      </w:r>
      <w:r w:rsidR="004D23E1" w:rsidRPr="003E6E26">
        <w:t>community’s</w:t>
      </w:r>
      <w:r w:rsidRPr="003E6E26">
        <w:t xml:space="preserve"> </w:t>
      </w:r>
      <w:r w:rsidR="00D77479" w:rsidRPr="003E6E26">
        <w:t>position</w:t>
      </w:r>
      <w:r w:rsidR="000D7EA8" w:rsidRPr="003E6E26">
        <w:t xml:space="preserve"> towards gaming machines</w:t>
      </w:r>
      <w:r w:rsidR="002A1D59" w:rsidRPr="003E6E26">
        <w:t>.</w:t>
      </w:r>
    </w:p>
    <w:p w14:paraId="00D95222" w14:textId="1027D6B4" w:rsidR="00BC27DC" w:rsidRPr="003E6E26" w:rsidRDefault="004D23E1" w:rsidP="006F04A5">
      <w:pPr>
        <w:pStyle w:val="ListParagraph"/>
        <w:numPr>
          <w:ilvl w:val="0"/>
          <w:numId w:val="15"/>
        </w:numPr>
        <w:ind w:left="-567"/>
        <w:jc w:val="both"/>
      </w:pPr>
      <w:r w:rsidRPr="003E6E26">
        <w:t>Nevertheless, a</w:t>
      </w:r>
      <w:r w:rsidR="00BC27DC" w:rsidRPr="003E6E26">
        <w:t xml:space="preserve"> summary of negative responses suggests that gaming machine venues were </w:t>
      </w:r>
      <w:r w:rsidR="006472E5" w:rsidRPr="003E6E26">
        <w:t>overrepresented</w:t>
      </w:r>
      <w:r w:rsidR="00BC27DC" w:rsidRPr="003E6E26">
        <w:t xml:space="preserve"> in the Darwin CBD, impacting the lower economic social group and do not enhance a dining venue</w:t>
      </w:r>
      <w:r w:rsidR="006472E5" w:rsidRPr="003E6E26">
        <w:t>.</w:t>
      </w:r>
    </w:p>
    <w:p w14:paraId="5A4D9CF0" w14:textId="093463CE" w:rsidR="004F5FA5" w:rsidRPr="003E6E26" w:rsidRDefault="004F5FA5" w:rsidP="006F04A5">
      <w:pPr>
        <w:pStyle w:val="ListParagraph"/>
        <w:numPr>
          <w:ilvl w:val="0"/>
          <w:numId w:val="15"/>
        </w:numPr>
        <w:ind w:left="-567"/>
        <w:jc w:val="both"/>
      </w:pPr>
      <w:r w:rsidRPr="003E6E26">
        <w:t>A summary of positive responses suggests that the city is in decline and new businesses could help bring life back to the CBD.</w:t>
      </w:r>
    </w:p>
    <w:p w14:paraId="45DC7544" w14:textId="07286C72" w:rsidR="001A5BEC" w:rsidRPr="006810F9" w:rsidRDefault="001A5BEC" w:rsidP="006F04A5">
      <w:pPr>
        <w:pStyle w:val="ListParagraph"/>
        <w:numPr>
          <w:ilvl w:val="0"/>
          <w:numId w:val="15"/>
        </w:numPr>
        <w:ind w:left="-567"/>
        <w:jc w:val="both"/>
      </w:pPr>
      <w:r w:rsidRPr="006810F9">
        <w:t>As part of a combined liquor and gaming notification, the following stakeholders were notified:</w:t>
      </w:r>
    </w:p>
    <w:p w14:paraId="6FCE0DEC" w14:textId="5AC9FED8" w:rsidR="001A5BEC" w:rsidRPr="006810F9" w:rsidRDefault="001A5BEC" w:rsidP="006F04A5">
      <w:pPr>
        <w:pStyle w:val="ListParagraph"/>
        <w:numPr>
          <w:ilvl w:val="1"/>
          <w:numId w:val="15"/>
        </w:numPr>
        <w:ind w:left="0"/>
        <w:jc w:val="both"/>
      </w:pPr>
      <w:r w:rsidRPr="006810F9">
        <w:t>The Department of Health;</w:t>
      </w:r>
    </w:p>
    <w:p w14:paraId="1BD7AFAB" w14:textId="1A8C5F11" w:rsidR="001A5BEC" w:rsidRPr="006810F9" w:rsidRDefault="001A5BEC" w:rsidP="006F04A5">
      <w:pPr>
        <w:pStyle w:val="ListParagraph"/>
        <w:numPr>
          <w:ilvl w:val="1"/>
          <w:numId w:val="15"/>
        </w:numPr>
        <w:ind w:left="0"/>
        <w:jc w:val="both"/>
      </w:pPr>
      <w:r w:rsidRPr="006810F9">
        <w:t>The NT Police;</w:t>
      </w:r>
    </w:p>
    <w:p w14:paraId="111DD2EB" w14:textId="55E6BDE3" w:rsidR="001A5BEC" w:rsidRPr="006810F9" w:rsidRDefault="001A5BEC" w:rsidP="006F04A5">
      <w:pPr>
        <w:pStyle w:val="ListParagraph"/>
        <w:numPr>
          <w:ilvl w:val="1"/>
          <w:numId w:val="15"/>
        </w:numPr>
        <w:ind w:left="0"/>
        <w:jc w:val="both"/>
      </w:pPr>
      <w:r w:rsidRPr="006810F9">
        <w:t>City of Darwin; and</w:t>
      </w:r>
    </w:p>
    <w:p w14:paraId="4DFC3D04" w14:textId="100F8B6E" w:rsidR="001A5BEC" w:rsidRPr="006810F9" w:rsidRDefault="001A5BEC" w:rsidP="006F04A5">
      <w:pPr>
        <w:pStyle w:val="ListParagraph"/>
        <w:numPr>
          <w:ilvl w:val="1"/>
          <w:numId w:val="15"/>
        </w:numPr>
        <w:ind w:left="0"/>
        <w:jc w:val="both"/>
      </w:pPr>
      <w:r w:rsidRPr="006810F9">
        <w:t>Northern Territory Fire and Rescue Service.</w:t>
      </w:r>
    </w:p>
    <w:p w14:paraId="133D1F1B" w14:textId="42BA3F56" w:rsidR="001A5BEC" w:rsidRPr="006810F9" w:rsidRDefault="001A5BEC" w:rsidP="006F04A5">
      <w:pPr>
        <w:pStyle w:val="ListParagraph"/>
        <w:numPr>
          <w:ilvl w:val="0"/>
          <w:numId w:val="15"/>
        </w:numPr>
        <w:ind w:left="-567"/>
        <w:jc w:val="both"/>
      </w:pPr>
      <w:r w:rsidRPr="006810F9">
        <w:t>The Department of Health provided comment, but not a formal objection.</w:t>
      </w:r>
    </w:p>
    <w:p w14:paraId="11CF1479" w14:textId="77777777" w:rsidR="006810F9" w:rsidRPr="006810F9" w:rsidRDefault="006810F9" w:rsidP="006810F9">
      <w:pPr>
        <w:pStyle w:val="ListParagraph"/>
        <w:numPr>
          <w:ilvl w:val="0"/>
          <w:numId w:val="15"/>
        </w:numPr>
        <w:ind w:left="-567"/>
        <w:jc w:val="both"/>
      </w:pPr>
      <w:r w:rsidRPr="006810F9">
        <w:t>No comments have been received from NT Police or the Council.</w:t>
      </w:r>
    </w:p>
    <w:p w14:paraId="47010BBA" w14:textId="1A9870A8" w:rsidR="001A5BEC" w:rsidRPr="006810F9" w:rsidRDefault="001A5BEC" w:rsidP="006F04A5">
      <w:pPr>
        <w:pStyle w:val="ListParagraph"/>
        <w:numPr>
          <w:ilvl w:val="0"/>
          <w:numId w:val="15"/>
        </w:numPr>
        <w:ind w:left="-567"/>
        <w:jc w:val="both"/>
      </w:pPr>
      <w:r w:rsidRPr="006810F9">
        <w:t>Northern Territory Fire and Rescue Service responded stating they support the application subject to building permits (if required) and occupancy limits being issued.</w:t>
      </w:r>
    </w:p>
    <w:p w14:paraId="2084933F" w14:textId="77777777" w:rsidR="0056048A" w:rsidRPr="003142CF" w:rsidRDefault="0056048A" w:rsidP="0056048A">
      <w:pPr>
        <w:pStyle w:val="Heading2"/>
        <w:ind w:left="-851"/>
        <w:jc w:val="both"/>
        <w:rPr>
          <w:color w:val="auto"/>
        </w:rPr>
      </w:pPr>
      <w:r w:rsidRPr="003142CF">
        <w:rPr>
          <w:color w:val="auto"/>
        </w:rPr>
        <w:t>ASSESSMENT</w:t>
      </w:r>
    </w:p>
    <w:p w14:paraId="1911A045" w14:textId="4B88072A" w:rsidR="0056048A" w:rsidRPr="006810F9" w:rsidRDefault="00B9467D" w:rsidP="0056048A">
      <w:pPr>
        <w:pStyle w:val="ListParagraph"/>
        <w:numPr>
          <w:ilvl w:val="0"/>
          <w:numId w:val="15"/>
        </w:numPr>
        <w:ind w:left="-567"/>
        <w:jc w:val="both"/>
      </w:pPr>
      <w:r>
        <w:t>T</w:t>
      </w:r>
      <w:r w:rsidR="0056048A" w:rsidRPr="006810F9">
        <w:t xml:space="preserve">he Director must have regard to relevant provisions of the Act and </w:t>
      </w:r>
      <w:r w:rsidR="0093040E">
        <w:t>Gaming Machine Regulations 1995 (R</w:t>
      </w:r>
      <w:r w:rsidR="0056048A" w:rsidRPr="006810F9">
        <w:t>egulations</w:t>
      </w:r>
      <w:r w:rsidR="0093040E">
        <w:t>)</w:t>
      </w:r>
      <w:r w:rsidR="0056048A" w:rsidRPr="006810F9">
        <w:t>, including but not limited to the statutory objects of the Act which are:</w:t>
      </w:r>
    </w:p>
    <w:p w14:paraId="543E3C60" w14:textId="77777777" w:rsidR="0056048A" w:rsidRPr="006810F9" w:rsidRDefault="0056048A" w:rsidP="0056048A">
      <w:pPr>
        <w:pStyle w:val="ListParagraph"/>
        <w:numPr>
          <w:ilvl w:val="1"/>
          <w:numId w:val="26"/>
        </w:numPr>
        <w:ind w:left="0"/>
        <w:jc w:val="both"/>
      </w:pPr>
      <w:r w:rsidRPr="006810F9">
        <w:t>to promote probity and integrity in gaming;</w:t>
      </w:r>
    </w:p>
    <w:p w14:paraId="729F0963" w14:textId="77777777" w:rsidR="0056048A" w:rsidRPr="006810F9" w:rsidRDefault="0056048A" w:rsidP="0056048A">
      <w:pPr>
        <w:pStyle w:val="ListParagraph"/>
        <w:numPr>
          <w:ilvl w:val="1"/>
          <w:numId w:val="26"/>
        </w:numPr>
        <w:ind w:left="0"/>
        <w:jc w:val="both"/>
      </w:pPr>
      <w:r w:rsidRPr="006810F9">
        <w:t>to maintain the probity and integrity of persons engaged in gaming in the Territory;</w:t>
      </w:r>
    </w:p>
    <w:p w14:paraId="5A3804FD" w14:textId="77777777" w:rsidR="0056048A" w:rsidRPr="006810F9" w:rsidRDefault="0056048A" w:rsidP="0056048A">
      <w:pPr>
        <w:pStyle w:val="ListParagraph"/>
        <w:numPr>
          <w:ilvl w:val="1"/>
          <w:numId w:val="26"/>
        </w:numPr>
        <w:ind w:left="0"/>
        <w:jc w:val="both"/>
      </w:pPr>
      <w:r w:rsidRPr="006810F9">
        <w:t>to promote fairness, integrity and efficiency in the operations of persons engaged in gaming in the Territory;</w:t>
      </w:r>
    </w:p>
    <w:p w14:paraId="322438A6" w14:textId="77777777" w:rsidR="0056048A" w:rsidRPr="006810F9" w:rsidRDefault="0056048A" w:rsidP="0056048A">
      <w:pPr>
        <w:pStyle w:val="ListParagraph"/>
        <w:numPr>
          <w:ilvl w:val="1"/>
          <w:numId w:val="26"/>
        </w:numPr>
        <w:ind w:left="0"/>
        <w:jc w:val="both"/>
      </w:pPr>
      <w:r w:rsidRPr="006810F9">
        <w:t>to reduce any adverse social impact of gaming; and</w:t>
      </w:r>
    </w:p>
    <w:p w14:paraId="329E10DF" w14:textId="77777777" w:rsidR="0056048A" w:rsidRPr="006810F9" w:rsidRDefault="0056048A" w:rsidP="0056048A">
      <w:pPr>
        <w:pStyle w:val="ListParagraph"/>
        <w:numPr>
          <w:ilvl w:val="1"/>
          <w:numId w:val="26"/>
        </w:numPr>
        <w:ind w:left="0"/>
        <w:jc w:val="both"/>
      </w:pPr>
      <w:r w:rsidRPr="006810F9">
        <w:t>to promote a balanced contribution by the gaming industry to general community benefit and amenity.</w:t>
      </w:r>
    </w:p>
    <w:p w14:paraId="74FA094F" w14:textId="77777777" w:rsidR="0056048A" w:rsidRPr="006810F9" w:rsidRDefault="0056048A" w:rsidP="0056048A">
      <w:pPr>
        <w:pStyle w:val="ListParagraph"/>
        <w:numPr>
          <w:ilvl w:val="0"/>
          <w:numId w:val="15"/>
        </w:numPr>
        <w:ind w:left="-567"/>
        <w:jc w:val="both"/>
      </w:pPr>
      <w:r w:rsidRPr="006810F9">
        <w:t>In determining this application, the Director must consider a range of issues which are prescribed in section 42E of the Act. Those being:</w:t>
      </w:r>
    </w:p>
    <w:p w14:paraId="374414C9" w14:textId="77777777" w:rsidR="0056048A" w:rsidRPr="006810F9" w:rsidRDefault="0056048A" w:rsidP="0056048A">
      <w:pPr>
        <w:pStyle w:val="ListParagraph"/>
        <w:numPr>
          <w:ilvl w:val="0"/>
          <w:numId w:val="28"/>
        </w:numPr>
        <w:ind w:left="0"/>
        <w:jc w:val="both"/>
      </w:pPr>
      <w:r w:rsidRPr="006810F9">
        <w:t>The matters mentioned in Section 25(3)(a) to (e);</w:t>
      </w:r>
    </w:p>
    <w:p w14:paraId="49DE2AE0" w14:textId="77777777" w:rsidR="0056048A" w:rsidRPr="006810F9" w:rsidRDefault="0056048A" w:rsidP="0056048A">
      <w:pPr>
        <w:pStyle w:val="ListParagraph"/>
        <w:numPr>
          <w:ilvl w:val="0"/>
          <w:numId w:val="28"/>
        </w:numPr>
        <w:ind w:left="0"/>
        <w:jc w:val="both"/>
      </w:pPr>
      <w:r w:rsidRPr="006810F9">
        <w:t>The CIA, unless otherwise exempted;</w:t>
      </w:r>
    </w:p>
    <w:p w14:paraId="6B1FB4A1" w14:textId="77777777" w:rsidR="0056048A" w:rsidRPr="006810F9" w:rsidRDefault="0056048A" w:rsidP="0056048A">
      <w:pPr>
        <w:pStyle w:val="ListParagraph"/>
        <w:numPr>
          <w:ilvl w:val="0"/>
          <w:numId w:val="28"/>
        </w:numPr>
        <w:ind w:left="0"/>
        <w:jc w:val="both"/>
      </w:pPr>
      <w:r w:rsidRPr="006810F9">
        <w:t>Any submissions received in response to the notice;</w:t>
      </w:r>
    </w:p>
    <w:p w14:paraId="3A617BDA" w14:textId="77777777" w:rsidR="0056048A" w:rsidRPr="006810F9" w:rsidRDefault="0056048A" w:rsidP="0056048A">
      <w:pPr>
        <w:pStyle w:val="ListParagraph"/>
        <w:numPr>
          <w:ilvl w:val="0"/>
          <w:numId w:val="28"/>
        </w:numPr>
        <w:ind w:left="0"/>
        <w:jc w:val="both"/>
      </w:pPr>
      <w:r w:rsidRPr="006810F9">
        <w:t>Section 25(13) referring to the number of gaming machines, hours of trade, size, layout and facilities of the premises, along with the anticipated level of gaming; and</w:t>
      </w:r>
    </w:p>
    <w:p w14:paraId="6A528678" w14:textId="4831E4F1" w:rsidR="00B9467D" w:rsidRDefault="0056048A" w:rsidP="00B9467D">
      <w:pPr>
        <w:pStyle w:val="ListParagraph"/>
        <w:numPr>
          <w:ilvl w:val="0"/>
          <w:numId w:val="28"/>
        </w:numPr>
        <w:ind w:left="0"/>
        <w:jc w:val="both"/>
      </w:pPr>
      <w:r w:rsidRPr="006810F9">
        <w:t>Any other matters the Director considers to be relevant.</w:t>
      </w:r>
    </w:p>
    <w:p w14:paraId="70BB2507" w14:textId="29A6F335" w:rsidR="00B9467D" w:rsidRPr="006810F9" w:rsidRDefault="00B9467D" w:rsidP="00B9467D">
      <w:pPr>
        <w:pStyle w:val="ListParagraph"/>
        <w:numPr>
          <w:ilvl w:val="0"/>
          <w:numId w:val="15"/>
        </w:numPr>
        <w:ind w:left="-567"/>
        <w:jc w:val="both"/>
      </w:pPr>
      <w:r>
        <w:lastRenderedPageBreak/>
        <w:t xml:space="preserve">The matters prescribed under section 25 of the Act may also be captured under the </w:t>
      </w:r>
      <w:r w:rsidR="00864D12">
        <w:t xml:space="preserve">requirements of the </w:t>
      </w:r>
      <w:r>
        <w:t>CIA. To avoid duplication</w:t>
      </w:r>
      <w:r w:rsidR="00864D12">
        <w:t xml:space="preserve">, the Decision notice will </w:t>
      </w:r>
      <w:r w:rsidR="00624BE9">
        <w:t>assess each requirement once</w:t>
      </w:r>
      <w:r w:rsidR="00864D12">
        <w:t>.</w:t>
      </w:r>
    </w:p>
    <w:p w14:paraId="7EFA1225" w14:textId="5D17BB7A" w:rsidR="0056048A" w:rsidRPr="003142CF" w:rsidRDefault="0056048A" w:rsidP="0056048A">
      <w:pPr>
        <w:pStyle w:val="Heading2"/>
        <w:ind w:left="-851"/>
        <w:jc w:val="both"/>
        <w:rPr>
          <w:color w:val="auto"/>
        </w:rPr>
      </w:pPr>
      <w:r w:rsidRPr="003142CF">
        <w:rPr>
          <w:color w:val="auto"/>
        </w:rPr>
        <w:t>COMMUNITY IMPACT ANALYSIS</w:t>
      </w:r>
    </w:p>
    <w:p w14:paraId="3A9A0FF7" w14:textId="446DAC0D" w:rsidR="0056048A" w:rsidRDefault="0056048A" w:rsidP="00095937">
      <w:pPr>
        <w:pStyle w:val="ListParagraph"/>
        <w:numPr>
          <w:ilvl w:val="0"/>
          <w:numId w:val="15"/>
        </w:numPr>
        <w:ind w:left="-567"/>
        <w:jc w:val="both"/>
      </w:pPr>
      <w:r>
        <w:t xml:space="preserve">The application was accompanied by a Community Impact Analysis (CIA) prepared by DNS and pursuant to section 42D of the Act, the CIA must provide the following details: </w:t>
      </w:r>
    </w:p>
    <w:p w14:paraId="2852A8F1" w14:textId="4944ADBA" w:rsidR="0056048A" w:rsidRDefault="0056048A" w:rsidP="00095937">
      <w:pPr>
        <w:pStyle w:val="ListParagraph"/>
        <w:numPr>
          <w:ilvl w:val="1"/>
          <w:numId w:val="15"/>
        </w:numPr>
        <w:ind w:left="0"/>
        <w:jc w:val="both"/>
      </w:pPr>
      <w:r>
        <w:t>The suitability of the new premises having regard to the size, layout and facilities of the premises;</w:t>
      </w:r>
    </w:p>
    <w:p w14:paraId="51CEDA25" w14:textId="2E93720D" w:rsidR="0056048A" w:rsidRDefault="0056048A" w:rsidP="00095937">
      <w:pPr>
        <w:pStyle w:val="ListParagraph"/>
        <w:numPr>
          <w:ilvl w:val="1"/>
          <w:numId w:val="15"/>
        </w:numPr>
        <w:ind w:left="0"/>
        <w:jc w:val="both"/>
      </w:pPr>
      <w:r>
        <w:t>The suitability of the new premises having regard to the primary activity conducted at the premises;</w:t>
      </w:r>
    </w:p>
    <w:p w14:paraId="1BBC0F5E" w14:textId="4A7876EB" w:rsidR="0056048A" w:rsidRDefault="0056048A" w:rsidP="00095937">
      <w:pPr>
        <w:pStyle w:val="ListParagraph"/>
        <w:numPr>
          <w:ilvl w:val="1"/>
          <w:numId w:val="15"/>
        </w:numPr>
        <w:ind w:left="0"/>
        <w:jc w:val="both"/>
      </w:pPr>
      <w:r>
        <w:t>The suitability of the new premises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14:paraId="0FFA59D6" w14:textId="6C0092AA" w:rsidR="0056048A" w:rsidRDefault="0056048A" w:rsidP="00095937">
      <w:pPr>
        <w:pStyle w:val="ListParagraph"/>
        <w:numPr>
          <w:ilvl w:val="1"/>
          <w:numId w:val="15"/>
        </w:numPr>
        <w:ind w:left="0"/>
        <w:jc w:val="both"/>
      </w:pPr>
      <w:r>
        <w:t>The appropriateness of problem gambling risk management and responsible gambling strategies; and</w:t>
      </w:r>
    </w:p>
    <w:p w14:paraId="543607EC" w14:textId="76FFD641" w:rsidR="0056048A" w:rsidRPr="0056048A" w:rsidRDefault="0056048A" w:rsidP="00095937">
      <w:pPr>
        <w:pStyle w:val="ListParagraph"/>
        <w:numPr>
          <w:ilvl w:val="1"/>
          <w:numId w:val="15"/>
        </w:numPr>
        <w:ind w:left="0"/>
        <w:jc w:val="both"/>
      </w:pPr>
      <w:r>
        <w:t xml:space="preserve">Economic impact of the proposal including contribution to the community, employment creation and significance or </w:t>
      </w:r>
      <w:r w:rsidR="00A23B35">
        <w:t>reliance</w:t>
      </w:r>
      <w:r>
        <w:t xml:space="preserve"> of the venue to or on tourism.</w:t>
      </w:r>
    </w:p>
    <w:p w14:paraId="2AA7F804" w14:textId="69789EC7" w:rsidR="000E5D11" w:rsidRPr="007D755D" w:rsidRDefault="000E5D11" w:rsidP="006F04A5">
      <w:pPr>
        <w:pStyle w:val="Heading4"/>
        <w:ind w:left="-851"/>
        <w:jc w:val="both"/>
        <w:rPr>
          <w:color w:val="auto"/>
        </w:rPr>
      </w:pPr>
      <w:r w:rsidRPr="007D755D">
        <w:rPr>
          <w:color w:val="auto"/>
        </w:rPr>
        <w:t xml:space="preserve">Suitability of </w:t>
      </w:r>
      <w:r w:rsidR="00E907C4" w:rsidRPr="007D755D">
        <w:rPr>
          <w:color w:val="auto"/>
        </w:rPr>
        <w:t>p</w:t>
      </w:r>
      <w:r w:rsidRPr="007D755D">
        <w:rPr>
          <w:color w:val="auto"/>
        </w:rPr>
        <w:t xml:space="preserve">remises – primary activity, size, </w:t>
      </w:r>
      <w:r w:rsidR="00B3356D" w:rsidRPr="007D755D">
        <w:rPr>
          <w:color w:val="auto"/>
        </w:rPr>
        <w:t>layout,</w:t>
      </w:r>
      <w:r w:rsidRPr="007D755D">
        <w:rPr>
          <w:color w:val="auto"/>
        </w:rPr>
        <w:t xml:space="preserve"> and facilities</w:t>
      </w:r>
    </w:p>
    <w:p w14:paraId="75004499" w14:textId="5165D9E2" w:rsidR="004C297B" w:rsidRPr="002048E1" w:rsidRDefault="002048E1" w:rsidP="006F04A5">
      <w:pPr>
        <w:pStyle w:val="ListParagraph"/>
        <w:numPr>
          <w:ilvl w:val="0"/>
          <w:numId w:val="15"/>
        </w:numPr>
        <w:ind w:left="-567"/>
        <w:jc w:val="both"/>
      </w:pPr>
      <w:r w:rsidRPr="002048E1">
        <w:t xml:space="preserve">The Applicant intends to operate a </w:t>
      </w:r>
      <w:r w:rsidR="003D3ADA">
        <w:t>community focused Tavern</w:t>
      </w:r>
      <w:r w:rsidR="00A23B35" w:rsidRPr="00A23B35">
        <w:t xml:space="preserve"> </w:t>
      </w:r>
      <w:r w:rsidR="00A23B35" w:rsidRPr="002048E1">
        <w:t xml:space="preserve">specialising as a steakhouse </w:t>
      </w:r>
      <w:r w:rsidR="003D3ADA">
        <w:t>serving local residents (including families), visitors and tourists,</w:t>
      </w:r>
      <w:r w:rsidRPr="002048E1">
        <w:t xml:space="preserve"> </w:t>
      </w:r>
      <w:r w:rsidR="00A23B35">
        <w:t xml:space="preserve">with </w:t>
      </w:r>
      <w:r>
        <w:t xml:space="preserve">live streaming of sporting events and </w:t>
      </w:r>
      <w:r w:rsidRPr="002048E1">
        <w:t xml:space="preserve">a gaming room of ten gaming machines. </w:t>
      </w:r>
    </w:p>
    <w:p w14:paraId="2274FF96" w14:textId="77777777" w:rsidR="000A6370" w:rsidRDefault="000A6370" w:rsidP="000A6370">
      <w:pPr>
        <w:pStyle w:val="ListParagraph"/>
        <w:numPr>
          <w:ilvl w:val="0"/>
          <w:numId w:val="15"/>
        </w:numPr>
        <w:ind w:left="-567"/>
        <w:jc w:val="both"/>
      </w:pPr>
      <w:r>
        <w:t xml:space="preserve">It is a requirement under the Regulations, that there must be a clear passageway between banks of gaming machines of at least two metres, with gaming equipment installed in a way that allows for the proper cleaning and maintenance, unrestricted access to fire exits, and the proper use of safety and security features on the premises. </w:t>
      </w:r>
    </w:p>
    <w:p w14:paraId="6E4389A8" w14:textId="333A69C6" w:rsidR="007F5B37" w:rsidRPr="003E6E26" w:rsidRDefault="00385A8A" w:rsidP="006F04A5">
      <w:pPr>
        <w:pStyle w:val="ListParagraph"/>
        <w:numPr>
          <w:ilvl w:val="0"/>
          <w:numId w:val="15"/>
        </w:numPr>
        <w:ind w:left="-567"/>
        <w:jc w:val="both"/>
      </w:pPr>
      <w:r w:rsidRPr="00997352">
        <w:t xml:space="preserve">The proposed gaming room will be </w:t>
      </w:r>
      <w:r w:rsidR="00835738">
        <w:t>approximately 26.5m</w:t>
      </w:r>
      <w:r w:rsidR="00D86E03" w:rsidRPr="008F01EE">
        <w:rPr>
          <w:vertAlign w:val="superscript"/>
        </w:rPr>
        <w:t>2</w:t>
      </w:r>
      <w:r w:rsidR="00C02CB0" w:rsidRPr="000A6370">
        <w:t>.</w:t>
      </w:r>
      <w:r w:rsidR="0080697C" w:rsidRPr="000A6370">
        <w:t xml:space="preserve"> The </w:t>
      </w:r>
      <w:r w:rsidR="008F01EE" w:rsidRPr="000A6370">
        <w:t xml:space="preserve">Gaming Room Floor Plan shows 10 gaming machines with the dimensions of 994mm by </w:t>
      </w:r>
      <w:r w:rsidR="000A6370">
        <w:t>795mm</w:t>
      </w:r>
      <w:r w:rsidR="008F01EE" w:rsidRPr="000A6370">
        <w:t xml:space="preserve">, </w:t>
      </w:r>
      <w:r w:rsidR="00B07840">
        <w:t>and</w:t>
      </w:r>
      <w:r w:rsidR="008F01EE" w:rsidRPr="000A6370">
        <w:t xml:space="preserve"> space between banks of gaming machines of approximately 2.5m. There is no provision for a Cash Redemption Terminal</w:t>
      </w:r>
      <w:r w:rsidR="000A6370" w:rsidRPr="000A6370">
        <w:t xml:space="preserve"> (CRT)</w:t>
      </w:r>
      <w:r w:rsidR="008F01EE" w:rsidRPr="000A6370">
        <w:t xml:space="preserve"> being provided in the plan</w:t>
      </w:r>
      <w:r w:rsidR="000A6370" w:rsidRPr="000A6370">
        <w:t xml:space="preserve">, however there is </w:t>
      </w:r>
      <w:r w:rsidR="000A6370">
        <w:t xml:space="preserve">limited </w:t>
      </w:r>
      <w:r w:rsidR="000A6370" w:rsidRPr="000A6370">
        <w:t>space available</w:t>
      </w:r>
      <w:r w:rsidR="000A6370">
        <w:t xml:space="preserve"> for an additional amenity.</w:t>
      </w:r>
      <w:r w:rsidR="00B07840">
        <w:t xml:space="preserve"> </w:t>
      </w:r>
      <w:r w:rsidR="00B07840" w:rsidRPr="003E6E26">
        <w:t>The layout of the gaming machines will allow for an unimpeded exit from the gaming room in the event of an emergency.</w:t>
      </w:r>
    </w:p>
    <w:p w14:paraId="325802C2" w14:textId="7B34C5B9" w:rsidR="000575AE" w:rsidRPr="00377E00" w:rsidRDefault="000575AE" w:rsidP="006F04A5">
      <w:pPr>
        <w:pStyle w:val="ListParagraph"/>
        <w:numPr>
          <w:ilvl w:val="0"/>
          <w:numId w:val="15"/>
        </w:numPr>
        <w:ind w:left="-567"/>
        <w:jc w:val="both"/>
      </w:pPr>
      <w:r w:rsidRPr="00377E00">
        <w:t>Should the application be approved, Gaming Inspectors appointed under the Act will ensure the gaming room is compliant with the Act and subordinate legislation</w:t>
      </w:r>
      <w:r w:rsidR="009F2470" w:rsidRPr="00377E00">
        <w:t xml:space="preserve"> prior to the gaming machine</w:t>
      </w:r>
      <w:r w:rsidR="00810EF9" w:rsidRPr="00377E00">
        <w:t>s commencing operations.</w:t>
      </w:r>
    </w:p>
    <w:p w14:paraId="7299D55C" w14:textId="77777777" w:rsidR="000E5D11" w:rsidRPr="007D755D" w:rsidRDefault="000E5D11" w:rsidP="006F04A5">
      <w:pPr>
        <w:pStyle w:val="Heading4"/>
        <w:ind w:left="-851"/>
        <w:jc w:val="both"/>
        <w:rPr>
          <w:color w:val="auto"/>
        </w:rPr>
      </w:pPr>
      <w:r w:rsidRPr="007D755D">
        <w:rPr>
          <w:color w:val="auto"/>
        </w:rPr>
        <w:t>Suitability of Location – population of local area, proximity to other gaming venues and proximity to sensitive areas</w:t>
      </w:r>
    </w:p>
    <w:p w14:paraId="129B211D" w14:textId="7B3E3930" w:rsidR="000E5D11" w:rsidRDefault="000E5D11" w:rsidP="006F04A5">
      <w:pPr>
        <w:pStyle w:val="ListParagraph"/>
        <w:numPr>
          <w:ilvl w:val="0"/>
          <w:numId w:val="15"/>
        </w:numPr>
        <w:ind w:left="-567"/>
        <w:jc w:val="both"/>
      </w:pPr>
      <w:r w:rsidRPr="008E6A62">
        <w:t xml:space="preserve">The Premises is located </w:t>
      </w:r>
      <w:r w:rsidR="008E6A62" w:rsidRPr="008E6A62">
        <w:t>at 28 Mitchell Street</w:t>
      </w:r>
      <w:r w:rsidR="00844123">
        <w:t>.</w:t>
      </w:r>
    </w:p>
    <w:p w14:paraId="52C2761D" w14:textId="6047F9B5" w:rsidR="0056048A" w:rsidRPr="008E6A62" w:rsidRDefault="0056048A" w:rsidP="006F04A5">
      <w:pPr>
        <w:pStyle w:val="ListParagraph"/>
        <w:numPr>
          <w:ilvl w:val="0"/>
          <w:numId w:val="15"/>
        </w:numPr>
        <w:ind w:left="-567"/>
        <w:jc w:val="both"/>
      </w:pPr>
      <w:r>
        <w:t xml:space="preserve">The CIA provides an overview of the </w:t>
      </w:r>
      <w:r w:rsidRPr="004A0332">
        <w:t>Local Community Area</w:t>
      </w:r>
      <w:r>
        <w:t xml:space="preserve"> (LCA)</w:t>
      </w:r>
      <w:r w:rsidR="00B65BEE">
        <w:t xml:space="preserve"> using a combination of Australian Bureau of Statics (ABS) areas with analysis around the defined LCA in comparison with the broader Darwin Local Government Area (LGA) and NT benchmarks.</w:t>
      </w:r>
    </w:p>
    <w:p w14:paraId="63A6B6DD" w14:textId="19FAAEBE" w:rsidR="008E6A62" w:rsidRDefault="008E6A62" w:rsidP="006F04A5">
      <w:pPr>
        <w:pStyle w:val="ListParagraph"/>
        <w:numPr>
          <w:ilvl w:val="0"/>
          <w:numId w:val="15"/>
        </w:numPr>
        <w:ind w:left="-567"/>
        <w:jc w:val="both"/>
      </w:pPr>
      <w:bookmarkStart w:id="0" w:name="_Hlk191904697"/>
      <w:r w:rsidRPr="004A0332">
        <w:t>The L</w:t>
      </w:r>
      <w:r w:rsidR="0056048A">
        <w:t>CA</w:t>
      </w:r>
      <w:r w:rsidR="004A0332" w:rsidRPr="004A0332">
        <w:t xml:space="preserve">, which includes Darwin City, Larrakeyah, Stuart Park, Fannie Bay, The Gardens, Parap, Woolner, Bayview and Winnellie </w:t>
      </w:r>
      <w:r w:rsidR="00EF6DAE" w:rsidRPr="004A0332">
        <w:t>have</w:t>
      </w:r>
      <w:r w:rsidR="004A0332" w:rsidRPr="004A0332">
        <w:t xml:space="preserve"> a population of 24,539 (20,850 being adults) according to the Australian Bureau of Statistics 2021. </w:t>
      </w:r>
    </w:p>
    <w:p w14:paraId="3449BAB5" w14:textId="2A4E4CDF" w:rsidR="004A0332" w:rsidRPr="004A0332" w:rsidRDefault="004A0332" w:rsidP="006F04A5">
      <w:pPr>
        <w:pStyle w:val="ListParagraph"/>
        <w:numPr>
          <w:ilvl w:val="0"/>
          <w:numId w:val="15"/>
        </w:numPr>
        <w:ind w:left="-567"/>
        <w:jc w:val="both"/>
      </w:pPr>
      <w:r>
        <w:lastRenderedPageBreak/>
        <w:t xml:space="preserve">The LCA has a higher education profile with 51.2% of residents having a </w:t>
      </w:r>
      <w:r w:rsidR="00757AC4">
        <w:t>bachelor’s degree</w:t>
      </w:r>
      <w:r>
        <w:t xml:space="preserve"> or higher, compared to the </w:t>
      </w:r>
      <w:r w:rsidR="00200016">
        <w:t>LGA</w:t>
      </w:r>
      <w:r>
        <w:t>, 47.4% and the NT, 35%.</w:t>
      </w:r>
    </w:p>
    <w:p w14:paraId="6667E624" w14:textId="0FAB3E67" w:rsidR="00FB4753" w:rsidRPr="00757AC4" w:rsidRDefault="00684C2E" w:rsidP="006F04A5">
      <w:pPr>
        <w:pStyle w:val="ListParagraph"/>
        <w:numPr>
          <w:ilvl w:val="0"/>
          <w:numId w:val="15"/>
        </w:numPr>
        <w:ind w:left="-567"/>
        <w:jc w:val="both"/>
      </w:pPr>
      <w:r w:rsidRPr="00757AC4">
        <w:t xml:space="preserve">Information obtained from the </w:t>
      </w:r>
      <w:r w:rsidR="006B340B" w:rsidRPr="00757AC4">
        <w:t xml:space="preserve">Australian Bureau of Statistics </w:t>
      </w:r>
      <w:r w:rsidRPr="00757AC4">
        <w:t xml:space="preserve">2021 Census for the </w:t>
      </w:r>
      <w:r w:rsidR="00B65BEE">
        <w:t xml:space="preserve">LGA </w:t>
      </w:r>
      <w:r w:rsidRPr="00757AC4">
        <w:t>of Darwin</w:t>
      </w:r>
      <w:bookmarkEnd w:id="0"/>
      <w:r w:rsidRPr="00757AC4">
        <w:t xml:space="preserve">, identified a population of 80,530 people, with the median age of 35. 8.7% of the Darwin population identified as being of aboriginal or Torres Strait Islander compared with 26.3% throughout the </w:t>
      </w:r>
      <w:r w:rsidR="00200016">
        <w:t>NT</w:t>
      </w:r>
      <w:r w:rsidRPr="00757AC4">
        <w:t>. 70.1% of the Darwin population</w:t>
      </w:r>
      <w:r w:rsidR="006B340B" w:rsidRPr="00757AC4">
        <w:t xml:space="preserve"> were in the labour force, with 64.8% of those persons employed full-time.</w:t>
      </w:r>
      <w:r w:rsidR="00552FFA" w:rsidRPr="00757AC4">
        <w:rPr>
          <w:rStyle w:val="FootnoteReference"/>
        </w:rPr>
        <w:footnoteReference w:id="1"/>
      </w:r>
    </w:p>
    <w:p w14:paraId="195DA377" w14:textId="0C3D9790" w:rsidR="000E5D11" w:rsidRPr="003E6E26" w:rsidRDefault="0050172A" w:rsidP="006F04A5">
      <w:pPr>
        <w:pStyle w:val="ListParagraph"/>
        <w:numPr>
          <w:ilvl w:val="0"/>
          <w:numId w:val="15"/>
        </w:numPr>
        <w:ind w:left="-567"/>
        <w:jc w:val="both"/>
      </w:pPr>
      <w:bookmarkStart w:id="1" w:name="_Hlk191905276"/>
      <w:r w:rsidRPr="003E6E26">
        <w:t xml:space="preserve">There are </w:t>
      </w:r>
      <w:r w:rsidR="00E22345" w:rsidRPr="003E6E26">
        <w:t xml:space="preserve">18 </w:t>
      </w:r>
      <w:r w:rsidR="007506A2" w:rsidRPr="003E6E26">
        <w:t xml:space="preserve">licensed gaming </w:t>
      </w:r>
      <w:r w:rsidR="00E22345" w:rsidRPr="003E6E26">
        <w:t>venues with 323 gaming machines licensed in Darwin</w:t>
      </w:r>
      <w:r w:rsidR="00841CAE" w:rsidRPr="003E6E26">
        <w:t xml:space="preserve"> </w:t>
      </w:r>
      <w:r w:rsidR="007506A2" w:rsidRPr="003E6E26">
        <w:t>C</w:t>
      </w:r>
      <w:r w:rsidR="00841CAE" w:rsidRPr="003E6E26">
        <w:t>ity</w:t>
      </w:r>
      <w:r w:rsidR="007506A2" w:rsidRPr="003E6E26">
        <w:t xml:space="preserve"> precinct</w:t>
      </w:r>
      <w:r w:rsidR="00E22345" w:rsidRPr="003E6E26">
        <w:t xml:space="preserve">. However, only </w:t>
      </w:r>
      <w:r w:rsidRPr="003E6E26">
        <w:t>12 gaming machine licensees</w:t>
      </w:r>
      <w:r w:rsidR="00E71820" w:rsidRPr="003E6E26">
        <w:t xml:space="preserve"> with 2</w:t>
      </w:r>
      <w:r w:rsidR="002832EC" w:rsidRPr="003E6E26">
        <w:t>63</w:t>
      </w:r>
      <w:r w:rsidR="00E71820" w:rsidRPr="003E6E26">
        <w:t xml:space="preserve"> gaming machines</w:t>
      </w:r>
      <w:r w:rsidRPr="003E6E26">
        <w:t xml:space="preserve"> </w:t>
      </w:r>
      <w:r w:rsidR="00E22345" w:rsidRPr="003E6E26">
        <w:t xml:space="preserve">are currently in </w:t>
      </w:r>
      <w:r w:rsidRPr="003E6E26">
        <w:t>operati</w:t>
      </w:r>
      <w:r w:rsidR="00E22345" w:rsidRPr="003E6E26">
        <w:t>on</w:t>
      </w:r>
      <w:r w:rsidRPr="003E6E26">
        <w:t xml:space="preserve">. </w:t>
      </w:r>
      <w:r w:rsidR="00E22345" w:rsidRPr="003E6E26">
        <w:t>S</w:t>
      </w:r>
      <w:r w:rsidRPr="003E6E26">
        <w:t>ix venues</w:t>
      </w:r>
      <w:r w:rsidR="002832EC" w:rsidRPr="003E6E26">
        <w:t xml:space="preserve"> </w:t>
      </w:r>
      <w:r w:rsidRPr="003E6E26">
        <w:t xml:space="preserve">have inactive gaming machine </w:t>
      </w:r>
      <w:r w:rsidR="00FA58BD" w:rsidRPr="003E6E26">
        <w:t xml:space="preserve">venue </w:t>
      </w:r>
      <w:r w:rsidRPr="003E6E26">
        <w:t>licences.</w:t>
      </w:r>
    </w:p>
    <w:p w14:paraId="10069DA7" w14:textId="3B211A33" w:rsidR="00E71820" w:rsidRPr="002832EC" w:rsidRDefault="00E71820" w:rsidP="006F04A5">
      <w:pPr>
        <w:pStyle w:val="ListParagraph"/>
        <w:numPr>
          <w:ilvl w:val="0"/>
          <w:numId w:val="15"/>
        </w:numPr>
        <w:ind w:left="-567"/>
        <w:jc w:val="both"/>
      </w:pPr>
      <w:r w:rsidRPr="002832EC">
        <w:t xml:space="preserve">In the </w:t>
      </w:r>
      <w:r w:rsidR="00B65BEE">
        <w:t>LGA</w:t>
      </w:r>
      <w:r w:rsidR="007C7577" w:rsidRPr="002832EC">
        <w:t xml:space="preserve"> of Darwin, 36 venues</w:t>
      </w:r>
      <w:r w:rsidR="00FA58BD" w:rsidRPr="002832EC">
        <w:t xml:space="preserve"> are</w:t>
      </w:r>
      <w:r w:rsidR="007C7577" w:rsidRPr="002832EC">
        <w:t xml:space="preserve"> licensed to operate </w:t>
      </w:r>
      <w:r w:rsidR="00FA58BD" w:rsidRPr="002832EC">
        <w:t xml:space="preserve">844 </w:t>
      </w:r>
      <w:r w:rsidR="007C7577" w:rsidRPr="002832EC">
        <w:t>gaming machines</w:t>
      </w:r>
      <w:r w:rsidR="00CB3ADC" w:rsidRPr="002832EC">
        <w:t xml:space="preserve"> (excluding Mindil Beach Casino Resort)</w:t>
      </w:r>
      <w:r w:rsidR="00E22345" w:rsidRPr="002832EC">
        <w:t xml:space="preserve">, including the </w:t>
      </w:r>
      <w:r w:rsidR="00994391" w:rsidRPr="002832EC">
        <w:t>six</w:t>
      </w:r>
      <w:r w:rsidR="00E22345" w:rsidRPr="002832EC">
        <w:t xml:space="preserve"> inactive licences mentioned in paragraph </w:t>
      </w:r>
      <w:r w:rsidR="00200016">
        <w:t>3</w:t>
      </w:r>
      <w:r w:rsidR="00EA6669">
        <w:t>5</w:t>
      </w:r>
      <w:r w:rsidR="00E22345" w:rsidRPr="00D54F21">
        <w:t>.</w:t>
      </w:r>
    </w:p>
    <w:bookmarkEnd w:id="1"/>
    <w:p w14:paraId="3854BA03" w14:textId="3A754A33" w:rsidR="000E5D11" w:rsidRPr="002832EC" w:rsidRDefault="007C7577" w:rsidP="006F04A5">
      <w:pPr>
        <w:pStyle w:val="ListParagraph"/>
        <w:numPr>
          <w:ilvl w:val="0"/>
          <w:numId w:val="15"/>
        </w:numPr>
        <w:ind w:left="-567"/>
        <w:jc w:val="both"/>
      </w:pPr>
      <w:r w:rsidRPr="002832EC">
        <w:t xml:space="preserve">Section 25(3)(c) of the Act provides examples of what may be considered a sensitive </w:t>
      </w:r>
      <w:r w:rsidR="004815FE" w:rsidRPr="002832EC">
        <w:t>site,</w:t>
      </w:r>
      <w:r w:rsidRPr="002832EC">
        <w:t xml:space="preserve"> schools, shopping centres, other community congregation facilities, welfare agencies, banks and pawn brokers.</w:t>
      </w:r>
    </w:p>
    <w:p w14:paraId="28AC05E8" w14:textId="11A67B0F" w:rsidR="006B27E6" w:rsidRPr="002832EC" w:rsidRDefault="00656BE0" w:rsidP="006F04A5">
      <w:pPr>
        <w:pStyle w:val="ListParagraph"/>
        <w:numPr>
          <w:ilvl w:val="0"/>
          <w:numId w:val="15"/>
        </w:numPr>
        <w:ind w:left="-567"/>
        <w:jc w:val="both"/>
      </w:pPr>
      <w:bookmarkStart w:id="2" w:name="_Hlk191904530"/>
      <w:r w:rsidRPr="002832EC">
        <w:t xml:space="preserve">Within Darwin </w:t>
      </w:r>
      <w:r w:rsidR="004B50F0" w:rsidRPr="002832EC">
        <w:t>C</w:t>
      </w:r>
      <w:r w:rsidRPr="002832EC">
        <w:t>ity, there is a mix of health, counselling and emergency services, shopping centres, schools, churches, banks</w:t>
      </w:r>
      <w:r w:rsidR="00094C99" w:rsidRPr="002832EC">
        <w:t xml:space="preserve"> and </w:t>
      </w:r>
      <w:r w:rsidRPr="002832EC">
        <w:t>community organisations</w:t>
      </w:r>
      <w:r w:rsidR="00094C99" w:rsidRPr="002832EC">
        <w:t>; there</w:t>
      </w:r>
      <w:r w:rsidRPr="002832EC">
        <w:t xml:space="preserve"> are no organisations or individuals within Darwin City that specialise in gambling issues.</w:t>
      </w:r>
    </w:p>
    <w:bookmarkEnd w:id="2"/>
    <w:p w14:paraId="65B96606" w14:textId="79CAE9FE" w:rsidR="00656BE0" w:rsidRPr="00AD3DCA" w:rsidRDefault="00656BE0" w:rsidP="006F04A5">
      <w:pPr>
        <w:pStyle w:val="ListParagraph"/>
        <w:numPr>
          <w:ilvl w:val="0"/>
          <w:numId w:val="15"/>
        </w:numPr>
        <w:ind w:left="-567"/>
        <w:jc w:val="both"/>
      </w:pPr>
      <w:r w:rsidRPr="00AD3DCA">
        <w:t xml:space="preserve">The premises will be located within Darwin </w:t>
      </w:r>
      <w:r w:rsidR="004B50F0" w:rsidRPr="00AD3DCA">
        <w:t>C</w:t>
      </w:r>
      <w:r w:rsidRPr="00AD3DCA">
        <w:t xml:space="preserve">ity, </w:t>
      </w:r>
      <w:r w:rsidR="00AD3DCA" w:rsidRPr="00AD3DCA">
        <w:t>and in close proximity to</w:t>
      </w:r>
      <w:r w:rsidR="00094C99" w:rsidRPr="00AD3DCA">
        <w:t xml:space="preserve"> </w:t>
      </w:r>
      <w:r w:rsidR="00406DAC" w:rsidRPr="00AD3DCA">
        <w:t>cultural, entertainment and numerous other gaming venues</w:t>
      </w:r>
      <w:r w:rsidR="00094C99" w:rsidRPr="00AD3DCA">
        <w:t xml:space="preserve"> </w:t>
      </w:r>
      <w:r w:rsidR="00CD4344" w:rsidRPr="00AD3DCA">
        <w:t>however</w:t>
      </w:r>
      <w:r w:rsidR="00406DAC" w:rsidRPr="00AD3DCA">
        <w:t xml:space="preserve"> the</w:t>
      </w:r>
      <w:r w:rsidR="00CD4344" w:rsidRPr="00AD3DCA">
        <w:t>re is no reason to believe the</w:t>
      </w:r>
      <w:r w:rsidR="00406DAC" w:rsidRPr="00AD3DCA">
        <w:t xml:space="preserve"> relocation to the new premises will have</w:t>
      </w:r>
      <w:r w:rsidR="00CD4344" w:rsidRPr="00AD3DCA">
        <w:t xml:space="preserve"> an</w:t>
      </w:r>
      <w:r w:rsidR="00406DAC" w:rsidRPr="00AD3DCA">
        <w:t xml:space="preserve"> impact on </w:t>
      </w:r>
      <w:r w:rsidR="00CD4344" w:rsidRPr="00AD3DCA">
        <w:t xml:space="preserve">any of these </w:t>
      </w:r>
      <w:r w:rsidR="00406DAC" w:rsidRPr="00AD3DCA">
        <w:t>sites</w:t>
      </w:r>
      <w:r w:rsidR="004815FE" w:rsidRPr="00AD3DCA">
        <w:t>.</w:t>
      </w:r>
    </w:p>
    <w:p w14:paraId="760B434B" w14:textId="77777777" w:rsidR="000E5D11" w:rsidRPr="007D755D" w:rsidRDefault="000E5D11" w:rsidP="006F04A5">
      <w:pPr>
        <w:pStyle w:val="Heading4"/>
        <w:ind w:left="-851"/>
        <w:jc w:val="both"/>
        <w:rPr>
          <w:color w:val="auto"/>
        </w:rPr>
      </w:pPr>
      <w:r w:rsidRPr="007D755D">
        <w:rPr>
          <w:color w:val="auto"/>
        </w:rPr>
        <w:t>Appropriateness of problem gambling risk management and responsible gambling strategies</w:t>
      </w:r>
    </w:p>
    <w:p w14:paraId="15CB6280" w14:textId="77777777" w:rsidR="006C324D" w:rsidRDefault="00014E6A" w:rsidP="006F04A5">
      <w:pPr>
        <w:pStyle w:val="ListParagraph"/>
        <w:numPr>
          <w:ilvl w:val="0"/>
          <w:numId w:val="15"/>
        </w:numPr>
        <w:ind w:left="-567"/>
        <w:jc w:val="both"/>
      </w:pPr>
      <w:r w:rsidRPr="003D3ADA">
        <w:t xml:space="preserve">The </w:t>
      </w:r>
      <w:r w:rsidR="004B50F0" w:rsidRPr="003D3ADA">
        <w:t>Applicant</w:t>
      </w:r>
      <w:r w:rsidR="003D3ADA" w:rsidRPr="003D3ADA">
        <w:t xml:space="preserve"> </w:t>
      </w:r>
      <w:r w:rsidR="006C324D">
        <w:t xml:space="preserve">is aware of the various ‘at risk’ groups within the community and will therefore manage the venue taking these matters into consideration. </w:t>
      </w:r>
    </w:p>
    <w:p w14:paraId="5920E11D" w14:textId="6AC147C7" w:rsidR="00014E6A" w:rsidRDefault="006C324D" w:rsidP="006F04A5">
      <w:pPr>
        <w:pStyle w:val="ListParagraph"/>
        <w:numPr>
          <w:ilvl w:val="0"/>
          <w:numId w:val="15"/>
        </w:numPr>
        <w:ind w:left="-567"/>
        <w:jc w:val="both"/>
      </w:pPr>
      <w:r>
        <w:t xml:space="preserve">The Applicant </w:t>
      </w:r>
      <w:r w:rsidR="00624BE9">
        <w:t>has</w:t>
      </w:r>
      <w:r w:rsidR="00E45966">
        <w:t xml:space="preserve"> their own in-house gambling policy document and </w:t>
      </w:r>
      <w:r w:rsidR="00624BE9">
        <w:t xml:space="preserve">will </w:t>
      </w:r>
      <w:r>
        <w:t>ensure</w:t>
      </w:r>
      <w:r w:rsidR="003D3ADA" w:rsidRPr="003D3ADA">
        <w:t xml:space="preserve"> all staff involved in the service of gambling products </w:t>
      </w:r>
      <w:r w:rsidR="00624BE9">
        <w:t>are</w:t>
      </w:r>
      <w:r w:rsidR="003D3ADA" w:rsidRPr="003D3ADA">
        <w:t xml:space="preserve"> suitably trained in the Responsible Service of Gambling (RSG)</w:t>
      </w:r>
      <w:r w:rsidR="00E45966">
        <w:t>,</w:t>
      </w:r>
      <w:r w:rsidR="003D3ADA" w:rsidRPr="003D3ADA">
        <w:t xml:space="preserve"> hold</w:t>
      </w:r>
      <w:r w:rsidR="00E45966">
        <w:t>ing</w:t>
      </w:r>
      <w:r w:rsidR="003D3ADA" w:rsidRPr="003D3ADA">
        <w:t xml:space="preserve"> the appropriate certification.</w:t>
      </w:r>
      <w:r w:rsidR="003D3ADA">
        <w:t xml:space="preserve"> The Applicant will ensure that all staff are kept up to date with industry and legislative requirements through on-site training and meetings.</w:t>
      </w:r>
    </w:p>
    <w:p w14:paraId="5BF3EC75" w14:textId="7511B410" w:rsidR="00AD3DCA" w:rsidRDefault="00AD3DCA" w:rsidP="006F04A5">
      <w:pPr>
        <w:pStyle w:val="ListParagraph"/>
        <w:numPr>
          <w:ilvl w:val="0"/>
          <w:numId w:val="15"/>
        </w:numPr>
        <w:ind w:left="-567"/>
        <w:jc w:val="both"/>
      </w:pPr>
      <w:r>
        <w:t>The Applicant submits they would comply with the NT Code of Practice for Responsible Gambling 2022 (the Code</w:t>
      </w:r>
      <w:r w:rsidR="00040893">
        <w:t>);</w:t>
      </w:r>
      <w:r>
        <w:t xml:space="preserve"> a copy of this document will be maintained on the premise with all gaming staff being required to read, understand and comply with the Code.</w:t>
      </w:r>
    </w:p>
    <w:p w14:paraId="3E89C657" w14:textId="77CD6FCB" w:rsidR="00AD3DCA" w:rsidRPr="003D3ADA" w:rsidRDefault="00AD3DCA" w:rsidP="006F04A5">
      <w:pPr>
        <w:pStyle w:val="ListParagraph"/>
        <w:numPr>
          <w:ilvl w:val="0"/>
          <w:numId w:val="15"/>
        </w:numPr>
        <w:ind w:left="-567"/>
        <w:jc w:val="both"/>
      </w:pPr>
      <w:r>
        <w:t>The Code sets out the minimum requirements that gaming machine licensees and their staff are to adopt to reduce harms associated with gambling.</w:t>
      </w:r>
    </w:p>
    <w:p w14:paraId="2EE56C19" w14:textId="11D86176" w:rsidR="000E5D11" w:rsidRPr="007D755D" w:rsidRDefault="000E5D11" w:rsidP="006F04A5">
      <w:pPr>
        <w:pStyle w:val="Heading4"/>
        <w:ind w:left="-851"/>
        <w:jc w:val="both"/>
        <w:rPr>
          <w:color w:val="auto"/>
        </w:rPr>
      </w:pPr>
      <w:r w:rsidRPr="007D755D">
        <w:rPr>
          <w:color w:val="auto"/>
        </w:rPr>
        <w:t xml:space="preserve">Economic </w:t>
      </w:r>
      <w:r w:rsidR="00E907C4" w:rsidRPr="007D755D">
        <w:rPr>
          <w:color w:val="auto"/>
        </w:rPr>
        <w:t>i</w:t>
      </w:r>
      <w:r w:rsidRPr="007D755D">
        <w:rPr>
          <w:color w:val="auto"/>
        </w:rPr>
        <w:t xml:space="preserve">mpact – contribution to the community, employment creation and significance / </w:t>
      </w:r>
      <w:r w:rsidR="008832FB" w:rsidRPr="007D755D">
        <w:rPr>
          <w:color w:val="auto"/>
        </w:rPr>
        <w:t>reliance</w:t>
      </w:r>
      <w:r w:rsidRPr="007D755D">
        <w:rPr>
          <w:color w:val="auto"/>
        </w:rPr>
        <w:t xml:space="preserve"> of the venue to or on tourism</w:t>
      </w:r>
    </w:p>
    <w:p w14:paraId="401CC3E5" w14:textId="0F96C0E5" w:rsidR="00FB4805" w:rsidRDefault="00FB4805" w:rsidP="00FB4805">
      <w:pPr>
        <w:pStyle w:val="ListParagraph"/>
        <w:numPr>
          <w:ilvl w:val="0"/>
          <w:numId w:val="15"/>
        </w:numPr>
        <w:ind w:left="-567"/>
        <w:jc w:val="both"/>
      </w:pPr>
      <w:r>
        <w:t>W</w:t>
      </w:r>
      <w:r w:rsidR="007923F4">
        <w:t>ith</w:t>
      </w:r>
      <w:r>
        <w:t xml:space="preserve"> t</w:t>
      </w:r>
      <w:r w:rsidR="00200016" w:rsidRPr="00D56576">
        <w:t xml:space="preserve">he primary business </w:t>
      </w:r>
      <w:r w:rsidR="007923F4">
        <w:t>being</w:t>
      </w:r>
      <w:r w:rsidR="00200016" w:rsidRPr="00D56576">
        <w:t xml:space="preserve"> a steakhouse</w:t>
      </w:r>
      <w:r w:rsidR="00200016">
        <w:t>,</w:t>
      </w:r>
      <w:r>
        <w:t xml:space="preserve"> </w:t>
      </w:r>
      <w:r w:rsidR="00200016" w:rsidRPr="00D56576">
        <w:t xml:space="preserve">the gaming </w:t>
      </w:r>
      <w:r>
        <w:t>room</w:t>
      </w:r>
      <w:r w:rsidR="00760A8F">
        <w:t xml:space="preserve"> operation</w:t>
      </w:r>
      <w:r w:rsidR="00200016" w:rsidRPr="00D56576">
        <w:t xml:space="preserve"> </w:t>
      </w:r>
      <w:r>
        <w:t xml:space="preserve">is not expected to have a material </w:t>
      </w:r>
      <w:r w:rsidR="00C764F7">
        <w:t>effect</w:t>
      </w:r>
      <w:r>
        <w:t xml:space="preserve"> on </w:t>
      </w:r>
      <w:r w:rsidR="00C764F7">
        <w:t>job creation</w:t>
      </w:r>
      <w:r>
        <w:t xml:space="preserve">. Nevertheless, the Regulations requires that the licensee has continuous supervision of each gaming machine, therefore the </w:t>
      </w:r>
      <w:r w:rsidR="00372457">
        <w:t xml:space="preserve">Applicant </w:t>
      </w:r>
      <w:r>
        <w:t xml:space="preserve">must </w:t>
      </w:r>
      <w:r w:rsidR="00760A8F">
        <w:t xml:space="preserve">have a sufficient </w:t>
      </w:r>
      <w:r w:rsidR="004F5FA5">
        <w:t>number</w:t>
      </w:r>
      <w:r w:rsidR="00760A8F">
        <w:t xml:space="preserve"> of staff rostered on duty to ensure the gaming room is supervised</w:t>
      </w:r>
      <w:r w:rsidR="00372457">
        <w:t xml:space="preserve"> when open</w:t>
      </w:r>
      <w:r>
        <w:t>.</w:t>
      </w:r>
    </w:p>
    <w:p w14:paraId="65B419AA" w14:textId="294AFDF4" w:rsidR="00C25297" w:rsidRDefault="00C25297" w:rsidP="006F04A5">
      <w:pPr>
        <w:pStyle w:val="ListParagraph"/>
        <w:numPr>
          <w:ilvl w:val="0"/>
          <w:numId w:val="15"/>
        </w:numPr>
        <w:ind w:left="-567"/>
        <w:jc w:val="both"/>
      </w:pPr>
      <w:r>
        <w:t xml:space="preserve">Section 150(1) of the Act provides that a licensee must pay a gaming machine community benefit levy to the Director each month. </w:t>
      </w:r>
      <w:r w:rsidR="00803ADB">
        <w:t xml:space="preserve">The gaming machine community benefit levy is the prescribed percentage of </w:t>
      </w:r>
      <w:r w:rsidR="00803ADB">
        <w:lastRenderedPageBreak/>
        <w:t xml:space="preserve">the gross monthly profit of the licensed premises. </w:t>
      </w:r>
      <w:r>
        <w:t>As the Applicant will be a Category 1 licensed premise, a 10</w:t>
      </w:r>
      <w:r w:rsidR="00803ADB">
        <w:t>% community benefit levy will be payable.</w:t>
      </w:r>
    </w:p>
    <w:p w14:paraId="637A54D9" w14:textId="51910F54" w:rsidR="00803ADB" w:rsidRDefault="00DD0412" w:rsidP="006F04A5">
      <w:pPr>
        <w:pStyle w:val="ListParagraph"/>
        <w:numPr>
          <w:ilvl w:val="0"/>
          <w:numId w:val="15"/>
        </w:numPr>
        <w:ind w:left="-567"/>
        <w:jc w:val="both"/>
      </w:pPr>
      <w:r>
        <w:t xml:space="preserve">In addition to </w:t>
      </w:r>
      <w:r w:rsidR="00803ADB">
        <w:t>the community benefit levy</w:t>
      </w:r>
      <w:r>
        <w:t>, there</w:t>
      </w:r>
      <w:r w:rsidR="00803ADB">
        <w:t xml:space="preserve"> is </w:t>
      </w:r>
      <w:r>
        <w:t>a</w:t>
      </w:r>
      <w:r w:rsidR="00803ADB">
        <w:t xml:space="preserve"> requirement to pay taxes as required by section 149(1) of the Act.</w:t>
      </w:r>
    </w:p>
    <w:p w14:paraId="2EEF656D" w14:textId="3799D4BB" w:rsidR="004F3F29" w:rsidRPr="007D755D" w:rsidRDefault="004F3F29" w:rsidP="004F3F29">
      <w:pPr>
        <w:ind w:left="-927"/>
        <w:jc w:val="both"/>
        <w:rPr>
          <w:rFonts w:asciiTheme="majorHAnsi" w:hAnsiTheme="majorHAnsi"/>
          <w:sz w:val="24"/>
          <w:szCs w:val="24"/>
        </w:rPr>
      </w:pPr>
      <w:r w:rsidRPr="007D755D">
        <w:rPr>
          <w:rFonts w:asciiTheme="majorHAnsi" w:hAnsiTheme="majorHAnsi"/>
          <w:sz w:val="24"/>
          <w:szCs w:val="24"/>
        </w:rPr>
        <w:t>The number of gaming machines, hours of trade</w:t>
      </w:r>
      <w:r w:rsidR="0041762C" w:rsidRPr="007D755D">
        <w:rPr>
          <w:rFonts w:asciiTheme="majorHAnsi" w:hAnsiTheme="majorHAnsi"/>
          <w:sz w:val="24"/>
          <w:szCs w:val="24"/>
        </w:rPr>
        <w:t xml:space="preserve"> </w:t>
      </w:r>
      <w:r w:rsidRPr="007D755D">
        <w:rPr>
          <w:rFonts w:asciiTheme="majorHAnsi" w:hAnsiTheme="majorHAnsi"/>
          <w:sz w:val="24"/>
          <w:szCs w:val="24"/>
        </w:rPr>
        <w:t>of the premises, along with the anticipated level of gaming</w:t>
      </w:r>
    </w:p>
    <w:p w14:paraId="4EFE3423" w14:textId="4DB00E6D" w:rsidR="004F3F29" w:rsidRDefault="004F3F29" w:rsidP="004F3F29">
      <w:pPr>
        <w:pStyle w:val="ListParagraph"/>
        <w:numPr>
          <w:ilvl w:val="0"/>
          <w:numId w:val="15"/>
        </w:numPr>
        <w:ind w:left="-567"/>
        <w:jc w:val="both"/>
        <w:rPr>
          <w:rFonts w:asciiTheme="minorHAnsi" w:hAnsiTheme="minorHAnsi"/>
        </w:rPr>
      </w:pPr>
      <w:r>
        <w:rPr>
          <w:rFonts w:asciiTheme="minorHAnsi" w:hAnsiTheme="minorHAnsi"/>
        </w:rPr>
        <w:t>The venue</w:t>
      </w:r>
      <w:r w:rsidR="007C6B93">
        <w:rPr>
          <w:rFonts w:asciiTheme="minorHAnsi" w:hAnsiTheme="minorHAnsi"/>
        </w:rPr>
        <w:t xml:space="preserve"> is licensed under the </w:t>
      </w:r>
      <w:r w:rsidR="007C6B93" w:rsidRPr="007C6B93">
        <w:rPr>
          <w:rFonts w:asciiTheme="minorHAnsi" w:hAnsiTheme="minorHAnsi"/>
          <w:i/>
          <w:iCs w:val="0"/>
        </w:rPr>
        <w:t>Liquor Act 2019</w:t>
      </w:r>
      <w:r w:rsidR="007C6B93">
        <w:rPr>
          <w:rFonts w:asciiTheme="minorHAnsi" w:hAnsiTheme="minorHAnsi"/>
        </w:rPr>
        <w:t xml:space="preserve"> with licence number </w:t>
      </w:r>
      <w:r w:rsidR="00A914AA">
        <w:rPr>
          <w:rFonts w:asciiTheme="minorHAnsi" w:hAnsiTheme="minorHAnsi"/>
        </w:rPr>
        <w:t>80317827</w:t>
      </w:r>
      <w:r>
        <w:rPr>
          <w:rFonts w:asciiTheme="minorHAnsi" w:hAnsiTheme="minorHAnsi"/>
        </w:rPr>
        <w:t>. Section 88(a) of the Act provides that gaming must not be conducted when</w:t>
      </w:r>
      <w:r w:rsidR="00864D12">
        <w:rPr>
          <w:rFonts w:asciiTheme="minorHAnsi" w:hAnsiTheme="minorHAnsi"/>
        </w:rPr>
        <w:t>,</w:t>
      </w:r>
      <w:r>
        <w:rPr>
          <w:rFonts w:asciiTheme="minorHAnsi" w:hAnsiTheme="minorHAnsi"/>
        </w:rPr>
        <w:t xml:space="preserve"> under the </w:t>
      </w:r>
      <w:r w:rsidRPr="004F3F29">
        <w:rPr>
          <w:rFonts w:asciiTheme="minorHAnsi" w:hAnsiTheme="minorHAnsi"/>
          <w:i/>
          <w:iCs w:val="0"/>
        </w:rPr>
        <w:t>Liquor Act 2019</w:t>
      </w:r>
      <w:r>
        <w:rPr>
          <w:rFonts w:asciiTheme="minorHAnsi" w:hAnsiTheme="minorHAnsi"/>
        </w:rPr>
        <w:t xml:space="preserve">, </w:t>
      </w:r>
      <w:r w:rsidR="00DA00F2">
        <w:rPr>
          <w:rFonts w:asciiTheme="minorHAnsi" w:hAnsiTheme="minorHAnsi"/>
        </w:rPr>
        <w:t>liquor is not permitted to be sold in that area.</w:t>
      </w:r>
    </w:p>
    <w:p w14:paraId="72C79974" w14:textId="1AEF5BDF" w:rsidR="00A914AA" w:rsidRDefault="00A914AA" w:rsidP="004F3F29">
      <w:pPr>
        <w:pStyle w:val="ListParagraph"/>
        <w:numPr>
          <w:ilvl w:val="0"/>
          <w:numId w:val="15"/>
        </w:numPr>
        <w:ind w:left="-567"/>
        <w:jc w:val="both"/>
        <w:rPr>
          <w:rFonts w:asciiTheme="minorHAnsi" w:hAnsiTheme="minorHAnsi"/>
        </w:rPr>
      </w:pPr>
      <w:r>
        <w:rPr>
          <w:rFonts w:asciiTheme="minorHAnsi" w:hAnsiTheme="minorHAnsi"/>
        </w:rPr>
        <w:t xml:space="preserve">The Applicant’s liquor licence permits the venue to operate from 10am to 12am (midnight), Monday to Sunday; subsequently </w:t>
      </w:r>
      <w:r w:rsidR="00760A8F">
        <w:rPr>
          <w:rFonts w:asciiTheme="minorHAnsi" w:hAnsiTheme="minorHAnsi"/>
        </w:rPr>
        <w:t xml:space="preserve">the </w:t>
      </w:r>
      <w:r>
        <w:rPr>
          <w:rFonts w:asciiTheme="minorHAnsi" w:hAnsiTheme="minorHAnsi"/>
        </w:rPr>
        <w:t xml:space="preserve">gaming </w:t>
      </w:r>
      <w:r w:rsidR="00760A8F">
        <w:rPr>
          <w:rFonts w:asciiTheme="minorHAnsi" w:hAnsiTheme="minorHAnsi"/>
        </w:rPr>
        <w:t xml:space="preserve">room </w:t>
      </w:r>
      <w:r>
        <w:rPr>
          <w:rFonts w:asciiTheme="minorHAnsi" w:hAnsiTheme="minorHAnsi"/>
        </w:rPr>
        <w:t>cannot operate outside these licensed hours.</w:t>
      </w:r>
    </w:p>
    <w:p w14:paraId="648A5EE9" w14:textId="16181E5E" w:rsidR="00A914AA" w:rsidRDefault="00A914AA" w:rsidP="004F3F29">
      <w:pPr>
        <w:pStyle w:val="ListParagraph"/>
        <w:numPr>
          <w:ilvl w:val="0"/>
          <w:numId w:val="15"/>
        </w:numPr>
        <w:ind w:left="-567"/>
        <w:jc w:val="both"/>
        <w:rPr>
          <w:rFonts w:asciiTheme="minorHAnsi" w:hAnsiTheme="minorHAnsi"/>
        </w:rPr>
      </w:pPr>
      <w:r>
        <w:rPr>
          <w:rFonts w:asciiTheme="minorHAnsi" w:hAnsiTheme="minorHAnsi"/>
        </w:rPr>
        <w:t xml:space="preserve">The projections for the venue show a low, medium and high forecast starting from financial year 2027 through to 2030. For financial year 2027, the low </w:t>
      </w:r>
      <w:r w:rsidR="0041762C">
        <w:rPr>
          <w:rFonts w:asciiTheme="minorHAnsi" w:hAnsiTheme="minorHAnsi"/>
        </w:rPr>
        <w:t>projection</w:t>
      </w:r>
      <w:r>
        <w:rPr>
          <w:rFonts w:asciiTheme="minorHAnsi" w:hAnsiTheme="minorHAnsi"/>
        </w:rPr>
        <w:t xml:space="preserve"> </w:t>
      </w:r>
      <w:r w:rsidR="0041762C">
        <w:rPr>
          <w:rFonts w:asciiTheme="minorHAnsi" w:hAnsiTheme="minorHAnsi"/>
        </w:rPr>
        <w:t>starts</w:t>
      </w:r>
      <w:r>
        <w:rPr>
          <w:rFonts w:asciiTheme="minorHAnsi" w:hAnsiTheme="minorHAnsi"/>
        </w:rPr>
        <w:t xml:space="preserve"> at $134</w:t>
      </w:r>
      <w:r w:rsidR="0041762C">
        <w:rPr>
          <w:rFonts w:asciiTheme="minorHAnsi" w:hAnsiTheme="minorHAnsi"/>
        </w:rPr>
        <w:t>.00</w:t>
      </w:r>
      <w:r>
        <w:rPr>
          <w:rFonts w:asciiTheme="minorHAnsi" w:hAnsiTheme="minorHAnsi"/>
        </w:rPr>
        <w:t xml:space="preserve"> Average Daily Revenue</w:t>
      </w:r>
      <w:r w:rsidR="0041762C">
        <w:rPr>
          <w:rFonts w:asciiTheme="minorHAnsi" w:hAnsiTheme="minorHAnsi"/>
        </w:rPr>
        <w:t xml:space="preserve"> (ADR) per machine, increasing to the high projections of $179.00.</w:t>
      </w:r>
    </w:p>
    <w:p w14:paraId="76716B8E" w14:textId="6A32632E" w:rsidR="000E5D11" w:rsidRPr="003142CF" w:rsidRDefault="000E5D11" w:rsidP="006F04A5">
      <w:pPr>
        <w:pStyle w:val="Heading2"/>
        <w:ind w:left="-851"/>
        <w:jc w:val="both"/>
        <w:rPr>
          <w:color w:val="auto"/>
        </w:rPr>
      </w:pPr>
      <w:r w:rsidRPr="003142CF">
        <w:rPr>
          <w:color w:val="auto"/>
        </w:rPr>
        <w:t>CONSIDERATION</w:t>
      </w:r>
      <w:r w:rsidR="00DE557E" w:rsidRPr="003142CF">
        <w:rPr>
          <w:color w:val="auto"/>
        </w:rPr>
        <w:t>S</w:t>
      </w:r>
    </w:p>
    <w:p w14:paraId="1BD23FE6" w14:textId="57A9BA54" w:rsidR="00E60B3C" w:rsidRPr="003E6E26" w:rsidRDefault="00E60B3C" w:rsidP="006F04A5">
      <w:pPr>
        <w:pStyle w:val="ListParagraph"/>
        <w:numPr>
          <w:ilvl w:val="0"/>
          <w:numId w:val="15"/>
        </w:numPr>
        <w:ind w:left="-567"/>
        <w:jc w:val="both"/>
      </w:pPr>
      <w:r w:rsidRPr="003E6E26">
        <w:t>For section 25(3)(a) and (b), the new premise will be renovated and of satisfactory size and standard</w:t>
      </w:r>
      <w:r w:rsidR="00582502" w:rsidRPr="003E6E26">
        <w:t>, ensuring that the gaming room complies with requirements specified in the Act and Regulations</w:t>
      </w:r>
      <w:r w:rsidRPr="003E6E26">
        <w:t xml:space="preserve">. The </w:t>
      </w:r>
      <w:r w:rsidR="00E34751" w:rsidRPr="003E6E26">
        <w:t>Applicant</w:t>
      </w:r>
      <w:r w:rsidRPr="003E6E26">
        <w:t xml:space="preserve"> </w:t>
      </w:r>
      <w:r w:rsidR="00942290" w:rsidRPr="003E6E26">
        <w:t>intends to provide a community focused Tavern serving local residents (including families), visitors and tourists, specialising as a steakhouse</w:t>
      </w:r>
      <w:r w:rsidR="0037452E" w:rsidRPr="003E6E26">
        <w:t>.</w:t>
      </w:r>
      <w:r w:rsidR="00942290" w:rsidRPr="003E6E26">
        <w:t xml:space="preserve"> </w:t>
      </w:r>
    </w:p>
    <w:p w14:paraId="257F7366" w14:textId="750C5DCF" w:rsidR="009D1FF1" w:rsidRPr="003E6E26" w:rsidRDefault="0008624F" w:rsidP="006F04A5">
      <w:pPr>
        <w:pStyle w:val="ListParagraph"/>
        <w:numPr>
          <w:ilvl w:val="0"/>
          <w:numId w:val="15"/>
        </w:numPr>
        <w:ind w:left="-567"/>
        <w:jc w:val="both"/>
      </w:pPr>
      <w:r w:rsidRPr="003E6E26">
        <w:t xml:space="preserve">For section 25(3)(c), when the suitability of the location is considered, it is noted that </w:t>
      </w:r>
      <w:r w:rsidR="006C324D" w:rsidRPr="003E6E26">
        <w:t>there are 18 licensed gaming areas in the City of Darwin, as well as many other licensed venues. There is no reason to believe the addition of ten gaming machines will adversely affect established venues or sensitive sites.</w:t>
      </w:r>
    </w:p>
    <w:p w14:paraId="74D9857A" w14:textId="424FD0EA" w:rsidR="009D1FF1" w:rsidRPr="003E6E26" w:rsidRDefault="00EA6669" w:rsidP="006F04A5">
      <w:pPr>
        <w:pStyle w:val="ListParagraph"/>
        <w:numPr>
          <w:ilvl w:val="0"/>
          <w:numId w:val="15"/>
        </w:numPr>
        <w:ind w:left="-567"/>
        <w:jc w:val="both"/>
      </w:pPr>
      <w:r w:rsidRPr="003E6E26">
        <w:t>As</w:t>
      </w:r>
      <w:r w:rsidR="00844123" w:rsidRPr="003E6E26">
        <w:t xml:space="preserve"> </w:t>
      </w:r>
      <w:r w:rsidR="0037452E" w:rsidRPr="003E6E26">
        <w:t xml:space="preserve">no submissions </w:t>
      </w:r>
      <w:r w:rsidRPr="003E6E26">
        <w:t xml:space="preserve">were </w:t>
      </w:r>
      <w:r w:rsidR="0037452E" w:rsidRPr="003E6E26">
        <w:t xml:space="preserve">submitted, </w:t>
      </w:r>
      <w:r w:rsidR="00844123" w:rsidRPr="003E6E26">
        <w:t>no concerns have been raised that</w:t>
      </w:r>
      <w:r w:rsidR="009D1FF1" w:rsidRPr="003E6E26">
        <w:t xml:space="preserve"> </w:t>
      </w:r>
      <w:r w:rsidR="00844123" w:rsidRPr="003E6E26">
        <w:t xml:space="preserve">a new gaming venue </w:t>
      </w:r>
      <w:r w:rsidR="009D1FF1" w:rsidRPr="003E6E26">
        <w:t>will</w:t>
      </w:r>
      <w:r w:rsidR="00844123" w:rsidRPr="003E6E26">
        <w:t xml:space="preserve"> have</w:t>
      </w:r>
      <w:r w:rsidR="009D1FF1" w:rsidRPr="003E6E26">
        <w:t xml:space="preserve"> a negative impact on any organisation defined as a sensitive site.</w:t>
      </w:r>
    </w:p>
    <w:p w14:paraId="2B49D6FD" w14:textId="07A099BF" w:rsidR="009D1FF1" w:rsidRPr="003E6E26" w:rsidRDefault="009D1FF1" w:rsidP="00582502">
      <w:pPr>
        <w:pStyle w:val="ListParagraph"/>
        <w:numPr>
          <w:ilvl w:val="0"/>
          <w:numId w:val="15"/>
        </w:numPr>
        <w:ind w:left="-567"/>
        <w:jc w:val="both"/>
      </w:pPr>
      <w:r w:rsidRPr="003E6E26">
        <w:t xml:space="preserve">For section 25(3)(d), </w:t>
      </w:r>
      <w:r w:rsidR="00582502" w:rsidRPr="003E6E26">
        <w:t>the Applicant has policies to address minimising the harms associated with the use of gaming machines at the premises. T</w:t>
      </w:r>
      <w:r w:rsidRPr="003E6E26">
        <w:t>he harms associated with gaming machines are well documented and well known within the general community. I am satisfied the Applicant has committed to</w:t>
      </w:r>
      <w:r w:rsidR="00C937B3" w:rsidRPr="003E6E26">
        <w:t xml:space="preserve"> </w:t>
      </w:r>
      <w:r w:rsidRPr="003E6E26">
        <w:t>the provision of responsible gambling with the aim of minimising potential harms.</w:t>
      </w:r>
    </w:p>
    <w:p w14:paraId="6D9EDF20" w14:textId="0A835DDF" w:rsidR="003462F0" w:rsidRPr="003E6E26" w:rsidRDefault="003462F0" w:rsidP="006F04A5">
      <w:pPr>
        <w:pStyle w:val="ListParagraph"/>
        <w:numPr>
          <w:ilvl w:val="0"/>
          <w:numId w:val="15"/>
        </w:numPr>
        <w:ind w:left="-567"/>
        <w:jc w:val="both"/>
      </w:pPr>
      <w:r w:rsidRPr="003E6E26">
        <w:t>For section 25(3)(e), I am satisfied the approval will provide employment opportunities with the potential to attract visitors to the new premises.</w:t>
      </w:r>
    </w:p>
    <w:p w14:paraId="73E4A8D5" w14:textId="52CFE4F5" w:rsidR="00EC2E10" w:rsidRPr="003E6E26" w:rsidRDefault="00EC2E10" w:rsidP="006F04A5">
      <w:pPr>
        <w:pStyle w:val="ListParagraph"/>
        <w:numPr>
          <w:ilvl w:val="0"/>
          <w:numId w:val="15"/>
        </w:numPr>
        <w:ind w:left="-567"/>
        <w:jc w:val="both"/>
      </w:pPr>
      <w:r w:rsidRPr="003E6E26">
        <w:t xml:space="preserve">For section 25(13), I am satisfied the Applicant has addressed each requirement in their application. </w:t>
      </w:r>
      <w:r w:rsidR="00942290" w:rsidRPr="003E6E26">
        <w:t>T</w:t>
      </w:r>
      <w:r w:rsidRPr="003E6E26">
        <w:t xml:space="preserve">he projected forecasts </w:t>
      </w:r>
      <w:r w:rsidR="00434530" w:rsidRPr="003E6E26">
        <w:t>identify</w:t>
      </w:r>
      <w:r w:rsidRPr="003E6E26">
        <w:t xml:space="preserve"> low, </w:t>
      </w:r>
      <w:r w:rsidR="00B9467D" w:rsidRPr="003E6E26">
        <w:t>medium</w:t>
      </w:r>
      <w:r w:rsidRPr="003E6E26">
        <w:t xml:space="preserve"> and high assumptions</w:t>
      </w:r>
      <w:r w:rsidR="00942290" w:rsidRPr="003E6E26">
        <w:t xml:space="preserve"> </w:t>
      </w:r>
      <w:r w:rsidR="00F534E7" w:rsidRPr="003E6E26">
        <w:t xml:space="preserve">for ADR </w:t>
      </w:r>
      <w:r w:rsidR="00942290" w:rsidRPr="003E6E26">
        <w:t>which</w:t>
      </w:r>
      <w:r w:rsidR="00546D16" w:rsidRPr="003E6E26">
        <w:t xml:space="preserve"> are</w:t>
      </w:r>
      <w:r w:rsidR="00997352" w:rsidRPr="003E6E26">
        <w:t xml:space="preserve"> under the NT average</w:t>
      </w:r>
      <w:r w:rsidR="00F534E7" w:rsidRPr="003E6E26">
        <w:t xml:space="preserve"> as reported by Licensing NT in the Department of Tourism and Hospitality Annual Report 2024-25.</w:t>
      </w:r>
      <w:r w:rsidR="00F534E7" w:rsidRPr="003E6E26">
        <w:rPr>
          <w:rStyle w:val="FootnoteReference"/>
        </w:rPr>
        <w:footnoteReference w:id="2"/>
      </w:r>
      <w:r w:rsidR="00F534E7" w:rsidRPr="003E6E26">
        <w:t xml:space="preserve"> This is a reasonable assumption based on a new venue that is yet to establish their clientele. </w:t>
      </w:r>
      <w:r w:rsidR="00942290" w:rsidRPr="003E6E26">
        <w:t xml:space="preserve"> </w:t>
      </w:r>
    </w:p>
    <w:p w14:paraId="5939D1EA" w14:textId="7EA63231" w:rsidR="00EC5F77" w:rsidRPr="003E6E26" w:rsidRDefault="00EC5F77" w:rsidP="006F04A5">
      <w:pPr>
        <w:pStyle w:val="ListParagraph"/>
        <w:numPr>
          <w:ilvl w:val="0"/>
          <w:numId w:val="15"/>
        </w:numPr>
        <w:ind w:left="-567"/>
        <w:jc w:val="both"/>
      </w:pPr>
      <w:r w:rsidRPr="003E6E26">
        <w:t xml:space="preserve">In the NT, there is a cap of 1,659 gaming machines permitted to operate (excluding casinos). The cap has been </w:t>
      </w:r>
      <w:r w:rsidR="00F24814" w:rsidRPr="003E6E26">
        <w:t>reached;</w:t>
      </w:r>
      <w:r w:rsidRPr="003E6E26">
        <w:t xml:space="preserve"> </w:t>
      </w:r>
      <w:r w:rsidR="00F24814" w:rsidRPr="003E6E26">
        <w:t>therefore,</w:t>
      </w:r>
      <w:r w:rsidRPr="003E6E26">
        <w:t xml:space="preserve"> the Applicant does not have the option to increase their gaming machine allocation under the current legislature.</w:t>
      </w:r>
    </w:p>
    <w:p w14:paraId="11289CA8" w14:textId="2AF9DE64" w:rsidR="004250ED" w:rsidRPr="003E6E26" w:rsidRDefault="004250ED" w:rsidP="006F04A5">
      <w:pPr>
        <w:pStyle w:val="ListParagraph"/>
        <w:numPr>
          <w:ilvl w:val="0"/>
          <w:numId w:val="15"/>
        </w:numPr>
        <w:ind w:left="-567"/>
        <w:jc w:val="both"/>
      </w:pPr>
      <w:r w:rsidRPr="003E6E26">
        <w:t>As stated in paragraph 1</w:t>
      </w:r>
      <w:r w:rsidR="00704CD0" w:rsidRPr="003E6E26">
        <w:t>2</w:t>
      </w:r>
      <w:r w:rsidRPr="003E6E26">
        <w:t xml:space="preserve">, there were no submissions received. Nevertheless, the negative responses in the stakeholder engagement identified concerns that gaming machines are overpopulated in the Darwin CBD, impact vulnerable persons, and do not enhance a dining venue. These responses are generally </w:t>
      </w:r>
      <w:r w:rsidRPr="003E6E26">
        <w:lastRenderedPageBreak/>
        <w:t>accepted; however, I am satisfied the Applicant has in place policies and procedures that will have the effect of minimising the harms associated with the use of gaming machines in the new premises.</w:t>
      </w:r>
    </w:p>
    <w:p w14:paraId="7A34C40A" w14:textId="596BF462" w:rsidR="00783CDE" w:rsidRPr="003E6E26" w:rsidRDefault="00783CDE" w:rsidP="006F04A5">
      <w:pPr>
        <w:pStyle w:val="ListParagraph"/>
        <w:numPr>
          <w:ilvl w:val="0"/>
          <w:numId w:val="15"/>
        </w:numPr>
        <w:ind w:left="-567"/>
        <w:jc w:val="both"/>
      </w:pPr>
      <w:r w:rsidRPr="003E6E26">
        <w:t xml:space="preserve">The Act specifically allows for an applicant to apply to substitute a gaming machine licence from one area to another. The question for the Director in terms of this application is whether the </w:t>
      </w:r>
      <w:r w:rsidR="00CD1FC1" w:rsidRPr="003E6E26">
        <w:t>Applicant</w:t>
      </w:r>
      <w:r w:rsidRPr="003E6E26">
        <w:t xml:space="preserve"> </w:t>
      </w:r>
      <w:r w:rsidR="00CD1FC1" w:rsidRPr="003E6E26">
        <w:t>satisfies</w:t>
      </w:r>
      <w:r w:rsidRPr="003E6E26">
        <w:t xml:space="preserve"> the statutory criteria provided for in paragraph </w:t>
      </w:r>
      <w:r w:rsidR="00D54F21" w:rsidRPr="003E6E26">
        <w:t>8</w:t>
      </w:r>
      <w:r w:rsidRPr="003E6E26">
        <w:t>.</w:t>
      </w:r>
    </w:p>
    <w:p w14:paraId="7B0E5B23" w14:textId="1CDE2A6B" w:rsidR="00783CDE" w:rsidRPr="003E6E26" w:rsidRDefault="00783CDE" w:rsidP="006F04A5">
      <w:pPr>
        <w:pStyle w:val="ListParagraph"/>
        <w:numPr>
          <w:ilvl w:val="0"/>
          <w:numId w:val="15"/>
        </w:numPr>
        <w:ind w:left="-567"/>
        <w:jc w:val="both"/>
      </w:pPr>
      <w:r w:rsidRPr="003E6E26">
        <w:t>In assessing the statutory criteria, there is nothing before the Director specific to</w:t>
      </w:r>
      <w:r w:rsidR="00EB0064" w:rsidRPr="003E6E26">
        <w:t xml:space="preserve"> the</w:t>
      </w:r>
      <w:r w:rsidRPr="003E6E26">
        <w:t xml:space="preserve"> Applicant or the proposed premises that indicates that the application for substitution should not be approved.</w:t>
      </w:r>
    </w:p>
    <w:p w14:paraId="6F49EAED" w14:textId="6C6916C7" w:rsidR="00783CDE" w:rsidRPr="003E6E26" w:rsidRDefault="00783CDE" w:rsidP="006F04A5">
      <w:pPr>
        <w:pStyle w:val="ListParagraph"/>
        <w:numPr>
          <w:ilvl w:val="0"/>
          <w:numId w:val="15"/>
        </w:numPr>
        <w:ind w:left="-567"/>
        <w:jc w:val="both"/>
      </w:pPr>
      <w:r w:rsidRPr="003E6E26">
        <w:t xml:space="preserve">It is important to note that the overall gaming machines allowed to operate in the NT (currently 1,659) are not affected by approval </w:t>
      </w:r>
      <w:r w:rsidR="00BA1188" w:rsidRPr="003E6E26">
        <w:t>of this application.</w:t>
      </w:r>
    </w:p>
    <w:p w14:paraId="283627E4" w14:textId="10DAAC9D" w:rsidR="0074298E" w:rsidRPr="003E6E26" w:rsidRDefault="00655AE4" w:rsidP="006F04A5">
      <w:pPr>
        <w:pStyle w:val="Heading2"/>
        <w:ind w:left="-993"/>
        <w:jc w:val="both"/>
        <w:rPr>
          <w:color w:val="auto"/>
        </w:rPr>
      </w:pPr>
      <w:r w:rsidRPr="003E6E26">
        <w:rPr>
          <w:color w:val="auto"/>
        </w:rPr>
        <w:t xml:space="preserve">REVIEW OF </w:t>
      </w:r>
      <w:r w:rsidR="0074298E" w:rsidRPr="003E6E26">
        <w:rPr>
          <w:color w:val="auto"/>
        </w:rPr>
        <w:t>DECISION</w:t>
      </w:r>
    </w:p>
    <w:p w14:paraId="5D62A49A" w14:textId="65302030" w:rsidR="0074298E" w:rsidRPr="003E6E26" w:rsidRDefault="0074298E" w:rsidP="00752A9C">
      <w:pPr>
        <w:pStyle w:val="ListParagraph"/>
        <w:numPr>
          <w:ilvl w:val="0"/>
          <w:numId w:val="15"/>
        </w:numPr>
        <w:ind w:left="-567" w:hanging="426"/>
        <w:jc w:val="both"/>
      </w:pPr>
      <w:r w:rsidRPr="003E6E26">
        <w:t>Section 166</w:t>
      </w:r>
      <w:r w:rsidR="005E1A53" w:rsidRPr="003E6E26">
        <w:t>C</w:t>
      </w:r>
      <w:r w:rsidRPr="003E6E26">
        <w:t xml:space="preserve"> of the Act provides that a decision of the </w:t>
      </w:r>
      <w:r w:rsidR="005E1A53" w:rsidRPr="003E6E26">
        <w:t xml:space="preserve">Delegate of the </w:t>
      </w:r>
      <w:r w:rsidRPr="003E6E26">
        <w:t>Director</w:t>
      </w:r>
      <w:r w:rsidR="005E1A53" w:rsidRPr="003E6E26">
        <w:t xml:space="preserve"> of Gaming Machines (Delegate)</w:t>
      </w:r>
      <w:r w:rsidRPr="003E6E26">
        <w:t xml:space="preserve"> is reviewable by the </w:t>
      </w:r>
      <w:r w:rsidR="005E1A53" w:rsidRPr="003E6E26">
        <w:t>Director of Gaming Machines (Director)</w:t>
      </w:r>
      <w:r w:rsidRPr="003E6E26">
        <w:t>. A</w:t>
      </w:r>
      <w:r w:rsidR="00F25885" w:rsidRPr="003E6E26">
        <w:t xml:space="preserve"> decision made</w:t>
      </w:r>
      <w:r w:rsidRPr="003E6E26">
        <w:t xml:space="preserve"> under section 42</w:t>
      </w:r>
      <w:r w:rsidR="00F25885" w:rsidRPr="003E6E26">
        <w:t>H</w:t>
      </w:r>
      <w:r w:rsidRPr="003E6E26">
        <w:t xml:space="preserve"> of the Act for a substitution is therefore a reviewable decision.</w:t>
      </w:r>
    </w:p>
    <w:p w14:paraId="1FF3EA5F" w14:textId="0A73E927" w:rsidR="00AC1A84" w:rsidRPr="003E6E26" w:rsidRDefault="00406FDD" w:rsidP="00752A9C">
      <w:pPr>
        <w:pStyle w:val="ListParagraph"/>
        <w:numPr>
          <w:ilvl w:val="0"/>
          <w:numId w:val="15"/>
        </w:numPr>
        <w:ind w:left="-567" w:hanging="426"/>
        <w:jc w:val="both"/>
      </w:pPr>
      <w:r w:rsidRPr="003E6E26">
        <w:t>Section 166</w:t>
      </w:r>
      <w:r w:rsidR="005E1A53" w:rsidRPr="003E6E26">
        <w:t>C</w:t>
      </w:r>
      <w:r w:rsidRPr="003E6E26">
        <w:t xml:space="preserve">(2) provides that an affected person may apply to </w:t>
      </w:r>
      <w:r w:rsidR="005E1A53" w:rsidRPr="003E6E26">
        <w:t>the Director</w:t>
      </w:r>
      <w:r w:rsidRPr="003E6E26">
        <w:t xml:space="preserve"> for a review of </w:t>
      </w:r>
      <w:r w:rsidR="005E1A53" w:rsidRPr="003E6E26">
        <w:t>a Delegate’s</w:t>
      </w:r>
      <w:r w:rsidRPr="003E6E26">
        <w:t xml:space="preserve"> decision </w:t>
      </w:r>
      <w:r w:rsidR="005E1A53" w:rsidRPr="003E6E26">
        <w:t>within 28 days after the written notice (decision) has been given to the affected person.</w:t>
      </w:r>
    </w:p>
    <w:p w14:paraId="173CA806" w14:textId="0A1083B8" w:rsidR="00706263" w:rsidRPr="003E6E26" w:rsidRDefault="00406FDD" w:rsidP="00752A9C">
      <w:pPr>
        <w:pStyle w:val="ListParagraph"/>
        <w:numPr>
          <w:ilvl w:val="0"/>
          <w:numId w:val="15"/>
        </w:numPr>
        <w:spacing w:after="0"/>
        <w:ind w:left="-567" w:hanging="426"/>
        <w:jc w:val="both"/>
      </w:pPr>
      <w:r w:rsidRPr="003E6E26">
        <w:t xml:space="preserve">For the purpose of this decision, the affected persons are </w:t>
      </w:r>
      <w:r w:rsidR="00942290" w:rsidRPr="003E6E26">
        <w:t>Bluehole Steakhouse Pty Ltd.</w:t>
      </w:r>
    </w:p>
    <w:p w14:paraId="5FD78860" w14:textId="77777777" w:rsidR="003D0684" w:rsidRDefault="003D0684" w:rsidP="005E1A53">
      <w:pPr>
        <w:spacing w:after="0"/>
        <w:ind w:left="-851"/>
        <w:jc w:val="both"/>
        <w:rPr>
          <w:color w:val="1F1F5F" w:themeColor="text1"/>
        </w:rPr>
      </w:pPr>
    </w:p>
    <w:p w14:paraId="23D180A8" w14:textId="4FCA01F9" w:rsidR="005E1A53" w:rsidRPr="00D37E10" w:rsidRDefault="003E6E26" w:rsidP="005E1A53">
      <w:pPr>
        <w:spacing w:after="0"/>
        <w:ind w:left="-851"/>
        <w:jc w:val="both"/>
        <w:rPr>
          <w:color w:val="1F1F5F" w:themeColor="text1"/>
        </w:rPr>
      </w:pPr>
      <w:r>
        <w:rPr>
          <w:noProof/>
        </w:rPr>
        <w:drawing>
          <wp:inline distT="0" distB="0" distL="0" distR="0" wp14:anchorId="375F0005" wp14:editId="58B23D07">
            <wp:extent cx="1472376" cy="714375"/>
            <wp:effectExtent l="0" t="0" r="0" b="0"/>
            <wp:docPr id="481470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832" cy="715082"/>
                    </a:xfrm>
                    <a:prstGeom prst="rect">
                      <a:avLst/>
                    </a:prstGeom>
                    <a:noFill/>
                    <a:ln>
                      <a:noFill/>
                    </a:ln>
                  </pic:spPr>
                </pic:pic>
              </a:graphicData>
            </a:graphic>
          </wp:inline>
        </w:drawing>
      </w:r>
    </w:p>
    <w:p w14:paraId="6A97BD5D" w14:textId="051A58C2" w:rsidR="0043226D" w:rsidRPr="00406FDD" w:rsidRDefault="00CD09E0" w:rsidP="006F04A5">
      <w:pPr>
        <w:spacing w:after="0"/>
        <w:ind w:left="-851"/>
        <w:jc w:val="both"/>
      </w:pPr>
      <w:r>
        <w:t>Ian Ford</w:t>
      </w:r>
    </w:p>
    <w:p w14:paraId="5F34C0EE" w14:textId="625096E0" w:rsidR="00542647" w:rsidRPr="00D37E10" w:rsidRDefault="00CD09E0" w:rsidP="005E1A53">
      <w:pPr>
        <w:ind w:left="-851"/>
        <w:jc w:val="both"/>
      </w:pPr>
      <w:r>
        <w:t xml:space="preserve">Delegate of the </w:t>
      </w:r>
      <w:r w:rsidR="00406FDD" w:rsidRPr="00406FDD">
        <w:t>Director of Gaming Machines</w:t>
      </w:r>
    </w:p>
    <w:sectPr w:rsidR="00542647" w:rsidRPr="00D37E10" w:rsidSect="002A5BBC">
      <w:headerReference w:type="default" r:id="rId10"/>
      <w:footerReference w:type="default" r:id="rId11"/>
      <w:headerReference w:type="first" r:id="rId12"/>
      <w:footerReference w:type="first" r:id="rId13"/>
      <w:pgSz w:w="11906" w:h="16838" w:code="9"/>
      <w:pgMar w:top="794" w:right="794" w:bottom="794" w:left="170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EF93" w14:textId="77777777" w:rsidR="00166B67" w:rsidRDefault="00166B67" w:rsidP="007332FF">
      <w:r>
        <w:separator/>
      </w:r>
    </w:p>
  </w:endnote>
  <w:endnote w:type="continuationSeparator" w:id="0">
    <w:p w14:paraId="6FCAEE16" w14:textId="77777777" w:rsidR="00166B67" w:rsidRDefault="00166B6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769C" w14:textId="77777777" w:rsidR="00A332F6" w:rsidRPr="00622090" w:rsidRDefault="00A332F6" w:rsidP="004F4A90">
    <w:pPr>
      <w:spacing w:after="0"/>
      <w:ind w:left="-851"/>
    </w:pPr>
  </w:p>
  <w:tbl>
    <w:tblPr>
      <w:tblW w:w="10207" w:type="dxa"/>
      <w:tblInd w:w="-8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8648"/>
      <w:gridCol w:w="1559"/>
    </w:tblGrid>
    <w:tr w:rsidR="00A332F6" w:rsidRPr="00622090" w14:paraId="1E44D7B6" w14:textId="77777777" w:rsidTr="004F4A90">
      <w:trPr>
        <w:cantSplit/>
        <w:trHeight w:hRule="exact" w:val="567"/>
      </w:trPr>
      <w:tc>
        <w:tcPr>
          <w:tcW w:w="8648" w:type="dxa"/>
          <w:tcBorders>
            <w:top w:val="single" w:sz="4" w:space="0" w:color="auto"/>
          </w:tcBorders>
          <w:vAlign w:val="bottom"/>
        </w:tcPr>
        <w:p w14:paraId="3A860E3F" w14:textId="77777777" w:rsidR="00A332F6" w:rsidRPr="004E736B" w:rsidRDefault="00A332F6"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555100">
            <w:rPr>
              <w:noProof/>
              <w:sz w:val="19"/>
            </w:rPr>
            <w:t>5</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555100">
            <w:rPr>
              <w:noProof/>
              <w:sz w:val="19"/>
            </w:rPr>
            <w:t>5</w:t>
          </w:r>
          <w:r w:rsidRPr="00622090">
            <w:rPr>
              <w:sz w:val="19"/>
            </w:rPr>
            <w:fldChar w:fldCharType="end"/>
          </w:r>
        </w:p>
      </w:tc>
      <w:tc>
        <w:tcPr>
          <w:tcW w:w="1559" w:type="dxa"/>
          <w:tcBorders>
            <w:top w:val="single" w:sz="4" w:space="0" w:color="auto"/>
          </w:tcBorders>
          <w:vAlign w:val="bottom"/>
        </w:tcPr>
        <w:p w14:paraId="43DD5CFB" w14:textId="77777777" w:rsidR="00A332F6" w:rsidRPr="00622090" w:rsidRDefault="00A332F6" w:rsidP="00A332F6">
          <w:pPr>
            <w:spacing w:after="0"/>
            <w:jc w:val="right"/>
          </w:pPr>
          <w:r w:rsidRPr="00B368A4">
            <w:rPr>
              <w:rStyle w:val="PageNumber"/>
              <w:b/>
            </w:rPr>
            <w:t>nt.gov.au</w:t>
          </w:r>
        </w:p>
      </w:tc>
    </w:tr>
  </w:tbl>
  <w:p w14:paraId="52142261" w14:textId="77777777" w:rsidR="00A332F6" w:rsidRPr="0033607F" w:rsidRDefault="00A332F6" w:rsidP="00A332F6">
    <w:pPr>
      <w:pStyle w:val="Hidden"/>
      <w:rPr>
        <w:rStyle w:val="PageNumber"/>
        <w:sz w:val="2"/>
      </w:rPr>
    </w:pPr>
  </w:p>
  <w:p w14:paraId="6977C518" w14:textId="77777777" w:rsidR="00A332F6" w:rsidRPr="00A332F6" w:rsidRDefault="00A332F6"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030" w14:textId="77777777" w:rsidR="00622090" w:rsidRPr="00622090" w:rsidRDefault="00622090" w:rsidP="004F4A90">
    <w:pPr>
      <w:spacing w:after="0"/>
      <w:ind w:left="-851"/>
    </w:pPr>
  </w:p>
  <w:tbl>
    <w:tblPr>
      <w:tblW w:w="10207" w:type="dxa"/>
      <w:tblInd w:w="-8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8648"/>
      <w:gridCol w:w="1559"/>
    </w:tblGrid>
    <w:tr w:rsidR="00622090" w:rsidRPr="00622090" w14:paraId="7F2EC2DC" w14:textId="77777777" w:rsidTr="00E32F72">
      <w:trPr>
        <w:cantSplit/>
        <w:trHeight w:hRule="exact" w:val="567"/>
      </w:trPr>
      <w:tc>
        <w:tcPr>
          <w:tcW w:w="8648" w:type="dxa"/>
          <w:tcBorders>
            <w:top w:val="single" w:sz="4" w:space="0" w:color="auto"/>
          </w:tcBorders>
          <w:vAlign w:val="bottom"/>
        </w:tcPr>
        <w:p w14:paraId="18D3BA31" w14:textId="77777777" w:rsidR="00622090" w:rsidRPr="004E736B" w:rsidRDefault="004E736B"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93134D">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93134D">
            <w:rPr>
              <w:noProof/>
              <w:sz w:val="19"/>
            </w:rPr>
            <w:t>5</w:t>
          </w:r>
          <w:r w:rsidRPr="00622090">
            <w:rPr>
              <w:sz w:val="19"/>
            </w:rPr>
            <w:fldChar w:fldCharType="end"/>
          </w:r>
        </w:p>
      </w:tc>
      <w:tc>
        <w:tcPr>
          <w:tcW w:w="1559" w:type="dxa"/>
          <w:tcBorders>
            <w:top w:val="single" w:sz="4" w:space="0" w:color="auto"/>
          </w:tcBorders>
          <w:vAlign w:val="bottom"/>
        </w:tcPr>
        <w:p w14:paraId="0D9A9ABB" w14:textId="77777777" w:rsidR="00622090" w:rsidRPr="00622090" w:rsidRDefault="004E736B" w:rsidP="00622090">
          <w:pPr>
            <w:spacing w:after="0"/>
            <w:jc w:val="right"/>
          </w:pPr>
          <w:r w:rsidRPr="00B368A4">
            <w:rPr>
              <w:rStyle w:val="PageNumber"/>
              <w:b/>
            </w:rPr>
            <w:t>nt.gov.au</w:t>
          </w:r>
        </w:p>
      </w:tc>
    </w:tr>
  </w:tbl>
  <w:p w14:paraId="3FF66456" w14:textId="77777777" w:rsidR="00622090" w:rsidRPr="0033607F" w:rsidRDefault="00622090" w:rsidP="0033607F">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45EA" w14:textId="77777777" w:rsidR="00166B67" w:rsidRDefault="00166B67" w:rsidP="007332FF">
      <w:r>
        <w:separator/>
      </w:r>
    </w:p>
  </w:footnote>
  <w:footnote w:type="continuationSeparator" w:id="0">
    <w:p w14:paraId="641FADDA" w14:textId="77777777" w:rsidR="00166B67" w:rsidRDefault="00166B67" w:rsidP="007332FF">
      <w:r>
        <w:continuationSeparator/>
      </w:r>
    </w:p>
  </w:footnote>
  <w:footnote w:id="1">
    <w:p w14:paraId="06265BD0" w14:textId="7CC1E3A2" w:rsidR="00552FFA" w:rsidRDefault="00552FFA" w:rsidP="00552FFA">
      <w:pPr>
        <w:pStyle w:val="FootnoteText"/>
        <w:ind w:left="-851"/>
      </w:pPr>
      <w:r>
        <w:rPr>
          <w:rStyle w:val="FootnoteReference"/>
        </w:rPr>
        <w:footnoteRef/>
      </w:r>
      <w:r>
        <w:t xml:space="preserve"> </w:t>
      </w:r>
      <w:hyperlink r:id="rId1" w:history="1">
        <w:r w:rsidRPr="00162E49">
          <w:rPr>
            <w:rStyle w:val="Hyperlink"/>
          </w:rPr>
          <w:t>https://www.abs.gov.au/census/find-census-data/quickstats/2021/LGA71000</w:t>
        </w:r>
      </w:hyperlink>
    </w:p>
  </w:footnote>
  <w:footnote w:id="2">
    <w:p w14:paraId="2466E2EF" w14:textId="77777777" w:rsidR="00F534E7" w:rsidRDefault="00F534E7" w:rsidP="00F534E7">
      <w:pPr>
        <w:pStyle w:val="FootnoteText"/>
        <w:ind w:hanging="851"/>
      </w:pPr>
      <w:r>
        <w:rPr>
          <w:rStyle w:val="FootnoteReference"/>
        </w:rPr>
        <w:footnoteRef/>
      </w:r>
      <w:r>
        <w:t xml:space="preserve"> </w:t>
      </w:r>
      <w:hyperlink r:id="rId2" w:history="1">
        <w:r w:rsidRPr="00546D16">
          <w:rPr>
            <w:rStyle w:val="Hyperlink"/>
          </w:rPr>
          <w:t>DTH Annual Report 2024-2025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BC2D" w14:textId="77777777" w:rsidR="00983000" w:rsidRPr="00162207" w:rsidRDefault="00983000" w:rsidP="00AA6683">
    <w:pPr>
      <w:pStyle w:val="Header"/>
      <w:tabs>
        <w:tab w:val="clear" w:pos="9638"/>
        <w:tab w:val="right" w:pos="1031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2733"/>
      <w:gridCol w:w="3104"/>
      <w:gridCol w:w="4414"/>
    </w:tblGrid>
    <w:tr w:rsidR="004257E4" w:rsidRPr="003005B4" w14:paraId="4A66A782" w14:textId="77777777" w:rsidTr="00542647">
      <w:trPr>
        <w:cantSplit/>
        <w:trHeight w:val="441"/>
        <w:tblHeader/>
      </w:trPr>
      <w:tc>
        <w:tcPr>
          <w:tcW w:w="2733" w:type="dxa"/>
          <w:tcMar>
            <w:left w:w="0" w:type="dxa"/>
            <w:right w:w="0" w:type="dxa"/>
          </w:tcMar>
        </w:tcPr>
        <w:p w14:paraId="18CA07E1" w14:textId="77777777" w:rsidR="004257E4" w:rsidRPr="003005B4" w:rsidRDefault="004257E4" w:rsidP="002A5BBC">
          <w:pPr>
            <w:tabs>
              <w:tab w:val="center" w:pos="4320"/>
              <w:tab w:val="right" w:pos="8640"/>
            </w:tabs>
            <w:spacing w:after="240"/>
            <w:ind w:left="4"/>
          </w:pPr>
          <w:r>
            <w:rPr>
              <w:rFonts w:asciiTheme="minorHAnsi" w:hAnsiTheme="minorHAnsi" w:cs="Lato Black"/>
              <w:b/>
              <w:caps/>
              <w:noProof/>
              <w:color w:val="231F20"/>
              <w:u w:color="000000"/>
              <w:lang w:eastAsia="en-AU"/>
            </w:rPr>
            <mc:AlternateContent>
              <mc:Choice Requires="wps">
                <w:drawing>
                  <wp:anchor distT="0" distB="0" distL="114300" distR="114300" simplePos="0" relativeHeight="251691008" behindDoc="0" locked="0" layoutInCell="1" allowOverlap="1" wp14:anchorId="3EF33ACF" wp14:editId="1423DF22">
                    <wp:simplePos x="0" y="0"/>
                    <wp:positionH relativeFrom="column">
                      <wp:posOffset>1720596</wp:posOffset>
                    </wp:positionH>
                    <wp:positionV relativeFrom="paragraph">
                      <wp:posOffset>38100</wp:posOffset>
                    </wp:positionV>
                    <wp:extent cx="0" cy="561600"/>
                    <wp:effectExtent l="0" t="0" r="19050" b="29210"/>
                    <wp:wrapNone/>
                    <wp:docPr id="4" name="Straight Connector 4"/>
                    <wp:cNvGraphicFramePr/>
                    <a:graphic xmlns:a="http://schemas.openxmlformats.org/drawingml/2006/main">
                      <a:graphicData uri="http://schemas.microsoft.com/office/word/2010/wordprocessingShape">
                        <wps:wsp>
                          <wps:cNvCnPr/>
                          <wps:spPr>
                            <a:xfrm>
                              <a:off x="0" y="0"/>
                              <a:ext cx="0" cy="561600"/>
                            </a:xfrm>
                            <a:prstGeom prst="line">
                              <a:avLst/>
                            </a:prstGeom>
                            <a:ln w="9906">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8737E5" id="Straight Connector 4"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5pt,3pt" to="135.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" strokeweight=".78pt"/>
                </w:pict>
              </mc:Fallback>
            </mc:AlternateContent>
          </w:r>
          <w:r>
            <w:rPr>
              <w:noProof/>
              <w:lang w:eastAsia="en-AU"/>
            </w:rPr>
            <w:drawing>
              <wp:inline distT="0" distB="0" distL="0" distR="0" wp14:anchorId="3F33DD37" wp14:editId="43BA53DB">
                <wp:extent cx="1572479" cy="561600"/>
                <wp:effectExtent l="0" t="0" r="8890" b="0"/>
                <wp:docPr id="19" name="Picture 1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tc>
      <w:tc>
        <w:tcPr>
          <w:tcW w:w="3104" w:type="dxa"/>
          <w:noWrap/>
          <w:tcMar>
            <w:left w:w="227" w:type="dxa"/>
            <w:right w:w="0" w:type="dxa"/>
          </w:tcMar>
        </w:tcPr>
        <w:p w14:paraId="199D12B0" w14:textId="79D7DB77" w:rsidR="004257E4" w:rsidRPr="00993985" w:rsidRDefault="004257E4" w:rsidP="00542647">
          <w:pPr>
            <w:spacing w:before="120" w:after="0"/>
            <w:rPr>
              <w:rFonts w:cs="Lato Regular"/>
              <w:caps/>
              <w:color w:val="231F20"/>
              <w:u w:color="000000"/>
              <w:lang w:val="en-US" w:eastAsia="ja-JP"/>
            </w:rPr>
          </w:pPr>
          <w:r w:rsidRPr="002812CA">
            <w:rPr>
              <w:rFonts w:cs="Lato Regular"/>
              <w:color w:val="231F20"/>
              <w:u w:color="000000"/>
              <w:lang w:val="en-US" w:eastAsia="ja-JP"/>
            </w:rPr>
            <w:t>Department of</w:t>
          </w:r>
          <w:r w:rsidR="00993985">
            <w:rPr>
              <w:rFonts w:cs="Lato Regular"/>
              <w:caps/>
              <w:color w:val="231F20"/>
              <w:u w:color="000000"/>
              <w:lang w:val="en-US" w:eastAsia="ja-JP"/>
            </w:rPr>
            <w:t xml:space="preserve"> </w:t>
          </w:r>
          <w:r w:rsidR="00494405">
            <w:rPr>
              <w:rFonts w:cs="Lato Regular"/>
              <w:b/>
              <w:caps/>
              <w:color w:val="231F20"/>
              <w:u w:color="000000"/>
              <w:lang w:val="en-US" w:eastAsia="ja-JP"/>
            </w:rPr>
            <w:t xml:space="preserve">Tourism and Hospitality </w:t>
          </w:r>
        </w:p>
      </w:tc>
      <w:tc>
        <w:tcPr>
          <w:tcW w:w="4414" w:type="dxa"/>
          <w:vMerge w:val="restart"/>
          <w:tcMar>
            <w:right w:w="0" w:type="dxa"/>
          </w:tcMar>
        </w:tcPr>
        <w:p w14:paraId="39E2BC82" w14:textId="77777777" w:rsidR="004257E4" w:rsidRPr="00B368A4" w:rsidRDefault="004257E4" w:rsidP="00DC53E9">
          <w:pPr>
            <w:spacing w:after="0"/>
            <w:jc w:val="right"/>
            <w:rPr>
              <w:sz w:val="19"/>
              <w:szCs w:val="19"/>
            </w:rPr>
          </w:pPr>
        </w:p>
      </w:tc>
    </w:tr>
    <w:tr w:rsidR="00DD2FA7" w:rsidRPr="003005B4" w14:paraId="20A99A5F" w14:textId="77777777" w:rsidTr="00542647">
      <w:trPr>
        <w:cantSplit/>
        <w:trHeight w:val="329"/>
        <w:tblHeader/>
      </w:trPr>
      <w:tc>
        <w:tcPr>
          <w:tcW w:w="5837" w:type="dxa"/>
          <w:gridSpan w:val="2"/>
          <w:tcMar>
            <w:left w:w="851" w:type="dxa"/>
            <w:right w:w="0" w:type="dxa"/>
          </w:tcMar>
        </w:tcPr>
        <w:p w14:paraId="5F350FB9" w14:textId="77777777" w:rsidR="00DD2FA7" w:rsidRPr="001614BE" w:rsidRDefault="00DD2FA7" w:rsidP="00542647">
          <w:pPr>
            <w:spacing w:after="0"/>
          </w:pPr>
        </w:p>
      </w:tc>
      <w:tc>
        <w:tcPr>
          <w:tcW w:w="4414" w:type="dxa"/>
          <w:vMerge/>
        </w:tcPr>
        <w:p w14:paraId="11A922D2" w14:textId="77777777" w:rsidR="00DD2FA7" w:rsidRDefault="00DD2FA7" w:rsidP="004257E4">
          <w:pPr>
            <w:spacing w:before="120" w:after="0"/>
          </w:pPr>
        </w:p>
      </w:tc>
    </w:tr>
  </w:tbl>
  <w:p w14:paraId="2593FE50" w14:textId="77777777" w:rsidR="00E908F1" w:rsidRPr="000E3ED2" w:rsidRDefault="00100A65" w:rsidP="00A75ACB">
    <w:pPr>
      <w:pStyle w:val="Hidden"/>
    </w:pPr>
    <w:r>
      <w:rPr>
        <w:noProof/>
        <w:lang w:eastAsia="en-AU"/>
      </w:rPr>
      <mc:AlternateContent>
        <mc:Choice Requires="wps">
          <w:drawing>
            <wp:anchor distT="0" distB="0" distL="114300" distR="114300" simplePos="0" relativeHeight="251671552" behindDoc="0" locked="0" layoutInCell="1" allowOverlap="1" wp14:anchorId="5E2FE055" wp14:editId="6DBE0CAB">
              <wp:simplePos x="0" y="0"/>
              <wp:positionH relativeFrom="column">
                <wp:posOffset>-245658069</wp:posOffset>
              </wp:positionH>
              <wp:positionV relativeFrom="paragraph">
                <wp:posOffset>-248840307</wp:posOffset>
              </wp:positionV>
              <wp:extent cx="302895" cy="143510"/>
              <wp:effectExtent l="3493" t="0" r="5397" b="5398"/>
              <wp:wrapNone/>
              <wp:docPr id="2" name="Rectangle 2"/>
              <wp:cNvGraphicFramePr/>
              <a:graphic xmlns:a="http://schemas.openxmlformats.org/drawingml/2006/main">
                <a:graphicData uri="http://schemas.microsoft.com/office/word/2010/wordprocessingShape">
                  <wps:wsp>
                    <wps:cNvSpPr/>
                    <wps:spPr>
                      <a:xfrm rot="5400000">
                        <a:off x="0" y="0"/>
                        <a:ext cx="302895" cy="1435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ACB8" id="Rectangle 2" o:spid="_x0000_s1026" style="position:absolute;margin-left:-19343.15pt;margin-top:-19593.7pt;width:23.85pt;height:11.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" fillcolor="#c25062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0019"/>
    <w:multiLevelType w:val="hybridMultilevel"/>
    <w:tmpl w:val="B77A6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A861A6"/>
    <w:multiLevelType w:val="hybridMultilevel"/>
    <w:tmpl w:val="C29EB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94469"/>
    <w:multiLevelType w:val="hybridMultilevel"/>
    <w:tmpl w:val="4A5C2740"/>
    <w:lvl w:ilvl="0" w:tplc="05BEC1B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452613"/>
    <w:multiLevelType w:val="hybridMultilevel"/>
    <w:tmpl w:val="AEFA4124"/>
    <w:lvl w:ilvl="0" w:tplc="F04E9956">
      <w:start w:val="48"/>
      <w:numFmt w:val="decimal"/>
      <w:lvlText w:val="%1."/>
      <w:lvlJc w:val="left"/>
      <w:pPr>
        <w:ind w:left="144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8F7710B"/>
    <w:multiLevelType w:val="hybridMultilevel"/>
    <w:tmpl w:val="297AA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33B51"/>
    <w:multiLevelType w:val="hybridMultilevel"/>
    <w:tmpl w:val="350207F2"/>
    <w:lvl w:ilvl="0" w:tplc="FFFFFFFF">
      <w:start w:val="1"/>
      <w:numFmt w:val="decimal"/>
      <w:lvlText w:val="%1."/>
      <w:lvlJc w:val="left"/>
      <w:pPr>
        <w:ind w:left="720" w:hanging="360"/>
      </w:pPr>
      <w:rPr>
        <w:color w:val="auto"/>
      </w:rPr>
    </w:lvl>
    <w:lvl w:ilvl="1" w:tplc="FFFFFFFF">
      <w:start w:val="1"/>
      <w:numFmt w:val="decimal"/>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DDE0EB6"/>
    <w:multiLevelType w:val="hybridMultilevel"/>
    <w:tmpl w:val="B64ACF8A"/>
    <w:lvl w:ilvl="0" w:tplc="FFFFFFFF">
      <w:start w:val="1"/>
      <w:numFmt w:val="decimal"/>
      <w:lvlText w:val="%1."/>
      <w:lvlJc w:val="left"/>
      <w:pPr>
        <w:ind w:left="-131" w:hanging="360"/>
      </w:pPr>
    </w:lvl>
    <w:lvl w:ilvl="1" w:tplc="FFFFFFFF">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8" w15:restartNumberingAfterBreak="0">
    <w:nsid w:val="22112DC2"/>
    <w:multiLevelType w:val="hybridMultilevel"/>
    <w:tmpl w:val="51848F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60D7F6E"/>
    <w:multiLevelType w:val="hybridMultilevel"/>
    <w:tmpl w:val="DAE29F78"/>
    <w:lvl w:ilvl="0" w:tplc="05BEC1B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83413AC"/>
    <w:multiLevelType w:val="hybridMultilevel"/>
    <w:tmpl w:val="B15C859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3770ED4"/>
    <w:multiLevelType w:val="hybridMultilevel"/>
    <w:tmpl w:val="D02CB5FE"/>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8815E8D"/>
    <w:multiLevelType w:val="hybridMultilevel"/>
    <w:tmpl w:val="1D9AE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C670B2E"/>
    <w:multiLevelType w:val="hybridMultilevel"/>
    <w:tmpl w:val="F74849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7246778"/>
    <w:multiLevelType w:val="hybridMultilevel"/>
    <w:tmpl w:val="7B285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AA02F95"/>
    <w:multiLevelType w:val="hybridMultilevel"/>
    <w:tmpl w:val="715EB578"/>
    <w:lvl w:ilvl="0" w:tplc="0C09000F">
      <w:start w:val="1"/>
      <w:numFmt w:val="decimal"/>
      <w:lvlText w:val="%1."/>
      <w:lvlJc w:val="left"/>
      <w:pPr>
        <w:ind w:left="-131" w:hanging="360"/>
      </w:pPr>
    </w:lvl>
    <w:lvl w:ilvl="1" w:tplc="0C090017">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2005DD"/>
    <w:multiLevelType w:val="hybridMultilevel"/>
    <w:tmpl w:val="D17AC1BE"/>
    <w:lvl w:ilvl="0" w:tplc="A61AB944">
      <w:start w:val="1"/>
      <w:numFmt w:val="decimal"/>
      <w:lvlText w:val="%1."/>
      <w:lvlJc w:val="left"/>
      <w:pPr>
        <w:ind w:left="720" w:hanging="360"/>
      </w:pPr>
      <w:rPr>
        <w:i w:val="0"/>
        <w:iCs/>
        <w:color w:val="auto"/>
      </w:rPr>
    </w:lvl>
    <w:lvl w:ilvl="1" w:tplc="8FC60802">
      <w:start w:val="1"/>
      <w:numFmt w:val="lowerLetter"/>
      <w:lvlText w:val="%2."/>
      <w:lvlJc w:val="left"/>
      <w:pPr>
        <w:ind w:left="1440" w:hanging="360"/>
      </w:pPr>
      <w:rPr>
        <w:i w:val="0"/>
        <w:iC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23D393D"/>
    <w:multiLevelType w:val="hybridMultilevel"/>
    <w:tmpl w:val="F06AC31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8B02AE6"/>
    <w:multiLevelType w:val="hybridMultilevel"/>
    <w:tmpl w:val="D5826470"/>
    <w:lvl w:ilvl="0" w:tplc="05BEC1B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0237362"/>
    <w:multiLevelType w:val="hybridMultilevel"/>
    <w:tmpl w:val="AB881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614CF8"/>
    <w:multiLevelType w:val="hybridMultilevel"/>
    <w:tmpl w:val="F67EFA00"/>
    <w:lvl w:ilvl="0" w:tplc="05BEC1B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D10B20"/>
    <w:multiLevelType w:val="hybridMultilevel"/>
    <w:tmpl w:val="7DB2A922"/>
    <w:lvl w:ilvl="0" w:tplc="0C090017">
      <w:start w:val="1"/>
      <w:numFmt w:val="lowerLetter"/>
      <w:lvlText w:val="%1)"/>
      <w:lvlJc w:val="left"/>
      <w:pPr>
        <w:ind w:left="589"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69262556"/>
    <w:multiLevelType w:val="multilevel"/>
    <w:tmpl w:val="3E5E177A"/>
    <w:name w:val="NTG Table Bullet List3322222222222222"/>
    <w:numStyleLink w:val="Tablenumberlist"/>
  </w:abstractNum>
  <w:abstractNum w:abstractNumId="52" w15:restartNumberingAfterBreak="0">
    <w:nsid w:val="6BA3152E"/>
    <w:multiLevelType w:val="hybridMultilevel"/>
    <w:tmpl w:val="65FE2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2F91626"/>
    <w:multiLevelType w:val="hybridMultilevel"/>
    <w:tmpl w:val="B7526A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3F966F4"/>
    <w:multiLevelType w:val="hybridMultilevel"/>
    <w:tmpl w:val="B614BEBC"/>
    <w:lvl w:ilvl="0" w:tplc="05BEC1B6">
      <w:start w:val="1"/>
      <w:numFmt w:val="decimal"/>
      <w:lvlText w:val="%1."/>
      <w:lvlJc w:val="left"/>
      <w:pPr>
        <w:ind w:left="1571" w:hanging="360"/>
      </w:pPr>
      <w:rPr>
        <w:color w:val="auto"/>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5" w15:restartNumberingAfterBreak="0">
    <w:nsid w:val="742F0A19"/>
    <w:multiLevelType w:val="hybridMultilevel"/>
    <w:tmpl w:val="386AA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453664D"/>
    <w:multiLevelType w:val="multilevel"/>
    <w:tmpl w:val="0C78A7AC"/>
    <w:name w:val="NTG Table Bullet List3322222222222222222"/>
    <w:numStyleLink w:val="Tablebulletlist"/>
  </w:abstractNum>
  <w:abstractNum w:abstractNumId="57" w15:restartNumberingAfterBreak="0">
    <w:nsid w:val="7531244B"/>
    <w:multiLevelType w:val="hybridMultilevel"/>
    <w:tmpl w:val="093A4EC8"/>
    <w:lvl w:ilvl="0" w:tplc="A61AB944">
      <w:start w:val="1"/>
      <w:numFmt w:val="decimal"/>
      <w:lvlText w:val="%1."/>
      <w:lvlJc w:val="left"/>
      <w:pPr>
        <w:ind w:left="-207" w:hanging="360"/>
      </w:pPr>
      <w:rPr>
        <w:i w:val="0"/>
        <w:iCs/>
        <w:color w:val="auto"/>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BDF6234"/>
    <w:multiLevelType w:val="hybridMultilevel"/>
    <w:tmpl w:val="533CB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2" w15:restartNumberingAfterBreak="0">
    <w:nsid w:val="7FD9779F"/>
    <w:multiLevelType w:val="hybridMultilevel"/>
    <w:tmpl w:val="4C140C0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28824431">
    <w:abstractNumId w:val="30"/>
  </w:num>
  <w:num w:numId="2" w16cid:durableId="1160660751">
    <w:abstractNumId w:val="19"/>
  </w:num>
  <w:num w:numId="3" w16cid:durableId="466972299">
    <w:abstractNumId w:val="59"/>
  </w:num>
  <w:num w:numId="4" w16cid:durableId="1849176056">
    <w:abstractNumId w:val="37"/>
  </w:num>
  <w:num w:numId="5" w16cid:durableId="678233696">
    <w:abstractNumId w:val="25"/>
  </w:num>
  <w:num w:numId="6" w16cid:durableId="384572361">
    <w:abstractNumId w:val="13"/>
  </w:num>
  <w:num w:numId="7" w16cid:durableId="1037391459">
    <w:abstractNumId w:val="41"/>
  </w:num>
  <w:num w:numId="8" w16cid:durableId="508176147">
    <w:abstractNumId w:val="23"/>
  </w:num>
  <w:num w:numId="9" w16cid:durableId="624891058">
    <w:abstractNumId w:val="36"/>
  </w:num>
  <w:num w:numId="10" w16cid:durableId="1157184629">
    <w:abstractNumId w:val="34"/>
  </w:num>
  <w:num w:numId="11" w16cid:durableId="1848978030">
    <w:abstractNumId w:val="0"/>
  </w:num>
  <w:num w:numId="12" w16cid:durableId="1022587212">
    <w:abstractNumId w:val="33"/>
  </w:num>
  <w:num w:numId="13" w16cid:durableId="174075110">
    <w:abstractNumId w:val="17"/>
  </w:num>
  <w:num w:numId="14" w16cid:durableId="1646470101">
    <w:abstractNumId w:val="50"/>
  </w:num>
  <w:num w:numId="15" w16cid:durableId="1687167366">
    <w:abstractNumId w:val="38"/>
  </w:num>
  <w:num w:numId="16" w16cid:durableId="1011378005">
    <w:abstractNumId w:val="53"/>
  </w:num>
  <w:num w:numId="17" w16cid:durableId="1853715788">
    <w:abstractNumId w:val="31"/>
  </w:num>
  <w:num w:numId="18" w16cid:durableId="1506243747">
    <w:abstractNumId w:val="52"/>
  </w:num>
  <w:num w:numId="19" w16cid:durableId="1779520187">
    <w:abstractNumId w:val="2"/>
  </w:num>
  <w:num w:numId="20" w16cid:durableId="13504136">
    <w:abstractNumId w:val="10"/>
  </w:num>
  <w:num w:numId="21" w16cid:durableId="309798322">
    <w:abstractNumId w:val="48"/>
  </w:num>
  <w:num w:numId="22" w16cid:durableId="1196233051">
    <w:abstractNumId w:val="12"/>
  </w:num>
  <w:num w:numId="23" w16cid:durableId="937636027">
    <w:abstractNumId w:val="20"/>
  </w:num>
  <w:num w:numId="24" w16cid:durableId="708995067">
    <w:abstractNumId w:val="45"/>
  </w:num>
  <w:num w:numId="25" w16cid:durableId="421687906">
    <w:abstractNumId w:val="54"/>
  </w:num>
  <w:num w:numId="26" w16cid:durableId="466625435">
    <w:abstractNumId w:val="29"/>
  </w:num>
  <w:num w:numId="27" w16cid:durableId="437680022">
    <w:abstractNumId w:val="40"/>
  </w:num>
  <w:num w:numId="28" w16cid:durableId="493570295">
    <w:abstractNumId w:val="62"/>
  </w:num>
  <w:num w:numId="29" w16cid:durableId="1894340526">
    <w:abstractNumId w:val="60"/>
  </w:num>
  <w:num w:numId="30" w16cid:durableId="815335220">
    <w:abstractNumId w:val="3"/>
  </w:num>
  <w:num w:numId="31" w16cid:durableId="1768040715">
    <w:abstractNumId w:val="24"/>
  </w:num>
  <w:num w:numId="32" w16cid:durableId="2044161685">
    <w:abstractNumId w:val="7"/>
  </w:num>
  <w:num w:numId="33" w16cid:durableId="472722118">
    <w:abstractNumId w:val="18"/>
  </w:num>
  <w:num w:numId="34" w16cid:durableId="1470433953">
    <w:abstractNumId w:val="49"/>
  </w:num>
  <w:num w:numId="35" w16cid:durableId="1114057326">
    <w:abstractNumId w:val="55"/>
  </w:num>
  <w:num w:numId="36" w16cid:durableId="1561555377">
    <w:abstractNumId w:val="5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47"/>
    <w:rsid w:val="00001DA5"/>
    <w:rsid w:val="00001DDF"/>
    <w:rsid w:val="0000322D"/>
    <w:rsid w:val="00005487"/>
    <w:rsid w:val="00007670"/>
    <w:rsid w:val="00010665"/>
    <w:rsid w:val="00014609"/>
    <w:rsid w:val="00014E6A"/>
    <w:rsid w:val="000168BF"/>
    <w:rsid w:val="00023412"/>
    <w:rsid w:val="0002393A"/>
    <w:rsid w:val="00027DB8"/>
    <w:rsid w:val="00031A96"/>
    <w:rsid w:val="00035053"/>
    <w:rsid w:val="000405EC"/>
    <w:rsid w:val="00040893"/>
    <w:rsid w:val="00040BF3"/>
    <w:rsid w:val="0004211C"/>
    <w:rsid w:val="00042E7D"/>
    <w:rsid w:val="00046B55"/>
    <w:rsid w:val="00046C59"/>
    <w:rsid w:val="00051362"/>
    <w:rsid w:val="00051F45"/>
    <w:rsid w:val="00052953"/>
    <w:rsid w:val="0005341A"/>
    <w:rsid w:val="00056DEF"/>
    <w:rsid w:val="00056EDC"/>
    <w:rsid w:val="000575AE"/>
    <w:rsid w:val="00064F4E"/>
    <w:rsid w:val="000661E3"/>
    <w:rsid w:val="0006635A"/>
    <w:rsid w:val="00066E4E"/>
    <w:rsid w:val="000720BE"/>
    <w:rsid w:val="0007259C"/>
    <w:rsid w:val="00072984"/>
    <w:rsid w:val="00080202"/>
    <w:rsid w:val="00080DCD"/>
    <w:rsid w:val="00080E22"/>
    <w:rsid w:val="00081C07"/>
    <w:rsid w:val="00082573"/>
    <w:rsid w:val="000840A3"/>
    <w:rsid w:val="00085062"/>
    <w:rsid w:val="00085A4F"/>
    <w:rsid w:val="0008624F"/>
    <w:rsid w:val="00086A5F"/>
    <w:rsid w:val="000911EF"/>
    <w:rsid w:val="00091534"/>
    <w:rsid w:val="0009268F"/>
    <w:rsid w:val="00092F27"/>
    <w:rsid w:val="00094C99"/>
    <w:rsid w:val="00095937"/>
    <w:rsid w:val="000962C5"/>
    <w:rsid w:val="000972BC"/>
    <w:rsid w:val="00097865"/>
    <w:rsid w:val="000A4317"/>
    <w:rsid w:val="000A4CED"/>
    <w:rsid w:val="000A559C"/>
    <w:rsid w:val="000A6370"/>
    <w:rsid w:val="000A78B3"/>
    <w:rsid w:val="000B13C9"/>
    <w:rsid w:val="000B164C"/>
    <w:rsid w:val="000B2CA1"/>
    <w:rsid w:val="000B50A8"/>
    <w:rsid w:val="000B68E7"/>
    <w:rsid w:val="000D15FC"/>
    <w:rsid w:val="000D1F29"/>
    <w:rsid w:val="000D2677"/>
    <w:rsid w:val="000D337B"/>
    <w:rsid w:val="000D633D"/>
    <w:rsid w:val="000D71F1"/>
    <w:rsid w:val="000D7EA8"/>
    <w:rsid w:val="000E342B"/>
    <w:rsid w:val="000E3ED2"/>
    <w:rsid w:val="000E5D11"/>
    <w:rsid w:val="000E5DD2"/>
    <w:rsid w:val="000F2958"/>
    <w:rsid w:val="000F3850"/>
    <w:rsid w:val="000F3951"/>
    <w:rsid w:val="000F4837"/>
    <w:rsid w:val="000F5850"/>
    <w:rsid w:val="000F604F"/>
    <w:rsid w:val="00100992"/>
    <w:rsid w:val="00100A65"/>
    <w:rsid w:val="00104E7F"/>
    <w:rsid w:val="001137EC"/>
    <w:rsid w:val="001152F5"/>
    <w:rsid w:val="00117743"/>
    <w:rsid w:val="00117860"/>
    <w:rsid w:val="00117F5B"/>
    <w:rsid w:val="001270CE"/>
    <w:rsid w:val="00130337"/>
    <w:rsid w:val="00131D85"/>
    <w:rsid w:val="00132658"/>
    <w:rsid w:val="00132670"/>
    <w:rsid w:val="0013302A"/>
    <w:rsid w:val="00136393"/>
    <w:rsid w:val="001444A7"/>
    <w:rsid w:val="00150DC0"/>
    <w:rsid w:val="001529B2"/>
    <w:rsid w:val="00156CD4"/>
    <w:rsid w:val="00156D75"/>
    <w:rsid w:val="00157082"/>
    <w:rsid w:val="001614BE"/>
    <w:rsid w:val="0016153B"/>
    <w:rsid w:val="00162207"/>
    <w:rsid w:val="00164A3E"/>
    <w:rsid w:val="00166B67"/>
    <w:rsid w:val="00166FF6"/>
    <w:rsid w:val="00173F6A"/>
    <w:rsid w:val="00176123"/>
    <w:rsid w:val="00176EC4"/>
    <w:rsid w:val="001774AE"/>
    <w:rsid w:val="00180B22"/>
    <w:rsid w:val="00181579"/>
    <w:rsid w:val="00181620"/>
    <w:rsid w:val="00181905"/>
    <w:rsid w:val="00187130"/>
    <w:rsid w:val="001877D4"/>
    <w:rsid w:val="001903D0"/>
    <w:rsid w:val="00193E39"/>
    <w:rsid w:val="001957AD"/>
    <w:rsid w:val="001963B2"/>
    <w:rsid w:val="00196F8E"/>
    <w:rsid w:val="001A24A4"/>
    <w:rsid w:val="001A2B7F"/>
    <w:rsid w:val="001A2E37"/>
    <w:rsid w:val="001A3AFD"/>
    <w:rsid w:val="001A496C"/>
    <w:rsid w:val="001A576A"/>
    <w:rsid w:val="001A5BEC"/>
    <w:rsid w:val="001A5FDE"/>
    <w:rsid w:val="001A75C5"/>
    <w:rsid w:val="001A7B58"/>
    <w:rsid w:val="001B28DA"/>
    <w:rsid w:val="001B2B6C"/>
    <w:rsid w:val="001D01C4"/>
    <w:rsid w:val="001D0F2D"/>
    <w:rsid w:val="001D4F99"/>
    <w:rsid w:val="001D52B0"/>
    <w:rsid w:val="001D5A18"/>
    <w:rsid w:val="001D5ABE"/>
    <w:rsid w:val="001D647A"/>
    <w:rsid w:val="001D760A"/>
    <w:rsid w:val="001D7CA4"/>
    <w:rsid w:val="001E057F"/>
    <w:rsid w:val="001E09BD"/>
    <w:rsid w:val="001E14EB"/>
    <w:rsid w:val="001F181A"/>
    <w:rsid w:val="001F1C43"/>
    <w:rsid w:val="001F59E6"/>
    <w:rsid w:val="00200016"/>
    <w:rsid w:val="0020160D"/>
    <w:rsid w:val="002018A6"/>
    <w:rsid w:val="00201DAA"/>
    <w:rsid w:val="00203F1C"/>
    <w:rsid w:val="00204679"/>
    <w:rsid w:val="002048E1"/>
    <w:rsid w:val="0020501C"/>
    <w:rsid w:val="00206936"/>
    <w:rsid w:val="00206C6F"/>
    <w:rsid w:val="00206FBD"/>
    <w:rsid w:val="00207746"/>
    <w:rsid w:val="00207C0E"/>
    <w:rsid w:val="00213948"/>
    <w:rsid w:val="002157B7"/>
    <w:rsid w:val="002213FB"/>
    <w:rsid w:val="00222893"/>
    <w:rsid w:val="002256DD"/>
    <w:rsid w:val="00230031"/>
    <w:rsid w:val="0023392F"/>
    <w:rsid w:val="00234C3F"/>
    <w:rsid w:val="00235C01"/>
    <w:rsid w:val="00241EA7"/>
    <w:rsid w:val="002469E5"/>
    <w:rsid w:val="00247343"/>
    <w:rsid w:val="00247B34"/>
    <w:rsid w:val="00251F73"/>
    <w:rsid w:val="00263838"/>
    <w:rsid w:val="00263BE5"/>
    <w:rsid w:val="00265C56"/>
    <w:rsid w:val="00265EB4"/>
    <w:rsid w:val="002716CD"/>
    <w:rsid w:val="00274D4B"/>
    <w:rsid w:val="002768D2"/>
    <w:rsid w:val="002806F5"/>
    <w:rsid w:val="002812CA"/>
    <w:rsid w:val="00281577"/>
    <w:rsid w:val="002832EC"/>
    <w:rsid w:val="0028620D"/>
    <w:rsid w:val="002926BC"/>
    <w:rsid w:val="00293A72"/>
    <w:rsid w:val="00295E40"/>
    <w:rsid w:val="002A0160"/>
    <w:rsid w:val="002A1D59"/>
    <w:rsid w:val="002A30C3"/>
    <w:rsid w:val="002A36E4"/>
    <w:rsid w:val="002A5BBC"/>
    <w:rsid w:val="002A6F6A"/>
    <w:rsid w:val="002A7712"/>
    <w:rsid w:val="002B169E"/>
    <w:rsid w:val="002B38F7"/>
    <w:rsid w:val="002B4F50"/>
    <w:rsid w:val="002B5591"/>
    <w:rsid w:val="002B6AA4"/>
    <w:rsid w:val="002C1FE9"/>
    <w:rsid w:val="002C3A47"/>
    <w:rsid w:val="002D254F"/>
    <w:rsid w:val="002D3A57"/>
    <w:rsid w:val="002D42BE"/>
    <w:rsid w:val="002D4942"/>
    <w:rsid w:val="002D561F"/>
    <w:rsid w:val="002D7D05"/>
    <w:rsid w:val="002E20C8"/>
    <w:rsid w:val="002E4032"/>
    <w:rsid w:val="002E4290"/>
    <w:rsid w:val="002E5040"/>
    <w:rsid w:val="002E66A6"/>
    <w:rsid w:val="002F0DB1"/>
    <w:rsid w:val="002F2885"/>
    <w:rsid w:val="002F45A1"/>
    <w:rsid w:val="002F478B"/>
    <w:rsid w:val="0030203D"/>
    <w:rsid w:val="003037F9"/>
    <w:rsid w:val="0030583E"/>
    <w:rsid w:val="00306656"/>
    <w:rsid w:val="003066B1"/>
    <w:rsid w:val="003075F3"/>
    <w:rsid w:val="00307FE1"/>
    <w:rsid w:val="003142CF"/>
    <w:rsid w:val="003164BA"/>
    <w:rsid w:val="00322349"/>
    <w:rsid w:val="00323109"/>
    <w:rsid w:val="00324807"/>
    <w:rsid w:val="00324C49"/>
    <w:rsid w:val="003258E6"/>
    <w:rsid w:val="00330090"/>
    <w:rsid w:val="00330F15"/>
    <w:rsid w:val="00335CDE"/>
    <w:rsid w:val="0033607F"/>
    <w:rsid w:val="0034074F"/>
    <w:rsid w:val="00342283"/>
    <w:rsid w:val="00343A87"/>
    <w:rsid w:val="00344A36"/>
    <w:rsid w:val="003456F4"/>
    <w:rsid w:val="003462F0"/>
    <w:rsid w:val="00347FB6"/>
    <w:rsid w:val="003504FD"/>
    <w:rsid w:val="00350881"/>
    <w:rsid w:val="00351DAF"/>
    <w:rsid w:val="0035482D"/>
    <w:rsid w:val="0035630D"/>
    <w:rsid w:val="00357D55"/>
    <w:rsid w:val="00361F86"/>
    <w:rsid w:val="00363513"/>
    <w:rsid w:val="003657E5"/>
    <w:rsid w:val="0036589C"/>
    <w:rsid w:val="00371312"/>
    <w:rsid w:val="00371DC7"/>
    <w:rsid w:val="00372457"/>
    <w:rsid w:val="0037452E"/>
    <w:rsid w:val="00376982"/>
    <w:rsid w:val="00377B21"/>
    <w:rsid w:val="00377E00"/>
    <w:rsid w:val="00380304"/>
    <w:rsid w:val="0038081D"/>
    <w:rsid w:val="00385506"/>
    <w:rsid w:val="00385A8A"/>
    <w:rsid w:val="00386F01"/>
    <w:rsid w:val="00390CE3"/>
    <w:rsid w:val="00394876"/>
    <w:rsid w:val="00394AAF"/>
    <w:rsid w:val="00394CE5"/>
    <w:rsid w:val="003A1FFD"/>
    <w:rsid w:val="003A38E4"/>
    <w:rsid w:val="003A6341"/>
    <w:rsid w:val="003B1862"/>
    <w:rsid w:val="003B674D"/>
    <w:rsid w:val="003B67FD"/>
    <w:rsid w:val="003B6A61"/>
    <w:rsid w:val="003C0E88"/>
    <w:rsid w:val="003D0684"/>
    <w:rsid w:val="003D0F63"/>
    <w:rsid w:val="003D2E32"/>
    <w:rsid w:val="003D37E5"/>
    <w:rsid w:val="003D3ADA"/>
    <w:rsid w:val="003D42C0"/>
    <w:rsid w:val="003D471F"/>
    <w:rsid w:val="003D5B29"/>
    <w:rsid w:val="003D6DC9"/>
    <w:rsid w:val="003D7818"/>
    <w:rsid w:val="003E2445"/>
    <w:rsid w:val="003E252A"/>
    <w:rsid w:val="003E3BB2"/>
    <w:rsid w:val="003E6E26"/>
    <w:rsid w:val="003F5B58"/>
    <w:rsid w:val="003F7E4D"/>
    <w:rsid w:val="0040222A"/>
    <w:rsid w:val="004047BC"/>
    <w:rsid w:val="00406DAC"/>
    <w:rsid w:val="00406FDD"/>
    <w:rsid w:val="00407DD3"/>
    <w:rsid w:val="004100F7"/>
    <w:rsid w:val="00410716"/>
    <w:rsid w:val="00412196"/>
    <w:rsid w:val="004128A6"/>
    <w:rsid w:val="00414CB3"/>
    <w:rsid w:val="0041540E"/>
    <w:rsid w:val="0041563D"/>
    <w:rsid w:val="0041762C"/>
    <w:rsid w:val="00423B4C"/>
    <w:rsid w:val="004250ED"/>
    <w:rsid w:val="004257E4"/>
    <w:rsid w:val="004265EC"/>
    <w:rsid w:val="00426E25"/>
    <w:rsid w:val="004279BB"/>
    <w:rsid w:val="00427D9C"/>
    <w:rsid w:val="00427E7E"/>
    <w:rsid w:val="0043226D"/>
    <w:rsid w:val="004326FD"/>
    <w:rsid w:val="0043450D"/>
    <w:rsid w:val="00434530"/>
    <w:rsid w:val="0043465D"/>
    <w:rsid w:val="00437BAF"/>
    <w:rsid w:val="004428BE"/>
    <w:rsid w:val="00443B6E"/>
    <w:rsid w:val="0045420A"/>
    <w:rsid w:val="004554D4"/>
    <w:rsid w:val="00456AD2"/>
    <w:rsid w:val="004570CC"/>
    <w:rsid w:val="0045725B"/>
    <w:rsid w:val="0046155A"/>
    <w:rsid w:val="00461744"/>
    <w:rsid w:val="00463322"/>
    <w:rsid w:val="00466131"/>
    <w:rsid w:val="00466185"/>
    <w:rsid w:val="00466303"/>
    <w:rsid w:val="004668A7"/>
    <w:rsid w:val="00466D96"/>
    <w:rsid w:val="00467747"/>
    <w:rsid w:val="00470017"/>
    <w:rsid w:val="00470A42"/>
    <w:rsid w:val="0047105A"/>
    <w:rsid w:val="0047128B"/>
    <w:rsid w:val="00473C98"/>
    <w:rsid w:val="00473DC2"/>
    <w:rsid w:val="00474965"/>
    <w:rsid w:val="00477872"/>
    <w:rsid w:val="0047793F"/>
    <w:rsid w:val="004800B2"/>
    <w:rsid w:val="004815FE"/>
    <w:rsid w:val="00482DF8"/>
    <w:rsid w:val="004864DE"/>
    <w:rsid w:val="00494405"/>
    <w:rsid w:val="00494BE5"/>
    <w:rsid w:val="00495A8A"/>
    <w:rsid w:val="004A0332"/>
    <w:rsid w:val="004A0EBA"/>
    <w:rsid w:val="004A2538"/>
    <w:rsid w:val="004A331E"/>
    <w:rsid w:val="004A7860"/>
    <w:rsid w:val="004B0C15"/>
    <w:rsid w:val="004B35EA"/>
    <w:rsid w:val="004B50F0"/>
    <w:rsid w:val="004B5659"/>
    <w:rsid w:val="004B69E4"/>
    <w:rsid w:val="004B7357"/>
    <w:rsid w:val="004C07C0"/>
    <w:rsid w:val="004C100E"/>
    <w:rsid w:val="004C297B"/>
    <w:rsid w:val="004C6C39"/>
    <w:rsid w:val="004D00B5"/>
    <w:rsid w:val="004D075F"/>
    <w:rsid w:val="004D1B76"/>
    <w:rsid w:val="004D23E1"/>
    <w:rsid w:val="004D344E"/>
    <w:rsid w:val="004D5C40"/>
    <w:rsid w:val="004E019E"/>
    <w:rsid w:val="004E06EC"/>
    <w:rsid w:val="004E0A3F"/>
    <w:rsid w:val="004E2B6C"/>
    <w:rsid w:val="004E2CB7"/>
    <w:rsid w:val="004E3FFE"/>
    <w:rsid w:val="004E736B"/>
    <w:rsid w:val="004F016A"/>
    <w:rsid w:val="004F03CE"/>
    <w:rsid w:val="004F3F29"/>
    <w:rsid w:val="004F4A90"/>
    <w:rsid w:val="004F52E5"/>
    <w:rsid w:val="004F5FA5"/>
    <w:rsid w:val="004F601E"/>
    <w:rsid w:val="00500F94"/>
    <w:rsid w:val="0050172A"/>
    <w:rsid w:val="00502FB3"/>
    <w:rsid w:val="00503313"/>
    <w:rsid w:val="00503DE9"/>
    <w:rsid w:val="0050530C"/>
    <w:rsid w:val="00505DEA"/>
    <w:rsid w:val="00507782"/>
    <w:rsid w:val="00512A04"/>
    <w:rsid w:val="00520499"/>
    <w:rsid w:val="0052190F"/>
    <w:rsid w:val="00522047"/>
    <w:rsid w:val="005249F5"/>
    <w:rsid w:val="005260F7"/>
    <w:rsid w:val="005275B1"/>
    <w:rsid w:val="0053325F"/>
    <w:rsid w:val="005348E2"/>
    <w:rsid w:val="00542647"/>
    <w:rsid w:val="00543BD1"/>
    <w:rsid w:val="00544D8B"/>
    <w:rsid w:val="00546B3F"/>
    <w:rsid w:val="00546D16"/>
    <w:rsid w:val="005505CD"/>
    <w:rsid w:val="005512E5"/>
    <w:rsid w:val="00552FFA"/>
    <w:rsid w:val="00555100"/>
    <w:rsid w:val="00556113"/>
    <w:rsid w:val="0056048A"/>
    <w:rsid w:val="00562FB5"/>
    <w:rsid w:val="00564C12"/>
    <w:rsid w:val="005654B8"/>
    <w:rsid w:val="00570561"/>
    <w:rsid w:val="00571D9A"/>
    <w:rsid w:val="00575918"/>
    <w:rsid w:val="005762CC"/>
    <w:rsid w:val="005767C9"/>
    <w:rsid w:val="00582502"/>
    <w:rsid w:val="00582D3D"/>
    <w:rsid w:val="00590040"/>
    <w:rsid w:val="00593087"/>
    <w:rsid w:val="00594B48"/>
    <w:rsid w:val="00595386"/>
    <w:rsid w:val="005961D4"/>
    <w:rsid w:val="00597234"/>
    <w:rsid w:val="00597475"/>
    <w:rsid w:val="005A0784"/>
    <w:rsid w:val="005A4AC0"/>
    <w:rsid w:val="005A5FDF"/>
    <w:rsid w:val="005A71AE"/>
    <w:rsid w:val="005B0FB7"/>
    <w:rsid w:val="005B122A"/>
    <w:rsid w:val="005B1FCB"/>
    <w:rsid w:val="005B5AC2"/>
    <w:rsid w:val="005B75CE"/>
    <w:rsid w:val="005C1146"/>
    <w:rsid w:val="005C116D"/>
    <w:rsid w:val="005C2833"/>
    <w:rsid w:val="005D2F84"/>
    <w:rsid w:val="005D6E52"/>
    <w:rsid w:val="005E144D"/>
    <w:rsid w:val="005E147B"/>
    <w:rsid w:val="005E1500"/>
    <w:rsid w:val="005E1A53"/>
    <w:rsid w:val="005E3139"/>
    <w:rsid w:val="005E33BC"/>
    <w:rsid w:val="005E3A43"/>
    <w:rsid w:val="005F0B17"/>
    <w:rsid w:val="005F2672"/>
    <w:rsid w:val="005F34BA"/>
    <w:rsid w:val="005F3922"/>
    <w:rsid w:val="005F6DE9"/>
    <w:rsid w:val="005F77C7"/>
    <w:rsid w:val="006006C0"/>
    <w:rsid w:val="006127F0"/>
    <w:rsid w:val="0061310A"/>
    <w:rsid w:val="006146BC"/>
    <w:rsid w:val="0061746D"/>
    <w:rsid w:val="00620675"/>
    <w:rsid w:val="00622090"/>
    <w:rsid w:val="00622910"/>
    <w:rsid w:val="00624BE9"/>
    <w:rsid w:val="006254B6"/>
    <w:rsid w:val="00627FC8"/>
    <w:rsid w:val="006433C3"/>
    <w:rsid w:val="00643E80"/>
    <w:rsid w:val="00644A4B"/>
    <w:rsid w:val="00646BA7"/>
    <w:rsid w:val="006472E5"/>
    <w:rsid w:val="00647B35"/>
    <w:rsid w:val="00650F5B"/>
    <w:rsid w:val="006512B6"/>
    <w:rsid w:val="0065401E"/>
    <w:rsid w:val="00655AE4"/>
    <w:rsid w:val="00655CE5"/>
    <w:rsid w:val="00656BE0"/>
    <w:rsid w:val="00657949"/>
    <w:rsid w:val="006602F4"/>
    <w:rsid w:val="0066038A"/>
    <w:rsid w:val="00661234"/>
    <w:rsid w:val="006670D7"/>
    <w:rsid w:val="006719EA"/>
    <w:rsid w:val="00671F13"/>
    <w:rsid w:val="0067400A"/>
    <w:rsid w:val="00675F45"/>
    <w:rsid w:val="00676C0C"/>
    <w:rsid w:val="006810F9"/>
    <w:rsid w:val="006847AD"/>
    <w:rsid w:val="00684C2E"/>
    <w:rsid w:val="00687398"/>
    <w:rsid w:val="00690EB4"/>
    <w:rsid w:val="0069114B"/>
    <w:rsid w:val="00691C7D"/>
    <w:rsid w:val="006944C1"/>
    <w:rsid w:val="006A05DE"/>
    <w:rsid w:val="006A10F4"/>
    <w:rsid w:val="006A756A"/>
    <w:rsid w:val="006B1E4B"/>
    <w:rsid w:val="006B27E6"/>
    <w:rsid w:val="006B340B"/>
    <w:rsid w:val="006B50D0"/>
    <w:rsid w:val="006C1D5C"/>
    <w:rsid w:val="006C2411"/>
    <w:rsid w:val="006C324D"/>
    <w:rsid w:val="006C361F"/>
    <w:rsid w:val="006C5DDF"/>
    <w:rsid w:val="006D3037"/>
    <w:rsid w:val="006D4D7E"/>
    <w:rsid w:val="006D565C"/>
    <w:rsid w:val="006D66F7"/>
    <w:rsid w:val="006D7475"/>
    <w:rsid w:val="006D7DC3"/>
    <w:rsid w:val="006E18A7"/>
    <w:rsid w:val="006E1B0A"/>
    <w:rsid w:val="006E31F1"/>
    <w:rsid w:val="006E5410"/>
    <w:rsid w:val="006E5979"/>
    <w:rsid w:val="006F04A5"/>
    <w:rsid w:val="0070351C"/>
    <w:rsid w:val="00704CD0"/>
    <w:rsid w:val="00705C9D"/>
    <w:rsid w:val="00705F13"/>
    <w:rsid w:val="00706263"/>
    <w:rsid w:val="007114ED"/>
    <w:rsid w:val="00714F1D"/>
    <w:rsid w:val="00715225"/>
    <w:rsid w:val="00717C5E"/>
    <w:rsid w:val="00720CC6"/>
    <w:rsid w:val="007214E4"/>
    <w:rsid w:val="00722DDB"/>
    <w:rsid w:val="00724728"/>
    <w:rsid w:val="00724F98"/>
    <w:rsid w:val="00726445"/>
    <w:rsid w:val="00730B9B"/>
    <w:rsid w:val="007310DE"/>
    <w:rsid w:val="0073182E"/>
    <w:rsid w:val="007332FF"/>
    <w:rsid w:val="00735F5E"/>
    <w:rsid w:val="007361C1"/>
    <w:rsid w:val="00736E2C"/>
    <w:rsid w:val="007408F5"/>
    <w:rsid w:val="00741EAE"/>
    <w:rsid w:val="0074298E"/>
    <w:rsid w:val="00743F4E"/>
    <w:rsid w:val="007506A2"/>
    <w:rsid w:val="00750ECB"/>
    <w:rsid w:val="00752A9C"/>
    <w:rsid w:val="00753886"/>
    <w:rsid w:val="00753B50"/>
    <w:rsid w:val="00755248"/>
    <w:rsid w:val="007553A6"/>
    <w:rsid w:val="007567BB"/>
    <w:rsid w:val="00757516"/>
    <w:rsid w:val="00757AC4"/>
    <w:rsid w:val="00760A8F"/>
    <w:rsid w:val="0076190B"/>
    <w:rsid w:val="007622ED"/>
    <w:rsid w:val="00762FB0"/>
    <w:rsid w:val="0076355D"/>
    <w:rsid w:val="00763A2D"/>
    <w:rsid w:val="007676A4"/>
    <w:rsid w:val="00772183"/>
    <w:rsid w:val="0077348D"/>
    <w:rsid w:val="00775973"/>
    <w:rsid w:val="00776062"/>
    <w:rsid w:val="00777795"/>
    <w:rsid w:val="00783A57"/>
    <w:rsid w:val="00783CDE"/>
    <w:rsid w:val="00784C92"/>
    <w:rsid w:val="007859CD"/>
    <w:rsid w:val="00785C24"/>
    <w:rsid w:val="00786460"/>
    <w:rsid w:val="007907E4"/>
    <w:rsid w:val="00790832"/>
    <w:rsid w:val="007923F4"/>
    <w:rsid w:val="00792C4D"/>
    <w:rsid w:val="00795872"/>
    <w:rsid w:val="00796461"/>
    <w:rsid w:val="007972FA"/>
    <w:rsid w:val="00797718"/>
    <w:rsid w:val="007A6A4F"/>
    <w:rsid w:val="007A6BED"/>
    <w:rsid w:val="007B03F5"/>
    <w:rsid w:val="007B56EC"/>
    <w:rsid w:val="007B5C09"/>
    <w:rsid w:val="007B5DA2"/>
    <w:rsid w:val="007C0966"/>
    <w:rsid w:val="007C19E7"/>
    <w:rsid w:val="007C25F2"/>
    <w:rsid w:val="007C2B68"/>
    <w:rsid w:val="007C5CFD"/>
    <w:rsid w:val="007C6B93"/>
    <w:rsid w:val="007C6D9F"/>
    <w:rsid w:val="007C7577"/>
    <w:rsid w:val="007D0D7C"/>
    <w:rsid w:val="007D4893"/>
    <w:rsid w:val="007D755D"/>
    <w:rsid w:val="007D7ABE"/>
    <w:rsid w:val="007E024E"/>
    <w:rsid w:val="007E11EC"/>
    <w:rsid w:val="007E70CF"/>
    <w:rsid w:val="007E74A4"/>
    <w:rsid w:val="007E7D76"/>
    <w:rsid w:val="007F1164"/>
    <w:rsid w:val="007F1B6F"/>
    <w:rsid w:val="007F263F"/>
    <w:rsid w:val="007F3CE9"/>
    <w:rsid w:val="007F4E07"/>
    <w:rsid w:val="007F5B37"/>
    <w:rsid w:val="008015A8"/>
    <w:rsid w:val="00801D65"/>
    <w:rsid w:val="00802068"/>
    <w:rsid w:val="00803ADB"/>
    <w:rsid w:val="00804DCB"/>
    <w:rsid w:val="0080697C"/>
    <w:rsid w:val="0080766E"/>
    <w:rsid w:val="00810EF9"/>
    <w:rsid w:val="00811169"/>
    <w:rsid w:val="00815297"/>
    <w:rsid w:val="008170DB"/>
    <w:rsid w:val="00817BA1"/>
    <w:rsid w:val="00820547"/>
    <w:rsid w:val="00823022"/>
    <w:rsid w:val="008232C4"/>
    <w:rsid w:val="00824C01"/>
    <w:rsid w:val="0082634E"/>
    <w:rsid w:val="008313C4"/>
    <w:rsid w:val="00831DEB"/>
    <w:rsid w:val="00833E27"/>
    <w:rsid w:val="00835434"/>
    <w:rsid w:val="00835738"/>
    <w:rsid w:val="008358C0"/>
    <w:rsid w:val="0083611E"/>
    <w:rsid w:val="00836E75"/>
    <w:rsid w:val="00841CAE"/>
    <w:rsid w:val="00842838"/>
    <w:rsid w:val="00842CC9"/>
    <w:rsid w:val="00844123"/>
    <w:rsid w:val="00851DB0"/>
    <w:rsid w:val="008544EC"/>
    <w:rsid w:val="00854EC1"/>
    <w:rsid w:val="00856F9B"/>
    <w:rsid w:val="0085797F"/>
    <w:rsid w:val="008617AB"/>
    <w:rsid w:val="00861DC3"/>
    <w:rsid w:val="00864D12"/>
    <w:rsid w:val="00867019"/>
    <w:rsid w:val="0086764A"/>
    <w:rsid w:val="008715DE"/>
    <w:rsid w:val="00871AA6"/>
    <w:rsid w:val="00872EF1"/>
    <w:rsid w:val="008735A9"/>
    <w:rsid w:val="00877BC5"/>
    <w:rsid w:val="00877D20"/>
    <w:rsid w:val="00881362"/>
    <w:rsid w:val="00881C48"/>
    <w:rsid w:val="008824CD"/>
    <w:rsid w:val="008832FB"/>
    <w:rsid w:val="00884BDB"/>
    <w:rsid w:val="00885B80"/>
    <w:rsid w:val="00885C30"/>
    <w:rsid w:val="00885E9B"/>
    <w:rsid w:val="00893C96"/>
    <w:rsid w:val="0089500A"/>
    <w:rsid w:val="00897C94"/>
    <w:rsid w:val="008A2A88"/>
    <w:rsid w:val="008A41D0"/>
    <w:rsid w:val="008A7C12"/>
    <w:rsid w:val="008B03CE"/>
    <w:rsid w:val="008B07E5"/>
    <w:rsid w:val="008B14A4"/>
    <w:rsid w:val="008B3A1C"/>
    <w:rsid w:val="008B4C71"/>
    <w:rsid w:val="008B529E"/>
    <w:rsid w:val="008B5FAF"/>
    <w:rsid w:val="008B604E"/>
    <w:rsid w:val="008C0C11"/>
    <w:rsid w:val="008C17FB"/>
    <w:rsid w:val="008C70BB"/>
    <w:rsid w:val="008D06CD"/>
    <w:rsid w:val="008D0F51"/>
    <w:rsid w:val="008D1B00"/>
    <w:rsid w:val="008D30FC"/>
    <w:rsid w:val="008D57B8"/>
    <w:rsid w:val="008E0281"/>
    <w:rsid w:val="008E0383"/>
    <w:rsid w:val="008E03FC"/>
    <w:rsid w:val="008E2C76"/>
    <w:rsid w:val="008E510B"/>
    <w:rsid w:val="008E6A62"/>
    <w:rsid w:val="008E6B92"/>
    <w:rsid w:val="008F01EE"/>
    <w:rsid w:val="008F671C"/>
    <w:rsid w:val="008F726F"/>
    <w:rsid w:val="00900CDE"/>
    <w:rsid w:val="009015FC"/>
    <w:rsid w:val="00902B13"/>
    <w:rsid w:val="00903521"/>
    <w:rsid w:val="009068C4"/>
    <w:rsid w:val="00910505"/>
    <w:rsid w:val="00911941"/>
    <w:rsid w:val="00912CA0"/>
    <w:rsid w:val="009140E7"/>
    <w:rsid w:val="00915C2B"/>
    <w:rsid w:val="0092024D"/>
    <w:rsid w:val="00920859"/>
    <w:rsid w:val="00924E70"/>
    <w:rsid w:val="00925146"/>
    <w:rsid w:val="00925F0F"/>
    <w:rsid w:val="009264EA"/>
    <w:rsid w:val="0093040E"/>
    <w:rsid w:val="0093134D"/>
    <w:rsid w:val="00932AB3"/>
    <w:rsid w:val="00932F6B"/>
    <w:rsid w:val="00934947"/>
    <w:rsid w:val="00936BC7"/>
    <w:rsid w:val="00942290"/>
    <w:rsid w:val="009468BC"/>
    <w:rsid w:val="00947FAE"/>
    <w:rsid w:val="009521C9"/>
    <w:rsid w:val="00954CE9"/>
    <w:rsid w:val="0096002E"/>
    <w:rsid w:val="00960E02"/>
    <w:rsid w:val="009616DF"/>
    <w:rsid w:val="00962BC1"/>
    <w:rsid w:val="0096482A"/>
    <w:rsid w:val="00964D04"/>
    <w:rsid w:val="0096542F"/>
    <w:rsid w:val="00965F6E"/>
    <w:rsid w:val="00966FE6"/>
    <w:rsid w:val="00967C34"/>
    <w:rsid w:val="00967FA7"/>
    <w:rsid w:val="00971645"/>
    <w:rsid w:val="00971C4B"/>
    <w:rsid w:val="00977919"/>
    <w:rsid w:val="00980A8D"/>
    <w:rsid w:val="00983000"/>
    <w:rsid w:val="009870FA"/>
    <w:rsid w:val="009921C3"/>
    <w:rsid w:val="00993985"/>
    <w:rsid w:val="00994391"/>
    <w:rsid w:val="0099551D"/>
    <w:rsid w:val="0099599E"/>
    <w:rsid w:val="00997352"/>
    <w:rsid w:val="009A312D"/>
    <w:rsid w:val="009A5897"/>
    <w:rsid w:val="009A5F24"/>
    <w:rsid w:val="009A699D"/>
    <w:rsid w:val="009B00E9"/>
    <w:rsid w:val="009B0B3E"/>
    <w:rsid w:val="009B1913"/>
    <w:rsid w:val="009B550B"/>
    <w:rsid w:val="009B6657"/>
    <w:rsid w:val="009B6966"/>
    <w:rsid w:val="009B6AA4"/>
    <w:rsid w:val="009B6BC0"/>
    <w:rsid w:val="009C0625"/>
    <w:rsid w:val="009C3FCF"/>
    <w:rsid w:val="009C74A9"/>
    <w:rsid w:val="009D0EB5"/>
    <w:rsid w:val="009D14F9"/>
    <w:rsid w:val="009D1FF1"/>
    <w:rsid w:val="009D2B74"/>
    <w:rsid w:val="009D5B94"/>
    <w:rsid w:val="009D63FF"/>
    <w:rsid w:val="009E0D9F"/>
    <w:rsid w:val="009E175D"/>
    <w:rsid w:val="009E3CC2"/>
    <w:rsid w:val="009E4B2B"/>
    <w:rsid w:val="009E7B72"/>
    <w:rsid w:val="009F06BD"/>
    <w:rsid w:val="009F08C4"/>
    <w:rsid w:val="009F136F"/>
    <w:rsid w:val="009F2470"/>
    <w:rsid w:val="009F2A4D"/>
    <w:rsid w:val="009F5159"/>
    <w:rsid w:val="009F55A7"/>
    <w:rsid w:val="00A00828"/>
    <w:rsid w:val="00A03290"/>
    <w:rsid w:val="00A0330E"/>
    <w:rsid w:val="00A0387E"/>
    <w:rsid w:val="00A048E2"/>
    <w:rsid w:val="00A049C5"/>
    <w:rsid w:val="00A05BFD"/>
    <w:rsid w:val="00A07490"/>
    <w:rsid w:val="00A10655"/>
    <w:rsid w:val="00A116FB"/>
    <w:rsid w:val="00A1195C"/>
    <w:rsid w:val="00A12B64"/>
    <w:rsid w:val="00A14B51"/>
    <w:rsid w:val="00A165E1"/>
    <w:rsid w:val="00A208D8"/>
    <w:rsid w:val="00A20C91"/>
    <w:rsid w:val="00A22C38"/>
    <w:rsid w:val="00A23B35"/>
    <w:rsid w:val="00A23B82"/>
    <w:rsid w:val="00A25193"/>
    <w:rsid w:val="00A26AE0"/>
    <w:rsid w:val="00A26E80"/>
    <w:rsid w:val="00A277C4"/>
    <w:rsid w:val="00A30CC6"/>
    <w:rsid w:val="00A31AE8"/>
    <w:rsid w:val="00A32DE3"/>
    <w:rsid w:val="00A332F6"/>
    <w:rsid w:val="00A35442"/>
    <w:rsid w:val="00A3739D"/>
    <w:rsid w:val="00A37DDA"/>
    <w:rsid w:val="00A4397C"/>
    <w:rsid w:val="00A45005"/>
    <w:rsid w:val="00A45FE5"/>
    <w:rsid w:val="00A4694A"/>
    <w:rsid w:val="00A4694B"/>
    <w:rsid w:val="00A551C9"/>
    <w:rsid w:val="00A5557C"/>
    <w:rsid w:val="00A71AC0"/>
    <w:rsid w:val="00A7315D"/>
    <w:rsid w:val="00A75ACB"/>
    <w:rsid w:val="00A76790"/>
    <w:rsid w:val="00A817DD"/>
    <w:rsid w:val="00A8546D"/>
    <w:rsid w:val="00A914AA"/>
    <w:rsid w:val="00A925EC"/>
    <w:rsid w:val="00A929AA"/>
    <w:rsid w:val="00A92B6B"/>
    <w:rsid w:val="00A96CA7"/>
    <w:rsid w:val="00AA3282"/>
    <w:rsid w:val="00AA541E"/>
    <w:rsid w:val="00AA58E7"/>
    <w:rsid w:val="00AA5F00"/>
    <w:rsid w:val="00AA6683"/>
    <w:rsid w:val="00AB0456"/>
    <w:rsid w:val="00AB11CA"/>
    <w:rsid w:val="00AB29EB"/>
    <w:rsid w:val="00AB55F5"/>
    <w:rsid w:val="00AC176D"/>
    <w:rsid w:val="00AC1A84"/>
    <w:rsid w:val="00AC706B"/>
    <w:rsid w:val="00AC7DCC"/>
    <w:rsid w:val="00AD0DA4"/>
    <w:rsid w:val="00AD3DCA"/>
    <w:rsid w:val="00AD4169"/>
    <w:rsid w:val="00AD5243"/>
    <w:rsid w:val="00AE0487"/>
    <w:rsid w:val="00AE25C6"/>
    <w:rsid w:val="00AE2602"/>
    <w:rsid w:val="00AE306C"/>
    <w:rsid w:val="00AE72A5"/>
    <w:rsid w:val="00AF28C1"/>
    <w:rsid w:val="00AF3498"/>
    <w:rsid w:val="00B0199E"/>
    <w:rsid w:val="00B02EF1"/>
    <w:rsid w:val="00B04405"/>
    <w:rsid w:val="00B04682"/>
    <w:rsid w:val="00B06F9E"/>
    <w:rsid w:val="00B07840"/>
    <w:rsid w:val="00B078A0"/>
    <w:rsid w:val="00B07C97"/>
    <w:rsid w:val="00B10048"/>
    <w:rsid w:val="00B11C67"/>
    <w:rsid w:val="00B15754"/>
    <w:rsid w:val="00B2046E"/>
    <w:rsid w:val="00B20E8B"/>
    <w:rsid w:val="00B2249D"/>
    <w:rsid w:val="00B257E1"/>
    <w:rsid w:val="00B2599A"/>
    <w:rsid w:val="00B27AC4"/>
    <w:rsid w:val="00B3356D"/>
    <w:rsid w:val="00B343CC"/>
    <w:rsid w:val="00B368A4"/>
    <w:rsid w:val="00B410A3"/>
    <w:rsid w:val="00B457B6"/>
    <w:rsid w:val="00B4735E"/>
    <w:rsid w:val="00B5084A"/>
    <w:rsid w:val="00B51357"/>
    <w:rsid w:val="00B519CB"/>
    <w:rsid w:val="00B52800"/>
    <w:rsid w:val="00B53D98"/>
    <w:rsid w:val="00B606A1"/>
    <w:rsid w:val="00B614F7"/>
    <w:rsid w:val="00B61B26"/>
    <w:rsid w:val="00B65BEE"/>
    <w:rsid w:val="00B65E6B"/>
    <w:rsid w:val="00B66066"/>
    <w:rsid w:val="00B675B2"/>
    <w:rsid w:val="00B70020"/>
    <w:rsid w:val="00B700CF"/>
    <w:rsid w:val="00B70A34"/>
    <w:rsid w:val="00B81261"/>
    <w:rsid w:val="00B8223E"/>
    <w:rsid w:val="00B832AE"/>
    <w:rsid w:val="00B86678"/>
    <w:rsid w:val="00B92F9B"/>
    <w:rsid w:val="00B941B3"/>
    <w:rsid w:val="00B9467D"/>
    <w:rsid w:val="00B96513"/>
    <w:rsid w:val="00B96E2A"/>
    <w:rsid w:val="00BA02CE"/>
    <w:rsid w:val="00BA1188"/>
    <w:rsid w:val="00BA130D"/>
    <w:rsid w:val="00BA1D47"/>
    <w:rsid w:val="00BA3C99"/>
    <w:rsid w:val="00BA625D"/>
    <w:rsid w:val="00BA66F0"/>
    <w:rsid w:val="00BB2239"/>
    <w:rsid w:val="00BB291B"/>
    <w:rsid w:val="00BB2AE7"/>
    <w:rsid w:val="00BB445C"/>
    <w:rsid w:val="00BB6464"/>
    <w:rsid w:val="00BC087D"/>
    <w:rsid w:val="00BC1BB8"/>
    <w:rsid w:val="00BC27DC"/>
    <w:rsid w:val="00BD0BF1"/>
    <w:rsid w:val="00BD0C43"/>
    <w:rsid w:val="00BD255D"/>
    <w:rsid w:val="00BD742D"/>
    <w:rsid w:val="00BD7FE1"/>
    <w:rsid w:val="00BE26E7"/>
    <w:rsid w:val="00BE37CA"/>
    <w:rsid w:val="00BE4981"/>
    <w:rsid w:val="00BE516F"/>
    <w:rsid w:val="00BE6144"/>
    <w:rsid w:val="00BE635A"/>
    <w:rsid w:val="00BE6397"/>
    <w:rsid w:val="00BE799B"/>
    <w:rsid w:val="00BF17E9"/>
    <w:rsid w:val="00BF2ABB"/>
    <w:rsid w:val="00BF5099"/>
    <w:rsid w:val="00BF5BFB"/>
    <w:rsid w:val="00C02CB0"/>
    <w:rsid w:val="00C04A1C"/>
    <w:rsid w:val="00C061F2"/>
    <w:rsid w:val="00C06BB1"/>
    <w:rsid w:val="00C10F10"/>
    <w:rsid w:val="00C15D4D"/>
    <w:rsid w:val="00C175DC"/>
    <w:rsid w:val="00C25297"/>
    <w:rsid w:val="00C27400"/>
    <w:rsid w:val="00C30171"/>
    <w:rsid w:val="00C309D8"/>
    <w:rsid w:val="00C3539B"/>
    <w:rsid w:val="00C41683"/>
    <w:rsid w:val="00C422D1"/>
    <w:rsid w:val="00C42BE4"/>
    <w:rsid w:val="00C43519"/>
    <w:rsid w:val="00C45263"/>
    <w:rsid w:val="00C504AD"/>
    <w:rsid w:val="00C50E98"/>
    <w:rsid w:val="00C51537"/>
    <w:rsid w:val="00C5253F"/>
    <w:rsid w:val="00C52BC3"/>
    <w:rsid w:val="00C574DE"/>
    <w:rsid w:val="00C57EC7"/>
    <w:rsid w:val="00C61AFA"/>
    <w:rsid w:val="00C61D64"/>
    <w:rsid w:val="00C62099"/>
    <w:rsid w:val="00C64EA3"/>
    <w:rsid w:val="00C70B88"/>
    <w:rsid w:val="00C72867"/>
    <w:rsid w:val="00C73F94"/>
    <w:rsid w:val="00C75E81"/>
    <w:rsid w:val="00C75FF9"/>
    <w:rsid w:val="00C764F7"/>
    <w:rsid w:val="00C846B1"/>
    <w:rsid w:val="00C86609"/>
    <w:rsid w:val="00C92B4C"/>
    <w:rsid w:val="00C93666"/>
    <w:rsid w:val="00C937B3"/>
    <w:rsid w:val="00C954F6"/>
    <w:rsid w:val="00C95F65"/>
    <w:rsid w:val="00CA0A0A"/>
    <w:rsid w:val="00CA36A0"/>
    <w:rsid w:val="00CA6BC5"/>
    <w:rsid w:val="00CB3ADC"/>
    <w:rsid w:val="00CB695A"/>
    <w:rsid w:val="00CB6A5B"/>
    <w:rsid w:val="00CC22B0"/>
    <w:rsid w:val="00CC571B"/>
    <w:rsid w:val="00CC61CD"/>
    <w:rsid w:val="00CC6C02"/>
    <w:rsid w:val="00CC6C84"/>
    <w:rsid w:val="00CC737B"/>
    <w:rsid w:val="00CD01A9"/>
    <w:rsid w:val="00CD0798"/>
    <w:rsid w:val="00CD09E0"/>
    <w:rsid w:val="00CD1FC1"/>
    <w:rsid w:val="00CD4344"/>
    <w:rsid w:val="00CD5011"/>
    <w:rsid w:val="00CE640F"/>
    <w:rsid w:val="00CE76BC"/>
    <w:rsid w:val="00CF540E"/>
    <w:rsid w:val="00CF6ACE"/>
    <w:rsid w:val="00D02556"/>
    <w:rsid w:val="00D02F07"/>
    <w:rsid w:val="00D071D4"/>
    <w:rsid w:val="00D0780E"/>
    <w:rsid w:val="00D104B7"/>
    <w:rsid w:val="00D157DD"/>
    <w:rsid w:val="00D15D88"/>
    <w:rsid w:val="00D20602"/>
    <w:rsid w:val="00D27EBE"/>
    <w:rsid w:val="00D32850"/>
    <w:rsid w:val="00D3287F"/>
    <w:rsid w:val="00D32995"/>
    <w:rsid w:val="00D3494E"/>
    <w:rsid w:val="00D36A49"/>
    <w:rsid w:val="00D37896"/>
    <w:rsid w:val="00D37D41"/>
    <w:rsid w:val="00D37E10"/>
    <w:rsid w:val="00D44823"/>
    <w:rsid w:val="00D4596A"/>
    <w:rsid w:val="00D47397"/>
    <w:rsid w:val="00D517C6"/>
    <w:rsid w:val="00D51A6C"/>
    <w:rsid w:val="00D54F21"/>
    <w:rsid w:val="00D56576"/>
    <w:rsid w:val="00D71D84"/>
    <w:rsid w:val="00D72464"/>
    <w:rsid w:val="00D72A57"/>
    <w:rsid w:val="00D742A1"/>
    <w:rsid w:val="00D74ABB"/>
    <w:rsid w:val="00D768EB"/>
    <w:rsid w:val="00D77479"/>
    <w:rsid w:val="00D80E47"/>
    <w:rsid w:val="00D81E17"/>
    <w:rsid w:val="00D82D1E"/>
    <w:rsid w:val="00D832D9"/>
    <w:rsid w:val="00D83E5D"/>
    <w:rsid w:val="00D85E44"/>
    <w:rsid w:val="00D86CC8"/>
    <w:rsid w:val="00D86E03"/>
    <w:rsid w:val="00D90F00"/>
    <w:rsid w:val="00D92AFA"/>
    <w:rsid w:val="00D975C0"/>
    <w:rsid w:val="00DA00F2"/>
    <w:rsid w:val="00DA0D57"/>
    <w:rsid w:val="00DA4411"/>
    <w:rsid w:val="00DA5285"/>
    <w:rsid w:val="00DB191D"/>
    <w:rsid w:val="00DB3129"/>
    <w:rsid w:val="00DB4F91"/>
    <w:rsid w:val="00DB6D0A"/>
    <w:rsid w:val="00DC06BE"/>
    <w:rsid w:val="00DC1F0F"/>
    <w:rsid w:val="00DC3117"/>
    <w:rsid w:val="00DC4FDC"/>
    <w:rsid w:val="00DC53E9"/>
    <w:rsid w:val="00DC5DD9"/>
    <w:rsid w:val="00DC6D2D"/>
    <w:rsid w:val="00DD0412"/>
    <w:rsid w:val="00DD2796"/>
    <w:rsid w:val="00DD2FA7"/>
    <w:rsid w:val="00DD4E59"/>
    <w:rsid w:val="00DE33B5"/>
    <w:rsid w:val="00DE3C55"/>
    <w:rsid w:val="00DE557E"/>
    <w:rsid w:val="00DE5597"/>
    <w:rsid w:val="00DE5E18"/>
    <w:rsid w:val="00DE6219"/>
    <w:rsid w:val="00DF0487"/>
    <w:rsid w:val="00DF3058"/>
    <w:rsid w:val="00DF4E49"/>
    <w:rsid w:val="00DF5EA4"/>
    <w:rsid w:val="00E02681"/>
    <w:rsid w:val="00E02792"/>
    <w:rsid w:val="00E02ABE"/>
    <w:rsid w:val="00E034D8"/>
    <w:rsid w:val="00E04CC0"/>
    <w:rsid w:val="00E10FCC"/>
    <w:rsid w:val="00E12A0C"/>
    <w:rsid w:val="00E13AE4"/>
    <w:rsid w:val="00E14429"/>
    <w:rsid w:val="00E15816"/>
    <w:rsid w:val="00E160D5"/>
    <w:rsid w:val="00E20933"/>
    <w:rsid w:val="00E22345"/>
    <w:rsid w:val="00E239FF"/>
    <w:rsid w:val="00E27D7B"/>
    <w:rsid w:val="00E30556"/>
    <w:rsid w:val="00E30981"/>
    <w:rsid w:val="00E32F72"/>
    <w:rsid w:val="00E33136"/>
    <w:rsid w:val="00E3388C"/>
    <w:rsid w:val="00E34751"/>
    <w:rsid w:val="00E34D7C"/>
    <w:rsid w:val="00E353B1"/>
    <w:rsid w:val="00E35E33"/>
    <w:rsid w:val="00E3723D"/>
    <w:rsid w:val="00E40BBE"/>
    <w:rsid w:val="00E43A46"/>
    <w:rsid w:val="00E44C89"/>
    <w:rsid w:val="00E457A6"/>
    <w:rsid w:val="00E45966"/>
    <w:rsid w:val="00E46203"/>
    <w:rsid w:val="00E53671"/>
    <w:rsid w:val="00E53BBD"/>
    <w:rsid w:val="00E60B3C"/>
    <w:rsid w:val="00E61BA2"/>
    <w:rsid w:val="00E63864"/>
    <w:rsid w:val="00E63E5C"/>
    <w:rsid w:val="00E6403F"/>
    <w:rsid w:val="00E71820"/>
    <w:rsid w:val="00E7404D"/>
    <w:rsid w:val="00E75451"/>
    <w:rsid w:val="00E75591"/>
    <w:rsid w:val="00E770C4"/>
    <w:rsid w:val="00E84C5A"/>
    <w:rsid w:val="00E861DB"/>
    <w:rsid w:val="00E907C4"/>
    <w:rsid w:val="00E908F1"/>
    <w:rsid w:val="00E93368"/>
    <w:rsid w:val="00E93406"/>
    <w:rsid w:val="00E956C5"/>
    <w:rsid w:val="00E95C39"/>
    <w:rsid w:val="00E9706A"/>
    <w:rsid w:val="00EA0306"/>
    <w:rsid w:val="00EA231F"/>
    <w:rsid w:val="00EA2C39"/>
    <w:rsid w:val="00EA502E"/>
    <w:rsid w:val="00EA6669"/>
    <w:rsid w:val="00EB0064"/>
    <w:rsid w:val="00EB0A3C"/>
    <w:rsid w:val="00EB0A96"/>
    <w:rsid w:val="00EB22FB"/>
    <w:rsid w:val="00EB4AD2"/>
    <w:rsid w:val="00EB5A73"/>
    <w:rsid w:val="00EB6E8F"/>
    <w:rsid w:val="00EB77F9"/>
    <w:rsid w:val="00EC23FB"/>
    <w:rsid w:val="00EC2E10"/>
    <w:rsid w:val="00EC5433"/>
    <w:rsid w:val="00EC5769"/>
    <w:rsid w:val="00EC5F77"/>
    <w:rsid w:val="00EC7D00"/>
    <w:rsid w:val="00ED0304"/>
    <w:rsid w:val="00ED0F8B"/>
    <w:rsid w:val="00ED528D"/>
    <w:rsid w:val="00ED5B7B"/>
    <w:rsid w:val="00EE095E"/>
    <w:rsid w:val="00EE38FA"/>
    <w:rsid w:val="00EE3E2C"/>
    <w:rsid w:val="00EE5D23"/>
    <w:rsid w:val="00EE5FE4"/>
    <w:rsid w:val="00EE750D"/>
    <w:rsid w:val="00EE77E2"/>
    <w:rsid w:val="00EF1684"/>
    <w:rsid w:val="00EF3CA4"/>
    <w:rsid w:val="00EF6DAE"/>
    <w:rsid w:val="00EF7859"/>
    <w:rsid w:val="00F014DA"/>
    <w:rsid w:val="00F02591"/>
    <w:rsid w:val="00F030B5"/>
    <w:rsid w:val="00F05F62"/>
    <w:rsid w:val="00F0740F"/>
    <w:rsid w:val="00F20E4C"/>
    <w:rsid w:val="00F24814"/>
    <w:rsid w:val="00F24A03"/>
    <w:rsid w:val="00F25885"/>
    <w:rsid w:val="00F31B6E"/>
    <w:rsid w:val="00F41FD4"/>
    <w:rsid w:val="00F4332E"/>
    <w:rsid w:val="00F534E7"/>
    <w:rsid w:val="00F5696E"/>
    <w:rsid w:val="00F60EFF"/>
    <w:rsid w:val="00F64E62"/>
    <w:rsid w:val="00F67D2D"/>
    <w:rsid w:val="00F71B6F"/>
    <w:rsid w:val="00F75F1E"/>
    <w:rsid w:val="00F85840"/>
    <w:rsid w:val="00F858F2"/>
    <w:rsid w:val="00F85E68"/>
    <w:rsid w:val="00F860CC"/>
    <w:rsid w:val="00F87945"/>
    <w:rsid w:val="00F94398"/>
    <w:rsid w:val="00FA0B1C"/>
    <w:rsid w:val="00FA58BD"/>
    <w:rsid w:val="00FB25A8"/>
    <w:rsid w:val="00FB2B56"/>
    <w:rsid w:val="00FB35DB"/>
    <w:rsid w:val="00FB3722"/>
    <w:rsid w:val="00FB4753"/>
    <w:rsid w:val="00FB4805"/>
    <w:rsid w:val="00FB55D5"/>
    <w:rsid w:val="00FC12BF"/>
    <w:rsid w:val="00FC2C60"/>
    <w:rsid w:val="00FD215A"/>
    <w:rsid w:val="00FD3E6F"/>
    <w:rsid w:val="00FD51B9"/>
    <w:rsid w:val="00FD5849"/>
    <w:rsid w:val="00FE05DE"/>
    <w:rsid w:val="00FE2A39"/>
    <w:rsid w:val="00FF0334"/>
    <w:rsid w:val="00FF283F"/>
    <w:rsid w:val="00FF2D27"/>
    <w:rsid w:val="00FF3801"/>
    <w:rsid w:val="00FF39CF"/>
    <w:rsid w:val="00FF428E"/>
    <w:rsid w:val="00FF43A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4D62"/>
  <w15:docId w15:val="{909F0524-20CB-49C4-87CE-0C5A7888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A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8"/>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F52E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E32F72"/>
    <w:pPr>
      <w:spacing w:before="960"/>
    </w:pPr>
    <w:rPr>
      <w:rFonts w:eastAsia="Times New Roman"/>
      <w:szCs w:val="20"/>
    </w:rPr>
  </w:style>
  <w:style w:type="character" w:customStyle="1" w:styleId="SubsectionChar">
    <w:name w:val="Subsection Char"/>
    <w:link w:val="Subsection"/>
    <w:rsid w:val="005512E5"/>
    <w:rPr>
      <w:rFonts w:ascii="Helvetica" w:hAnsi="Helvetica"/>
      <w:sz w:val="24"/>
      <w:szCs w:val="24"/>
    </w:rPr>
  </w:style>
  <w:style w:type="character" w:customStyle="1" w:styleId="ParagraphChar">
    <w:name w:val="Paragraph Char"/>
    <w:link w:val="Paragraph"/>
    <w:rsid w:val="005512E5"/>
    <w:rPr>
      <w:rFonts w:ascii="Helvetica" w:hAnsi="Helvetica"/>
      <w:sz w:val="24"/>
      <w:szCs w:val="24"/>
    </w:rPr>
  </w:style>
  <w:style w:type="character" w:customStyle="1" w:styleId="SubparaChar">
    <w:name w:val="Subpara Char"/>
    <w:link w:val="Subpara"/>
    <w:rsid w:val="005512E5"/>
    <w:rPr>
      <w:rFonts w:ascii="Helvetica" w:hAnsi="Helvetica"/>
      <w:sz w:val="24"/>
      <w:szCs w:val="24"/>
    </w:rPr>
  </w:style>
  <w:style w:type="paragraph" w:customStyle="1" w:styleId="Subsection">
    <w:name w:val="Subsection"/>
    <w:basedOn w:val="Normal"/>
    <w:link w:val="SubsectionChar"/>
    <w:rsid w:val="005512E5"/>
    <w:pPr>
      <w:widowControl w:val="0"/>
      <w:tabs>
        <w:tab w:val="right" w:pos="902"/>
      </w:tabs>
      <w:spacing w:after="240"/>
      <w:ind w:left="1100" w:hanging="1100"/>
      <w:jc w:val="both"/>
    </w:pPr>
    <w:rPr>
      <w:rFonts w:ascii="Helvetica" w:hAnsi="Helvetica"/>
      <w:sz w:val="24"/>
      <w:szCs w:val="24"/>
    </w:rPr>
  </w:style>
  <w:style w:type="paragraph" w:customStyle="1" w:styleId="Paragraph">
    <w:name w:val="Paragraph"/>
    <w:basedOn w:val="Normal"/>
    <w:link w:val="ParagraphChar"/>
    <w:rsid w:val="005512E5"/>
    <w:pPr>
      <w:widowControl w:val="0"/>
      <w:spacing w:after="240"/>
      <w:ind w:left="1667" w:hanging="567"/>
      <w:jc w:val="both"/>
    </w:pPr>
    <w:rPr>
      <w:rFonts w:ascii="Helvetica" w:hAnsi="Helvetica"/>
      <w:sz w:val="24"/>
      <w:szCs w:val="24"/>
    </w:rPr>
  </w:style>
  <w:style w:type="paragraph" w:customStyle="1" w:styleId="Subpara">
    <w:name w:val="Subpara"/>
    <w:basedOn w:val="Paragraph"/>
    <w:link w:val="SubparaChar"/>
    <w:rsid w:val="005512E5"/>
    <w:pPr>
      <w:ind w:left="2268"/>
    </w:pPr>
  </w:style>
  <w:style w:type="paragraph" w:customStyle="1" w:styleId="NewSectionHeading">
    <w:name w:val="New Section Heading"/>
    <w:basedOn w:val="Normal"/>
    <w:next w:val="Normal"/>
    <w:link w:val="NewSectionHeadingChar"/>
    <w:rsid w:val="005512E5"/>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5512E5"/>
    <w:rPr>
      <w:rFonts w:ascii="Helvetica" w:eastAsia="Times New Roman" w:hAnsi="Helvetica"/>
      <w:b/>
      <w:sz w:val="24"/>
      <w:szCs w:val="24"/>
      <w:lang w:eastAsia="en-AU"/>
    </w:rPr>
  </w:style>
  <w:style w:type="character" w:customStyle="1" w:styleId="SectiontextChar">
    <w:name w:val="Section text Char"/>
    <w:basedOn w:val="DefaultParagraphFont"/>
    <w:link w:val="Sectiontext"/>
    <w:locked/>
    <w:rsid w:val="006C5DDF"/>
    <w:rPr>
      <w:rFonts w:ascii="Helvetica" w:hAnsi="Helvetica" w:cs="Helvetica"/>
    </w:rPr>
  </w:style>
  <w:style w:type="paragraph" w:customStyle="1" w:styleId="Sectiontext">
    <w:name w:val="Section text"/>
    <w:basedOn w:val="Normal"/>
    <w:link w:val="SectiontextChar"/>
    <w:rsid w:val="006C5DDF"/>
    <w:pPr>
      <w:spacing w:after="240"/>
      <w:ind w:left="1100"/>
      <w:jc w:val="both"/>
    </w:pPr>
    <w:rPr>
      <w:rFonts w:ascii="Helvetica" w:hAnsi="Helvetica" w:cs="Helvetica"/>
    </w:rPr>
  </w:style>
  <w:style w:type="character" w:customStyle="1" w:styleId="Questionlabel">
    <w:name w:val="Question label"/>
    <w:basedOn w:val="DefaultParagraphFont"/>
    <w:uiPriority w:val="3"/>
    <w:qFormat/>
    <w:rsid w:val="00920859"/>
    <w:rPr>
      <w:rFonts w:ascii="Lato" w:hAnsi="Lato"/>
      <w:b/>
      <w:bCs/>
      <w:sz w:val="22"/>
    </w:rPr>
  </w:style>
  <w:style w:type="character" w:styleId="CommentReference">
    <w:name w:val="annotation reference"/>
    <w:basedOn w:val="DefaultParagraphFont"/>
    <w:uiPriority w:val="99"/>
    <w:semiHidden/>
    <w:unhideWhenUsed/>
    <w:rsid w:val="00D3494E"/>
    <w:rPr>
      <w:sz w:val="16"/>
      <w:szCs w:val="16"/>
    </w:rPr>
  </w:style>
  <w:style w:type="paragraph" w:styleId="CommentText">
    <w:name w:val="annotation text"/>
    <w:basedOn w:val="Normal"/>
    <w:link w:val="CommentTextChar"/>
    <w:uiPriority w:val="99"/>
    <w:unhideWhenUsed/>
    <w:rsid w:val="00D3494E"/>
    <w:rPr>
      <w:sz w:val="20"/>
      <w:szCs w:val="20"/>
    </w:rPr>
  </w:style>
  <w:style w:type="character" w:customStyle="1" w:styleId="CommentTextChar">
    <w:name w:val="Comment Text Char"/>
    <w:basedOn w:val="DefaultParagraphFont"/>
    <w:link w:val="CommentText"/>
    <w:uiPriority w:val="99"/>
    <w:rsid w:val="00D3494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3494E"/>
    <w:rPr>
      <w:b/>
      <w:bCs/>
    </w:rPr>
  </w:style>
  <w:style w:type="character" w:customStyle="1" w:styleId="CommentSubjectChar">
    <w:name w:val="Comment Subject Char"/>
    <w:basedOn w:val="CommentTextChar"/>
    <w:link w:val="CommentSubject"/>
    <w:uiPriority w:val="99"/>
    <w:semiHidden/>
    <w:rsid w:val="00D3494E"/>
    <w:rPr>
      <w:rFonts w:ascii="Lato" w:hAnsi="Lato"/>
      <w:b/>
      <w:bCs/>
      <w:sz w:val="20"/>
      <w:szCs w:val="20"/>
    </w:rPr>
  </w:style>
  <w:style w:type="paragraph" w:styleId="FootnoteText">
    <w:name w:val="footnote text"/>
    <w:basedOn w:val="Normal"/>
    <w:link w:val="FootnoteTextChar"/>
    <w:uiPriority w:val="99"/>
    <w:semiHidden/>
    <w:unhideWhenUsed/>
    <w:rsid w:val="00B53D98"/>
    <w:pPr>
      <w:spacing w:after="0"/>
    </w:pPr>
    <w:rPr>
      <w:sz w:val="20"/>
      <w:szCs w:val="20"/>
    </w:rPr>
  </w:style>
  <w:style w:type="character" w:customStyle="1" w:styleId="FootnoteTextChar">
    <w:name w:val="Footnote Text Char"/>
    <w:basedOn w:val="DefaultParagraphFont"/>
    <w:link w:val="FootnoteText"/>
    <w:uiPriority w:val="99"/>
    <w:semiHidden/>
    <w:rsid w:val="00B53D98"/>
    <w:rPr>
      <w:rFonts w:ascii="Lato" w:hAnsi="Lato"/>
      <w:sz w:val="20"/>
      <w:szCs w:val="20"/>
    </w:rPr>
  </w:style>
  <w:style w:type="character" w:styleId="FootnoteReference">
    <w:name w:val="footnote reference"/>
    <w:basedOn w:val="DefaultParagraphFont"/>
    <w:uiPriority w:val="99"/>
    <w:semiHidden/>
    <w:unhideWhenUsed/>
    <w:rsid w:val="00B53D98"/>
    <w:rPr>
      <w:vertAlign w:val="superscript"/>
    </w:rPr>
  </w:style>
  <w:style w:type="character" w:styleId="UnresolvedMention">
    <w:name w:val="Unresolved Mention"/>
    <w:basedOn w:val="DefaultParagraphFont"/>
    <w:uiPriority w:val="99"/>
    <w:semiHidden/>
    <w:unhideWhenUsed/>
    <w:rsid w:val="00552FFA"/>
    <w:rPr>
      <w:color w:val="605E5C"/>
      <w:shd w:val="clear" w:color="auto" w:fill="E1DFDD"/>
    </w:rPr>
  </w:style>
  <w:style w:type="character" w:styleId="FollowedHyperlink">
    <w:name w:val="FollowedHyperlink"/>
    <w:basedOn w:val="DefaultParagraphFont"/>
    <w:uiPriority w:val="99"/>
    <w:semiHidden/>
    <w:unhideWhenUsed/>
    <w:rsid w:val="008F671C"/>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th.nt.gov.au/__data/assets/pdf_file/0007/1567789/dth-annual-report-2024-25.pdf" TargetMode="External"/><Relationship Id="rId1" Type="http://schemas.openxmlformats.org/officeDocument/2006/relationships/hyperlink" Target="https://www.abs.gov.au/census/find-census-data/quickstats/2021/LGA710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0F609-7B04-4C35-8ECE-62CFA494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7</Pages>
  <Words>2906</Words>
  <Characters>15466</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&lt;Subject of letter&gt;</vt:lpstr>
    </vt:vector>
  </TitlesOfParts>
  <Company>&lt;NAME&gt;</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&lt;Subject of letter&gt;</dc:title>
  <dc:creator>Northern Territory Government</dc:creator>
  <cp:lastModifiedBy>Ian Ford</cp:lastModifiedBy>
  <cp:revision>23</cp:revision>
  <cp:lastPrinted>2019-09-02T01:03:00Z</cp:lastPrinted>
  <dcterms:created xsi:type="dcterms:W3CDTF">2026-02-19T23:36:00Z</dcterms:created>
  <dcterms:modified xsi:type="dcterms:W3CDTF">2026-03-13T00:16:00Z</dcterms:modified>
</cp:coreProperties>
</file>