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D66FDC" w:rsidP="009C0337">
      <w:pPr>
        <w:pStyle w:val="Heading1"/>
      </w:pPr>
      <w:r>
        <w:t>Decisio</w:t>
      </w:r>
      <w:bookmarkStart w:id="0" w:name="_GoBack"/>
      <w:bookmarkEnd w:id="0"/>
      <w:r>
        <w:t xml:space="preserve">n </w:t>
      </w:r>
      <w:r w:rsidR="004D47A9">
        <w:t>on</w:t>
      </w:r>
      <w:r>
        <w:t xml:space="preserve"> </w:t>
      </w:r>
      <w:r w:rsidR="006C27EB">
        <w:t>W</w:t>
      </w:r>
      <w:r>
        <w:t>hether Objection Will Proceed to Hearing</w:t>
      </w:r>
    </w:p>
    <w:p w:rsidR="003B38E2" w:rsidRPr="00E43CF5" w:rsidRDefault="00D66FDC" w:rsidP="00E43CF5">
      <w:pPr>
        <w:tabs>
          <w:tab w:val="left" w:pos="2835"/>
        </w:tabs>
        <w:spacing w:after="240"/>
        <w:rPr>
          <w:b/>
          <w:lang w:val="en-GB"/>
        </w:rPr>
      </w:pPr>
      <w:r w:rsidRPr="00E43CF5">
        <w:rPr>
          <w:b/>
          <w:szCs w:val="20"/>
        </w:rPr>
        <w:t>Premise</w:t>
      </w:r>
      <w:r w:rsidR="003B38E2" w:rsidRPr="00E43CF5">
        <w:rPr>
          <w:b/>
          <w:lang w:val="en-GB"/>
        </w:rPr>
        <w:t>:</w:t>
      </w:r>
      <w:r w:rsidR="003B38E2" w:rsidRPr="00E43CF5">
        <w:rPr>
          <w:b/>
          <w:lang w:val="en-GB"/>
        </w:rPr>
        <w:tab/>
      </w:r>
      <w:r w:rsidRPr="00E43CF5">
        <w:rPr>
          <w:b/>
          <w:lang w:val="en-GB"/>
        </w:rPr>
        <w:t>Arch Rival Bar &amp; Grill</w:t>
      </w:r>
    </w:p>
    <w:p w:rsidR="003B38E2" w:rsidRDefault="00D66FDC" w:rsidP="003B38E2">
      <w:pPr>
        <w:spacing w:after="200"/>
        <w:ind w:left="2835" w:hanging="2835"/>
        <w:rPr>
          <w:rFonts w:cs="Arial"/>
          <w:b/>
          <w:lang w:val="en-GB"/>
        </w:rPr>
      </w:pPr>
      <w:r>
        <w:rPr>
          <w:b/>
          <w:szCs w:val="20"/>
        </w:rPr>
        <w:t>Applicant</w:t>
      </w:r>
      <w:r w:rsidR="003B38E2" w:rsidRPr="00C05A58">
        <w:rPr>
          <w:rFonts w:cs="Arial"/>
          <w:b/>
          <w:lang w:val="en-GB"/>
        </w:rPr>
        <w:t>:</w:t>
      </w:r>
      <w:r w:rsidR="003B38E2" w:rsidRPr="00C05A58">
        <w:rPr>
          <w:rFonts w:cs="Arial"/>
          <w:b/>
          <w:lang w:val="en-GB"/>
        </w:rPr>
        <w:tab/>
      </w:r>
      <w:r w:rsidRPr="00D66FDC">
        <w:rPr>
          <w:rFonts w:cs="Arial"/>
          <w:lang w:val="en-GB"/>
        </w:rPr>
        <w:t>T.J. Investments Pty Ltd</w:t>
      </w:r>
    </w:p>
    <w:p w:rsidR="00D66FDC" w:rsidRDefault="00D66FDC" w:rsidP="003B38E2">
      <w:pPr>
        <w:spacing w:after="200"/>
        <w:ind w:left="2835" w:hanging="2835"/>
        <w:rPr>
          <w:rFonts w:cs="Arial"/>
          <w:lang w:val="en-GB"/>
        </w:rPr>
      </w:pPr>
      <w:r>
        <w:rPr>
          <w:b/>
          <w:szCs w:val="20"/>
        </w:rPr>
        <w:t>Licence Number</w:t>
      </w:r>
      <w:r w:rsidRPr="00D66FDC">
        <w:rPr>
          <w:rFonts w:cs="Arial"/>
          <w:lang w:val="en-GB"/>
        </w:rPr>
        <w:t>:</w:t>
      </w:r>
      <w:r>
        <w:rPr>
          <w:rFonts w:cs="Arial"/>
          <w:lang w:val="en-GB"/>
        </w:rPr>
        <w:tab/>
        <w:t>80315</w:t>
      </w:r>
    </w:p>
    <w:p w:rsidR="00D66FDC" w:rsidRPr="00DB77E4" w:rsidRDefault="00D66FDC" w:rsidP="003B38E2">
      <w:pPr>
        <w:spacing w:after="200"/>
        <w:ind w:left="2835" w:hanging="2835"/>
        <w:rPr>
          <w:rFonts w:cs="Arial"/>
          <w:lang w:val="en-GB"/>
        </w:rPr>
      </w:pPr>
      <w:r>
        <w:rPr>
          <w:b/>
          <w:szCs w:val="20"/>
        </w:rPr>
        <w:t>Nominee</w:t>
      </w:r>
      <w:r w:rsidRPr="00D66FDC">
        <w:rPr>
          <w:rFonts w:cs="Arial"/>
          <w:lang w:val="en-GB"/>
        </w:rPr>
        <w:t>:</w:t>
      </w:r>
      <w:r>
        <w:rPr>
          <w:rFonts w:cs="Arial"/>
          <w:lang w:val="en-GB"/>
        </w:rPr>
        <w:tab/>
        <w:t>Jason Hanna</w:t>
      </w:r>
    </w:p>
    <w:p w:rsidR="003B38E2" w:rsidRDefault="00D66FDC" w:rsidP="003B38E2">
      <w:pPr>
        <w:spacing w:after="240"/>
        <w:ind w:left="2835" w:hanging="2835"/>
        <w:rPr>
          <w:rFonts w:cs="Arial"/>
        </w:rPr>
      </w:pPr>
      <w:r>
        <w:rPr>
          <w:b/>
          <w:szCs w:val="20"/>
        </w:rPr>
        <w:t>Decision of</w:t>
      </w:r>
      <w:r w:rsidR="003B38E2" w:rsidRPr="00C05A58">
        <w:rPr>
          <w:rFonts w:cs="Arial"/>
          <w:b/>
          <w:lang w:val="en-GB"/>
        </w:rPr>
        <w:t>:</w:t>
      </w:r>
      <w:r w:rsidR="003B38E2" w:rsidRPr="00C05A58">
        <w:rPr>
          <w:rFonts w:cs="Arial"/>
          <w:b/>
          <w:lang w:val="en-GB"/>
        </w:rPr>
        <w:tab/>
      </w:r>
      <w:r w:rsidR="003B38E2">
        <w:rPr>
          <w:rFonts w:cs="Arial"/>
          <w:lang w:val="en-GB"/>
        </w:rPr>
        <w:t>M</w:t>
      </w:r>
      <w:r w:rsidR="00FD5946">
        <w:rPr>
          <w:rFonts w:cs="Arial"/>
          <w:lang w:val="en-GB"/>
        </w:rPr>
        <w:t>r Richard O’Sullivan (Chairman)</w:t>
      </w:r>
    </w:p>
    <w:p w:rsidR="003B38E2" w:rsidRPr="006C27EB" w:rsidRDefault="003B38E2" w:rsidP="003B38E2">
      <w:pPr>
        <w:spacing w:after="200"/>
        <w:ind w:left="2835" w:hanging="2835"/>
        <w:rPr>
          <w:rFonts w:cs="Arial"/>
        </w:rPr>
      </w:pPr>
      <w:r>
        <w:rPr>
          <w:rFonts w:cs="Arial"/>
          <w:b/>
        </w:rPr>
        <w:t xml:space="preserve">Date of </w:t>
      </w:r>
      <w:r w:rsidRPr="00A30195">
        <w:rPr>
          <w:b/>
          <w:szCs w:val="20"/>
        </w:rPr>
        <w:t>Decision</w:t>
      </w:r>
      <w:r>
        <w:rPr>
          <w:rFonts w:cs="Arial"/>
          <w:b/>
        </w:rPr>
        <w:t>:</w:t>
      </w:r>
      <w:r>
        <w:rPr>
          <w:rFonts w:cs="Arial"/>
          <w:b/>
        </w:rPr>
        <w:tab/>
      </w:r>
      <w:r w:rsidR="006C27EB">
        <w:rPr>
          <w:rFonts w:cs="Arial"/>
        </w:rPr>
        <w:t>13 October 2014</w:t>
      </w:r>
    </w:p>
    <w:p w:rsidR="003B38E2" w:rsidRPr="00A30195" w:rsidRDefault="003B38E2" w:rsidP="003B38E2">
      <w:pPr>
        <w:pStyle w:val="BottomLine"/>
      </w:pPr>
    </w:p>
    <w:p w:rsidR="003B38E2" w:rsidRPr="00903E87" w:rsidRDefault="00E43CF5" w:rsidP="003B38E2">
      <w:pPr>
        <w:pStyle w:val="Heading2"/>
        <w:spacing w:line="240" w:lineRule="atLeast"/>
        <w:rPr>
          <w:rFonts w:cs="Arial"/>
        </w:rPr>
      </w:pPr>
      <w:r w:rsidRPr="003B38E2">
        <w:t>Background</w:t>
      </w:r>
    </w:p>
    <w:p w:rsidR="00903E87" w:rsidRPr="00903E87" w:rsidRDefault="00D66FDC" w:rsidP="003B38E2">
      <w:pPr>
        <w:numPr>
          <w:ilvl w:val="0"/>
          <w:numId w:val="1"/>
        </w:numPr>
        <w:tabs>
          <w:tab w:val="clear" w:pos="720"/>
        </w:tabs>
        <w:spacing w:after="240" w:line="240" w:lineRule="atLeast"/>
        <w:ind w:left="426" w:hanging="426"/>
        <w:jc w:val="both"/>
        <w:rPr>
          <w:rFonts w:cs="Arial"/>
        </w:rPr>
      </w:pPr>
      <w:r>
        <w:rPr>
          <w:rFonts w:cs="Arial"/>
        </w:rPr>
        <w:t>T.J. Investments Pty Ltd, through Director Jason Hanna, has made application under section 32A of the Liquor Act (“the Act”) to vary the operating hours of the premises trading as The Arch Rival Bar and Grill, located at Lot 4536 University Avenue, Palmerston.</w:t>
      </w:r>
    </w:p>
    <w:p w:rsidR="00E0130B" w:rsidRDefault="00D66FDC" w:rsidP="003B38E2">
      <w:pPr>
        <w:numPr>
          <w:ilvl w:val="0"/>
          <w:numId w:val="1"/>
        </w:numPr>
        <w:tabs>
          <w:tab w:val="clear" w:pos="720"/>
        </w:tabs>
        <w:spacing w:after="120" w:line="240" w:lineRule="atLeast"/>
        <w:ind w:left="426" w:hanging="426"/>
        <w:jc w:val="both"/>
        <w:rPr>
          <w:rFonts w:cs="Arial"/>
        </w:rPr>
      </w:pPr>
      <w:r>
        <w:rPr>
          <w:rFonts w:cs="Arial"/>
        </w:rPr>
        <w:t>The application has been duly advertised on 23 and 25 July 2014, with the expiration of the objection period being close of business on 25 August 2014.</w:t>
      </w:r>
    </w:p>
    <w:p w:rsidR="00D66FDC" w:rsidRDefault="00D66FDC" w:rsidP="003B38E2">
      <w:pPr>
        <w:numPr>
          <w:ilvl w:val="0"/>
          <w:numId w:val="1"/>
        </w:numPr>
        <w:tabs>
          <w:tab w:val="clear" w:pos="720"/>
        </w:tabs>
        <w:spacing w:after="120" w:line="240" w:lineRule="atLeast"/>
        <w:ind w:left="426" w:hanging="426"/>
        <w:jc w:val="both"/>
        <w:rPr>
          <w:rFonts w:cs="Arial"/>
        </w:rPr>
      </w:pPr>
      <w:r>
        <w:rPr>
          <w:rFonts w:cs="Arial"/>
        </w:rPr>
        <w:t>In essence the application seeks to extend trading hour</w:t>
      </w:r>
      <w:r w:rsidR="006C27EB">
        <w:rPr>
          <w:rFonts w:cs="Arial"/>
        </w:rPr>
        <w:t>s</w:t>
      </w:r>
      <w:r>
        <w:rPr>
          <w:rFonts w:cs="Arial"/>
        </w:rPr>
        <w:t xml:space="preserve"> 7 days a week through opening at 10:00am as opposed to the current commencement of trading at 11:30am.</w:t>
      </w:r>
    </w:p>
    <w:p w:rsidR="00720AD8" w:rsidRPr="00720AD8" w:rsidRDefault="00D66FDC" w:rsidP="003B38E2">
      <w:pPr>
        <w:numPr>
          <w:ilvl w:val="0"/>
          <w:numId w:val="1"/>
        </w:numPr>
        <w:tabs>
          <w:tab w:val="clear" w:pos="720"/>
        </w:tabs>
        <w:spacing w:after="240" w:line="240" w:lineRule="atLeast"/>
        <w:ind w:left="426" w:hanging="426"/>
        <w:jc w:val="both"/>
        <w:rPr>
          <w:rFonts w:cs="Arial"/>
        </w:rPr>
      </w:pPr>
      <w:r>
        <w:rPr>
          <w:rFonts w:cs="Arial"/>
        </w:rPr>
        <w:t>Only two responses were received in response to the advertisement and notices sent out on behalf of the Director of Licensing to relevant organisations.  The Department of Health advised that they had no adverse comment to lodge.  The City of Palmerston, through the Director of Technical Services, Mr Mark Spangler, advised that Palmerston City Council resolved: “That Council not support the variation to Liquor Licence on Lot 4536 (11) University Avenue, Palmerston”.</w:t>
      </w:r>
    </w:p>
    <w:p w:rsidR="002C6BB7" w:rsidRPr="002C6BB7" w:rsidRDefault="00E43CF5" w:rsidP="00CA53CE">
      <w:pPr>
        <w:pStyle w:val="Heading2"/>
      </w:pPr>
      <w:r>
        <w:t>Decision</w:t>
      </w:r>
    </w:p>
    <w:p w:rsidR="00E05D93" w:rsidRDefault="00D66FDC" w:rsidP="003B38E2">
      <w:pPr>
        <w:numPr>
          <w:ilvl w:val="0"/>
          <w:numId w:val="1"/>
        </w:numPr>
        <w:tabs>
          <w:tab w:val="clear" w:pos="720"/>
        </w:tabs>
        <w:spacing w:after="240" w:line="240" w:lineRule="atLeast"/>
        <w:ind w:left="426" w:hanging="426"/>
        <w:jc w:val="both"/>
        <w:rPr>
          <w:rFonts w:cs="Arial"/>
        </w:rPr>
      </w:pPr>
      <w:r>
        <w:rPr>
          <w:rFonts w:cs="Arial"/>
        </w:rPr>
        <w:t>While the submission of Palmerston Council was lodged within the required timeframe it does not constitute an objection.  The words “not support” do not necessarily imply an objection.  Additionally, under the Act to qualify as an objection a submission must meet the criterion specif</w:t>
      </w:r>
      <w:r w:rsidR="004D47A9">
        <w:rPr>
          <w:rFonts w:cs="Arial"/>
        </w:rPr>
        <w:t>ied in Section 47F(2)(a) or (b):</w:t>
      </w:r>
    </w:p>
    <w:p w:rsidR="004D47A9" w:rsidRPr="00E43CF5" w:rsidRDefault="004D47A9" w:rsidP="00E43CF5">
      <w:pPr>
        <w:spacing w:after="240"/>
        <w:ind w:left="426"/>
        <w:rPr>
          <w:b/>
          <w:i/>
        </w:rPr>
      </w:pPr>
      <w:bookmarkStart w:id="1" w:name="_Hlk50276418"/>
      <w:bookmarkStart w:id="2" w:name="_Toc388961265"/>
      <w:r w:rsidRPr="00E43CF5">
        <w:rPr>
          <w:b/>
          <w:i/>
        </w:rPr>
        <w:t>47F</w:t>
      </w:r>
      <w:bookmarkEnd w:id="1"/>
      <w:r w:rsidRPr="00E43CF5">
        <w:rPr>
          <w:b/>
          <w:i/>
        </w:rPr>
        <w:tab/>
        <w:t>Person may object to certain applications</w:t>
      </w:r>
      <w:bookmarkEnd w:id="2"/>
    </w:p>
    <w:p w:rsidR="004D47A9" w:rsidRPr="004D47A9" w:rsidRDefault="004D47A9" w:rsidP="004D47A9">
      <w:pPr>
        <w:pStyle w:val="Subsection"/>
        <w:keepNext/>
        <w:keepLines/>
        <w:ind w:left="1526" w:right="849"/>
        <w:rPr>
          <w:i/>
        </w:rPr>
      </w:pPr>
      <w:r w:rsidRPr="004D47A9">
        <w:rPr>
          <w:i/>
        </w:rPr>
        <w:tab/>
        <w:t>(2)</w:t>
      </w:r>
      <w:r w:rsidRPr="004D47A9">
        <w:rPr>
          <w:i/>
        </w:rPr>
        <w:tab/>
        <w:t>The objection may only be made on the ground that the grant of the licence, variation of conditions, substitution of other premises or material alteration may or will adversely affect:</w:t>
      </w:r>
    </w:p>
    <w:p w:rsidR="004D47A9" w:rsidRPr="004D47A9" w:rsidRDefault="004D47A9" w:rsidP="004D47A9">
      <w:pPr>
        <w:pStyle w:val="Paragraph"/>
        <w:ind w:left="2093" w:right="849"/>
        <w:rPr>
          <w:i/>
        </w:rPr>
      </w:pPr>
      <w:r w:rsidRPr="004D47A9">
        <w:rPr>
          <w:i/>
        </w:rPr>
        <w:t>(a)</w:t>
      </w:r>
      <w:r w:rsidRPr="004D47A9">
        <w:rPr>
          <w:i/>
        </w:rPr>
        <w:tab/>
      </w:r>
      <w:proofErr w:type="gramStart"/>
      <w:r w:rsidRPr="004D47A9">
        <w:rPr>
          <w:i/>
        </w:rPr>
        <w:t>the</w:t>
      </w:r>
      <w:proofErr w:type="gramEnd"/>
      <w:r w:rsidRPr="004D47A9">
        <w:rPr>
          <w:i/>
        </w:rPr>
        <w:t xml:space="preserve"> amenity of the neighbourhood where the premises the </w:t>
      </w:r>
      <w:r w:rsidRPr="004D47A9">
        <w:rPr>
          <w:i/>
        </w:rPr>
        <w:lastRenderedPageBreak/>
        <w:t>subject of the application are or will be located; or</w:t>
      </w:r>
    </w:p>
    <w:p w:rsidR="004D47A9" w:rsidRPr="004D47A9" w:rsidRDefault="004D47A9" w:rsidP="004D47A9">
      <w:pPr>
        <w:pStyle w:val="Paragraph"/>
        <w:ind w:left="2093" w:right="849"/>
        <w:rPr>
          <w:i/>
        </w:rPr>
      </w:pPr>
      <w:r w:rsidRPr="004D47A9">
        <w:rPr>
          <w:i/>
        </w:rPr>
        <w:t>(b)</w:t>
      </w:r>
      <w:r w:rsidRPr="004D47A9">
        <w:rPr>
          <w:i/>
        </w:rPr>
        <w:tab/>
      </w:r>
      <w:proofErr w:type="gramStart"/>
      <w:r w:rsidRPr="004D47A9">
        <w:rPr>
          <w:i/>
        </w:rPr>
        <w:t>health</w:t>
      </w:r>
      <w:proofErr w:type="gramEnd"/>
      <w:r w:rsidRPr="004D47A9">
        <w:rPr>
          <w:i/>
        </w:rPr>
        <w:t>, education, public safety or social conditions in the community.</w:t>
      </w:r>
    </w:p>
    <w:p w:rsidR="00D66FDC" w:rsidRPr="00391D5F" w:rsidRDefault="00391D5F" w:rsidP="00391D5F">
      <w:pPr>
        <w:numPr>
          <w:ilvl w:val="0"/>
          <w:numId w:val="1"/>
        </w:numPr>
        <w:tabs>
          <w:tab w:val="clear" w:pos="720"/>
        </w:tabs>
        <w:spacing w:after="240" w:line="240" w:lineRule="atLeast"/>
        <w:ind w:left="426" w:hanging="426"/>
        <w:jc w:val="both"/>
        <w:rPr>
          <w:rFonts w:cs="Arial"/>
        </w:rPr>
      </w:pPr>
      <w:r>
        <w:rPr>
          <w:rFonts w:cs="Arial"/>
        </w:rPr>
        <w:t>Palmerston Council has not specified any grounds for not supporting, opposing or objecting to the application</w:t>
      </w:r>
      <w:proofErr w:type="gramStart"/>
      <w:r>
        <w:rPr>
          <w:rFonts w:cs="Arial"/>
        </w:rPr>
        <w:t xml:space="preserve">.  </w:t>
      </w:r>
      <w:proofErr w:type="gramEnd"/>
      <w:r>
        <w:rPr>
          <w:rFonts w:cs="Arial"/>
        </w:rPr>
        <w:t>Pursuant to Section 47I I determine that there is no objection, valid or otherwise, to the application and that there is no requirement for the Northern Territory Licencing Commission to conduct a Hearing.</w:t>
      </w:r>
    </w:p>
    <w:p w:rsidR="002C6BB7" w:rsidRDefault="002C6BB7" w:rsidP="00E43CF5">
      <w:pPr>
        <w:spacing w:before="1200" w:line="240" w:lineRule="atLeast"/>
        <w:ind w:left="426" w:hanging="426"/>
        <w:jc w:val="both"/>
        <w:rPr>
          <w:rFonts w:cs="Arial"/>
        </w:rPr>
      </w:pPr>
      <w:r>
        <w:rPr>
          <w:rFonts w:cs="Arial"/>
        </w:rPr>
        <w:t>Richard O’Sullivan</w:t>
      </w:r>
    </w:p>
    <w:p w:rsidR="002C6BB7" w:rsidRDefault="002C6BB7" w:rsidP="003B38E2">
      <w:pPr>
        <w:spacing w:after="240" w:line="240" w:lineRule="atLeast"/>
        <w:ind w:left="426" w:hanging="426"/>
        <w:jc w:val="both"/>
        <w:rPr>
          <w:rFonts w:cs="Arial"/>
        </w:rPr>
      </w:pPr>
      <w:r>
        <w:rPr>
          <w:rFonts w:cs="Arial"/>
        </w:rPr>
        <w:t>C</w:t>
      </w:r>
      <w:r w:rsidR="00E43CF5">
        <w:rPr>
          <w:rFonts w:cs="Arial"/>
        </w:rPr>
        <w:t>hairman</w:t>
      </w:r>
    </w:p>
    <w:p w:rsidR="008707D3" w:rsidRDefault="004D47A9" w:rsidP="00E43CF5">
      <w:pPr>
        <w:spacing w:after="240" w:line="240" w:lineRule="atLeast"/>
        <w:ind w:left="426"/>
        <w:jc w:val="both"/>
        <w:rPr>
          <w:rFonts w:cs="Arial"/>
        </w:rPr>
      </w:pPr>
      <w:r>
        <w:rPr>
          <w:rFonts w:cs="Arial"/>
        </w:rPr>
        <w:t>October</w:t>
      </w:r>
      <w:r w:rsidR="00742D00">
        <w:rPr>
          <w:rFonts w:cs="Arial"/>
        </w:rPr>
        <w:t xml:space="preserve"> 2014</w:t>
      </w:r>
    </w:p>
    <w:sectPr w:rsidR="008707D3" w:rsidSect="006C27EB">
      <w:headerReference w:type="even" r:id="rId9"/>
      <w:headerReference w:type="default" r:id="rId10"/>
      <w:headerReference w:type="first" r:id="rId11"/>
      <w:pgSz w:w="11906" w:h="16838" w:code="9"/>
      <w:pgMar w:top="1440" w:right="1134" w:bottom="1440"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47" w:rsidRDefault="00B74747">
      <w:r>
        <w:separator/>
      </w:r>
    </w:p>
  </w:endnote>
  <w:endnote w:type="continuationSeparator" w:id="0">
    <w:p w:rsidR="00B74747" w:rsidRDefault="00B7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47" w:rsidRDefault="00B74747">
      <w:r>
        <w:separator/>
      </w:r>
    </w:p>
  </w:footnote>
  <w:footnote w:type="continuationSeparator" w:id="0">
    <w:p w:rsidR="00B74747" w:rsidRDefault="00B7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337">
      <w:rPr>
        <w:rStyle w:val="PageNumber"/>
        <w:noProof/>
      </w:rPr>
      <w:t>2</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E43CF5" w:rsidP="003B38E2">
    <w:pPr>
      <w:jc w:val="center"/>
    </w:pPr>
    <w:r w:rsidRPr="00C26AA1">
      <w:rPr>
        <w:b/>
        <w:sz w:val="32"/>
      </w:rPr>
      <w:t xml:space="preserve">Northern Territory </w:t>
    </w:r>
    <w:r>
      <w:rPr>
        <w:b/>
        <w:sz w:val="32"/>
      </w:rPr>
      <w:t>Licensing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7">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7"/>
  </w:num>
  <w:num w:numId="2">
    <w:abstractNumId w:val="6"/>
  </w:num>
  <w:num w:numId="3">
    <w:abstractNumId w:val="5"/>
  </w:num>
  <w:num w:numId="4">
    <w:abstractNumId w:val="4"/>
  </w:num>
  <w:num w:numId="5">
    <w:abstractNumId w:val="12"/>
  </w:num>
  <w:num w:numId="6">
    <w:abstractNumId w:val="13"/>
  </w:num>
  <w:num w:numId="7">
    <w:abstractNumId w:val="10"/>
  </w:num>
  <w:num w:numId="8">
    <w:abstractNumId w:val="0"/>
  </w:num>
  <w:num w:numId="9">
    <w:abstractNumId w:val="14"/>
  </w:num>
  <w:num w:numId="10">
    <w:abstractNumId w:val="9"/>
  </w:num>
  <w:num w:numId="11">
    <w:abstractNumId w:val="2"/>
  </w:num>
  <w:num w:numId="12">
    <w:abstractNumId w:val="3"/>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47"/>
    <w:rsid w:val="00000D37"/>
    <w:rsid w:val="000020F8"/>
    <w:rsid w:val="000048F3"/>
    <w:rsid w:val="00060698"/>
    <w:rsid w:val="0006656F"/>
    <w:rsid w:val="000808B9"/>
    <w:rsid w:val="00082CE5"/>
    <w:rsid w:val="00091732"/>
    <w:rsid w:val="000A71E5"/>
    <w:rsid w:val="000E1540"/>
    <w:rsid w:val="00102517"/>
    <w:rsid w:val="00126EF4"/>
    <w:rsid w:val="0012714B"/>
    <w:rsid w:val="001304C4"/>
    <w:rsid w:val="00140933"/>
    <w:rsid w:val="001444A8"/>
    <w:rsid w:val="00180CE5"/>
    <w:rsid w:val="00184F2E"/>
    <w:rsid w:val="00192903"/>
    <w:rsid w:val="001C03C0"/>
    <w:rsid w:val="001D6307"/>
    <w:rsid w:val="001D6966"/>
    <w:rsid w:val="001F335D"/>
    <w:rsid w:val="00204481"/>
    <w:rsid w:val="00206E6E"/>
    <w:rsid w:val="002339C1"/>
    <w:rsid w:val="00262155"/>
    <w:rsid w:val="00272238"/>
    <w:rsid w:val="00277AE9"/>
    <w:rsid w:val="002A25AA"/>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91D5F"/>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54068"/>
    <w:rsid w:val="004717FF"/>
    <w:rsid w:val="00480975"/>
    <w:rsid w:val="004B422E"/>
    <w:rsid w:val="004D373A"/>
    <w:rsid w:val="004D47A9"/>
    <w:rsid w:val="004E5DB9"/>
    <w:rsid w:val="004F33F5"/>
    <w:rsid w:val="00517D0F"/>
    <w:rsid w:val="005223B7"/>
    <w:rsid w:val="00532A8E"/>
    <w:rsid w:val="005A5E6A"/>
    <w:rsid w:val="005C38DC"/>
    <w:rsid w:val="005C403D"/>
    <w:rsid w:val="005D116B"/>
    <w:rsid w:val="00612471"/>
    <w:rsid w:val="00615992"/>
    <w:rsid w:val="0063050D"/>
    <w:rsid w:val="00634062"/>
    <w:rsid w:val="00682899"/>
    <w:rsid w:val="00682C3C"/>
    <w:rsid w:val="006A7AED"/>
    <w:rsid w:val="006C27EB"/>
    <w:rsid w:val="006D06D6"/>
    <w:rsid w:val="007010AC"/>
    <w:rsid w:val="007046C6"/>
    <w:rsid w:val="00712274"/>
    <w:rsid w:val="00712415"/>
    <w:rsid w:val="00720AD8"/>
    <w:rsid w:val="00735AB3"/>
    <w:rsid w:val="00741C28"/>
    <w:rsid w:val="00742D00"/>
    <w:rsid w:val="007635FA"/>
    <w:rsid w:val="00763830"/>
    <w:rsid w:val="00792389"/>
    <w:rsid w:val="007B0F27"/>
    <w:rsid w:val="007D15A0"/>
    <w:rsid w:val="007E7020"/>
    <w:rsid w:val="008132FB"/>
    <w:rsid w:val="00817FA8"/>
    <w:rsid w:val="00821B56"/>
    <w:rsid w:val="00824D04"/>
    <w:rsid w:val="00851D26"/>
    <w:rsid w:val="00861250"/>
    <w:rsid w:val="008707D3"/>
    <w:rsid w:val="008968EA"/>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C0337"/>
    <w:rsid w:val="009E2C01"/>
    <w:rsid w:val="009E7B70"/>
    <w:rsid w:val="00A07D57"/>
    <w:rsid w:val="00A10C4F"/>
    <w:rsid w:val="00A179CF"/>
    <w:rsid w:val="00A300E9"/>
    <w:rsid w:val="00A467CA"/>
    <w:rsid w:val="00A520B3"/>
    <w:rsid w:val="00A85362"/>
    <w:rsid w:val="00A94982"/>
    <w:rsid w:val="00AA1AD2"/>
    <w:rsid w:val="00AB4D34"/>
    <w:rsid w:val="00AD0566"/>
    <w:rsid w:val="00AD7B16"/>
    <w:rsid w:val="00AE3ED6"/>
    <w:rsid w:val="00AF4879"/>
    <w:rsid w:val="00B00073"/>
    <w:rsid w:val="00B50B06"/>
    <w:rsid w:val="00B60D8B"/>
    <w:rsid w:val="00B74747"/>
    <w:rsid w:val="00B760BD"/>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E6D02"/>
    <w:rsid w:val="00CF2AE7"/>
    <w:rsid w:val="00CF3964"/>
    <w:rsid w:val="00D07B98"/>
    <w:rsid w:val="00D1617A"/>
    <w:rsid w:val="00D54C0A"/>
    <w:rsid w:val="00D66FDC"/>
    <w:rsid w:val="00D76980"/>
    <w:rsid w:val="00DA37E9"/>
    <w:rsid w:val="00DB77E4"/>
    <w:rsid w:val="00DC6365"/>
    <w:rsid w:val="00DE0C6D"/>
    <w:rsid w:val="00E0130B"/>
    <w:rsid w:val="00E023C4"/>
    <w:rsid w:val="00E05D93"/>
    <w:rsid w:val="00E30D0A"/>
    <w:rsid w:val="00E43CF5"/>
    <w:rsid w:val="00E64F46"/>
    <w:rsid w:val="00E735FB"/>
    <w:rsid w:val="00E95BC9"/>
    <w:rsid w:val="00EA65EF"/>
    <w:rsid w:val="00EB0E4C"/>
    <w:rsid w:val="00EF3278"/>
    <w:rsid w:val="00EF7574"/>
    <w:rsid w:val="00F0254E"/>
    <w:rsid w:val="00F06E17"/>
    <w:rsid w:val="00F11069"/>
    <w:rsid w:val="00F27918"/>
    <w:rsid w:val="00F74D1D"/>
    <w:rsid w:val="00F914E2"/>
    <w:rsid w:val="00F94C5D"/>
    <w:rsid w:val="00FA095C"/>
    <w:rsid w:val="00FA3B90"/>
    <w:rsid w:val="00FB7BF2"/>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CF5"/>
    <w:rPr>
      <w:rFonts w:ascii="Arial" w:hAnsi="Arial"/>
      <w:sz w:val="24"/>
      <w:szCs w:val="24"/>
    </w:rPr>
  </w:style>
  <w:style w:type="paragraph" w:styleId="Heading1">
    <w:name w:val="heading 1"/>
    <w:basedOn w:val="Normal"/>
    <w:next w:val="Normal"/>
    <w:link w:val="Heading1Char"/>
    <w:qFormat/>
    <w:rsid w:val="009C0337"/>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4D47A9"/>
    <w:rPr>
      <w:rFonts w:ascii="Helvetica" w:hAnsi="Helvetica"/>
      <w:b/>
      <w:sz w:val="24"/>
      <w:szCs w:val="24"/>
    </w:rPr>
  </w:style>
  <w:style w:type="character" w:customStyle="1" w:styleId="ParagraphChar">
    <w:name w:val="Paragraph Char"/>
    <w:basedOn w:val="DefaultParagraphFont"/>
    <w:link w:val="Paragraph"/>
    <w:rsid w:val="004D47A9"/>
    <w:rPr>
      <w:rFonts w:ascii="Helvetica" w:hAnsi="Helvetica"/>
      <w:sz w:val="24"/>
      <w:szCs w:val="24"/>
    </w:rPr>
  </w:style>
  <w:style w:type="character" w:customStyle="1" w:styleId="SubsectionChar">
    <w:name w:val="Subsection Char"/>
    <w:basedOn w:val="DefaultParagraphFont"/>
    <w:link w:val="Subsection"/>
    <w:rsid w:val="004D47A9"/>
    <w:rPr>
      <w:rFonts w:ascii="Helvetica" w:hAnsi="Helvetica"/>
      <w:sz w:val="24"/>
      <w:szCs w:val="24"/>
    </w:rPr>
  </w:style>
  <w:style w:type="character" w:customStyle="1" w:styleId="Heading1Char">
    <w:name w:val="Heading 1 Char"/>
    <w:basedOn w:val="DefaultParagraphFont"/>
    <w:link w:val="Heading1"/>
    <w:rsid w:val="009C0337"/>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CF5"/>
    <w:rPr>
      <w:rFonts w:ascii="Arial" w:hAnsi="Arial"/>
      <w:sz w:val="24"/>
      <w:szCs w:val="24"/>
    </w:rPr>
  </w:style>
  <w:style w:type="paragraph" w:styleId="Heading1">
    <w:name w:val="heading 1"/>
    <w:basedOn w:val="Normal"/>
    <w:next w:val="Normal"/>
    <w:link w:val="Heading1Char"/>
    <w:qFormat/>
    <w:rsid w:val="009C0337"/>
    <w:pPr>
      <w:keepNext/>
      <w:pBdr>
        <w:bottom w:val="single" w:sz="12" w:space="6" w:color="auto"/>
      </w:pBdr>
      <w:spacing w:before="360"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4D47A9"/>
    <w:rPr>
      <w:rFonts w:ascii="Helvetica" w:hAnsi="Helvetica"/>
      <w:b/>
      <w:sz w:val="24"/>
      <w:szCs w:val="24"/>
    </w:rPr>
  </w:style>
  <w:style w:type="character" w:customStyle="1" w:styleId="ParagraphChar">
    <w:name w:val="Paragraph Char"/>
    <w:basedOn w:val="DefaultParagraphFont"/>
    <w:link w:val="Paragraph"/>
    <w:rsid w:val="004D47A9"/>
    <w:rPr>
      <w:rFonts w:ascii="Helvetica" w:hAnsi="Helvetica"/>
      <w:sz w:val="24"/>
      <w:szCs w:val="24"/>
    </w:rPr>
  </w:style>
  <w:style w:type="character" w:customStyle="1" w:styleId="SubsectionChar">
    <w:name w:val="Subsection Char"/>
    <w:basedOn w:val="DefaultParagraphFont"/>
    <w:link w:val="Subsection"/>
    <w:rsid w:val="004D47A9"/>
    <w:rPr>
      <w:rFonts w:ascii="Helvetica" w:hAnsi="Helvetica"/>
      <w:sz w:val="24"/>
      <w:szCs w:val="24"/>
    </w:rPr>
  </w:style>
  <w:style w:type="character" w:customStyle="1" w:styleId="Heading1Char">
    <w:name w:val="Heading 1 Char"/>
    <w:basedOn w:val="DefaultParagraphFont"/>
    <w:link w:val="Heading1"/>
    <w:rsid w:val="009C0337"/>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2014-10-12T14:30:00+00:00</Hearing_x0020_Date>
    <Decision_x0020_Category xmlns="28e3188d-fccf-4e87-a6b6-2e446be4517c">Liquor</Decision_x0020_Category>
    <_dlc_DocId xmlns="28e3188d-fccf-4e87-a6b6-2e446be4517c">2AXQX2YYQNYC-455-1345</_dlc_DocId>
    <_dlc_DocIdUrl xmlns="28e3188d-fccf-4e87-a6b6-2e446be4517c">
      <Url>http://www.dob.nt.gov.au/gambling-licensing/decisions/hearings-decisions/_layouts/DocIdRedir.aspx?ID=2AXQX2YYQNYC-455-1345</Url>
      <Description>2AXQX2YYQNYC-455-1345</Description>
    </_dlc_DocIdUrl>
  </documentManagement>
</p:properties>
</file>

<file path=customXml/itemProps1.xml><?xml version="1.0" encoding="utf-8"?>
<ds:datastoreItem xmlns:ds="http://schemas.openxmlformats.org/officeDocument/2006/customXml" ds:itemID="{6EEFE6CB-F0D1-46BA-8B86-BCCA89D853C9}"/>
</file>

<file path=customXml/itemProps2.xml><?xml version="1.0" encoding="utf-8"?>
<ds:datastoreItem xmlns:ds="http://schemas.openxmlformats.org/officeDocument/2006/customXml" ds:itemID="{6ACFEDB3-06C3-4B76-87E5-15DC58A093A6}"/>
</file>

<file path=customXml/itemProps3.xml><?xml version="1.0" encoding="utf-8"?>
<ds:datastoreItem xmlns:ds="http://schemas.openxmlformats.org/officeDocument/2006/customXml" ds:itemID="{E5DBC833-6DFD-4353-A31F-14A70221D935}"/>
</file>

<file path=customXml/itemProps4.xml><?xml version="1.0" encoding="utf-8"?>
<ds:datastoreItem xmlns:ds="http://schemas.openxmlformats.org/officeDocument/2006/customXml" ds:itemID="{B038A22F-DC51-4E2E-B27E-51E75B6C66DC}"/>
</file>

<file path=customXml/itemProps5.xml><?xml version="1.0" encoding="utf-8"?>
<ds:datastoreItem xmlns:ds="http://schemas.openxmlformats.org/officeDocument/2006/customXml" ds:itemID="{DA0EFC64-38E9-444A-B490-BCA5C176E196}"/>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 Rival Bar &amp; Grill 47F</dc:title>
  <dc:creator>Judith Boiteau</dc:creator>
  <cp:lastModifiedBy>Marlene Woods</cp:lastModifiedBy>
  <cp:revision>4</cp:revision>
  <cp:lastPrinted>2014-10-09T23:26:00Z</cp:lastPrinted>
  <dcterms:created xsi:type="dcterms:W3CDTF">2015-01-06T06:49:00Z</dcterms:created>
  <dcterms:modified xsi:type="dcterms:W3CDTF">2015-01-06T06:56:00Z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29641c70-0cf2-4fae-9348-4eb05f8a09da</vt:lpwstr>
  </property>
</Properties>
</file>