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D25346" w:rsidRDefault="003B38E2" w:rsidP="00D25346">
      <w:pPr>
        <w:pStyle w:val="Heading1"/>
      </w:pPr>
      <w:r w:rsidRPr="00D25346">
        <w:t>Reasons for Decision</w:t>
      </w:r>
    </w:p>
    <w:p w:rsidR="00F73AE2" w:rsidRPr="00F73AE2" w:rsidRDefault="00DB64C1" w:rsidP="00D25346">
      <w:pPr>
        <w:tabs>
          <w:tab w:val="left" w:pos="2835"/>
        </w:tabs>
        <w:spacing w:after="200"/>
      </w:pPr>
      <w:r>
        <w:rPr>
          <w:b/>
        </w:rPr>
        <w:t>Complainant</w:t>
      </w:r>
      <w:r w:rsidR="00F73AE2">
        <w:rPr>
          <w:b/>
        </w:rPr>
        <w:t>s</w:t>
      </w:r>
      <w:r>
        <w:rPr>
          <w:b/>
        </w:rPr>
        <w:t>:</w:t>
      </w:r>
      <w:r>
        <w:rPr>
          <w:b/>
        </w:rPr>
        <w:tab/>
      </w:r>
      <w:r w:rsidR="005F725E">
        <w:t xml:space="preserve">Mr </w:t>
      </w:r>
      <w:r w:rsidR="000731CB">
        <w:t>R</w:t>
      </w:r>
      <w:r w:rsidR="00747237">
        <w:t xml:space="preserve">; and </w:t>
      </w:r>
      <w:r w:rsidR="00F73AE2">
        <w:t xml:space="preserve">Mr </w:t>
      </w:r>
      <w:r w:rsidR="000731CB">
        <w:t>S</w:t>
      </w:r>
    </w:p>
    <w:p w:rsidR="003B38E2" w:rsidRPr="005F725E" w:rsidRDefault="003B38E2" w:rsidP="00D25346">
      <w:pPr>
        <w:tabs>
          <w:tab w:val="left" w:pos="2835"/>
        </w:tabs>
        <w:spacing w:after="200"/>
        <w:rPr>
          <w:rFonts w:cs="Arial"/>
          <w:lang w:val="en-GB"/>
        </w:rPr>
      </w:pPr>
      <w:r w:rsidRPr="00CE4353">
        <w:rPr>
          <w:b/>
        </w:rPr>
        <w:t>Licensee</w:t>
      </w:r>
      <w:r w:rsidRPr="00C05A58">
        <w:rPr>
          <w:rFonts w:cs="Arial"/>
          <w:b/>
          <w:lang w:val="en-GB"/>
        </w:rPr>
        <w:t>:</w:t>
      </w:r>
      <w:r w:rsidRPr="00C05A58">
        <w:rPr>
          <w:rFonts w:cs="Arial"/>
          <w:b/>
          <w:lang w:val="en-GB"/>
        </w:rPr>
        <w:tab/>
      </w:r>
      <w:r w:rsidR="00F73AE2">
        <w:rPr>
          <w:rFonts w:cs="Arial"/>
          <w:lang w:val="en-GB"/>
        </w:rPr>
        <w:t>William Hill</w:t>
      </w:r>
    </w:p>
    <w:p w:rsidR="003B38E2" w:rsidRPr="00DB64C1" w:rsidRDefault="003B38E2" w:rsidP="00D25346">
      <w:pPr>
        <w:tabs>
          <w:tab w:val="left" w:pos="2835"/>
        </w:tabs>
        <w:spacing w:after="200"/>
        <w:ind w:left="2835" w:hanging="2835"/>
        <w:rPr>
          <w:rFonts w:cs="Arial"/>
          <w:lang w:val="en-GB"/>
        </w:rPr>
      </w:pPr>
      <w:r w:rsidRPr="00CE4353">
        <w:rPr>
          <w:b/>
        </w:rPr>
        <w:t>Proceedings</w:t>
      </w:r>
      <w:r w:rsidRPr="00C05A58">
        <w:rPr>
          <w:rFonts w:cs="Arial"/>
          <w:b/>
          <w:lang w:val="en-GB"/>
        </w:rPr>
        <w:t>:</w:t>
      </w:r>
      <w:r w:rsidRPr="00C05A58">
        <w:rPr>
          <w:rFonts w:cs="Arial"/>
          <w:b/>
          <w:lang w:val="en-GB"/>
        </w:rPr>
        <w:tab/>
      </w:r>
      <w:r w:rsidR="005F725E" w:rsidRPr="005463CA">
        <w:rPr>
          <w:rFonts w:cs="Arial"/>
        </w:rPr>
        <w:t>Pursu</w:t>
      </w:r>
      <w:r w:rsidR="005F725E">
        <w:rPr>
          <w:rFonts w:cs="Arial"/>
        </w:rPr>
        <w:t>ant t</w:t>
      </w:r>
      <w:r w:rsidR="005F725E" w:rsidRPr="005463CA">
        <w:rPr>
          <w:rFonts w:cs="Arial"/>
        </w:rPr>
        <w:t xml:space="preserve">o Section 85(4) </w:t>
      </w:r>
      <w:r w:rsidR="005F725E">
        <w:rPr>
          <w:rFonts w:cs="Arial"/>
        </w:rPr>
        <w:t>o</w:t>
      </w:r>
      <w:r w:rsidR="005F725E" w:rsidRPr="005463CA">
        <w:rPr>
          <w:rFonts w:cs="Arial"/>
        </w:rPr>
        <w:t xml:space="preserve">f </w:t>
      </w:r>
      <w:r w:rsidR="005F725E">
        <w:rPr>
          <w:rFonts w:cs="Arial"/>
        </w:rPr>
        <w:t>t</w:t>
      </w:r>
      <w:r w:rsidR="005F725E" w:rsidRPr="005463CA">
        <w:rPr>
          <w:rFonts w:cs="Arial"/>
        </w:rPr>
        <w:t xml:space="preserve">he </w:t>
      </w:r>
      <w:r w:rsidR="005F725E" w:rsidRPr="005463CA">
        <w:rPr>
          <w:rFonts w:cs="Arial"/>
          <w:i/>
        </w:rPr>
        <w:t xml:space="preserve">Racing </w:t>
      </w:r>
      <w:proofErr w:type="gramStart"/>
      <w:r w:rsidR="005F725E" w:rsidRPr="005463CA">
        <w:rPr>
          <w:rFonts w:cs="Arial"/>
          <w:i/>
        </w:rPr>
        <w:t>And</w:t>
      </w:r>
      <w:proofErr w:type="gramEnd"/>
      <w:r w:rsidR="005F725E" w:rsidRPr="005463CA">
        <w:rPr>
          <w:rFonts w:cs="Arial"/>
          <w:i/>
        </w:rPr>
        <w:t xml:space="preserve"> Betting </w:t>
      </w:r>
      <w:r w:rsidR="005F725E">
        <w:rPr>
          <w:rFonts w:cs="Arial"/>
          <w:i/>
        </w:rPr>
        <w:t>Act</w:t>
      </w:r>
      <w:r w:rsidR="005F725E" w:rsidRPr="005463CA">
        <w:rPr>
          <w:rFonts w:cs="Arial"/>
        </w:rPr>
        <w:t xml:space="preserve"> – Referral </w:t>
      </w:r>
      <w:r w:rsidR="005F725E">
        <w:rPr>
          <w:rFonts w:cs="Arial"/>
        </w:rPr>
        <w:t>o</w:t>
      </w:r>
      <w:r w:rsidR="005F725E" w:rsidRPr="005463CA">
        <w:rPr>
          <w:rFonts w:cs="Arial"/>
        </w:rPr>
        <w:t xml:space="preserve">f Dispute </w:t>
      </w:r>
      <w:r w:rsidR="005F725E">
        <w:rPr>
          <w:rFonts w:cs="Arial"/>
        </w:rPr>
        <w:t>t</w:t>
      </w:r>
      <w:r w:rsidR="005F725E" w:rsidRPr="005463CA">
        <w:rPr>
          <w:rFonts w:cs="Arial"/>
        </w:rPr>
        <w:t xml:space="preserve">o Racing Commission </w:t>
      </w:r>
      <w:r w:rsidR="005F725E">
        <w:rPr>
          <w:rFonts w:cs="Arial"/>
        </w:rPr>
        <w:t>f</w:t>
      </w:r>
      <w:r w:rsidR="005F725E" w:rsidRPr="005463CA">
        <w:rPr>
          <w:rFonts w:cs="Arial"/>
        </w:rPr>
        <w:t>or Determin</w:t>
      </w:r>
      <w:r w:rsidR="005F725E">
        <w:rPr>
          <w:rFonts w:cs="Arial"/>
        </w:rPr>
        <w:t>a</w:t>
      </w:r>
      <w:r w:rsidR="005F725E" w:rsidRPr="005463CA">
        <w:rPr>
          <w:rFonts w:cs="Arial"/>
        </w:rPr>
        <w:t>tion</w:t>
      </w:r>
    </w:p>
    <w:p w:rsidR="003B38E2" w:rsidRDefault="003B38E2" w:rsidP="00D25346">
      <w:pPr>
        <w:tabs>
          <w:tab w:val="left" w:pos="2835"/>
        </w:tabs>
        <w:spacing w:after="200"/>
        <w:rPr>
          <w:rFonts w:cs="Arial"/>
          <w:lang w:val="en-GB"/>
        </w:rPr>
      </w:pPr>
      <w:r>
        <w:rPr>
          <w:b/>
        </w:rPr>
        <w:t>Heard Before</w:t>
      </w:r>
      <w:r w:rsidRPr="00C05A58">
        <w:rPr>
          <w:rFonts w:cs="Arial"/>
          <w:b/>
          <w:lang w:val="en-GB"/>
        </w:rPr>
        <w:t>:</w:t>
      </w:r>
      <w:r w:rsidRPr="00C05A58">
        <w:rPr>
          <w:rFonts w:cs="Arial"/>
          <w:b/>
          <w:lang w:val="en-GB"/>
        </w:rPr>
        <w:tab/>
      </w:r>
      <w:r w:rsidR="005F725E">
        <w:rPr>
          <w:rFonts w:cs="Arial"/>
          <w:lang w:val="en-GB"/>
        </w:rPr>
        <w:t xml:space="preserve">Mr John </w:t>
      </w:r>
      <w:proofErr w:type="spellStart"/>
      <w:r w:rsidR="005F725E">
        <w:rPr>
          <w:rFonts w:cs="Arial"/>
          <w:lang w:val="en-GB"/>
        </w:rPr>
        <w:t>Boneham</w:t>
      </w:r>
      <w:proofErr w:type="spellEnd"/>
      <w:r w:rsidR="00F73AE2">
        <w:rPr>
          <w:rFonts w:cs="Arial"/>
          <w:lang w:val="en-GB"/>
        </w:rPr>
        <w:t xml:space="preserve"> </w:t>
      </w:r>
      <w:r w:rsidR="00FD5946">
        <w:rPr>
          <w:rFonts w:cs="Arial"/>
          <w:lang w:val="en-GB"/>
        </w:rPr>
        <w:t>(</w:t>
      </w:r>
      <w:r w:rsidR="00DB64C1">
        <w:rPr>
          <w:rFonts w:cs="Arial"/>
          <w:lang w:val="en-GB"/>
        </w:rPr>
        <w:t>Presiding Member</w:t>
      </w:r>
      <w:r w:rsidR="00FD5946">
        <w:rPr>
          <w:rFonts w:cs="Arial"/>
          <w:lang w:val="en-GB"/>
        </w:rPr>
        <w:t>)</w:t>
      </w:r>
    </w:p>
    <w:p w:rsidR="005F725E" w:rsidRPr="005F725E" w:rsidRDefault="00DB64C1" w:rsidP="00D25346">
      <w:pPr>
        <w:tabs>
          <w:tab w:val="left" w:pos="2835"/>
        </w:tabs>
        <w:spacing w:after="200"/>
        <w:rPr>
          <w:rFonts w:cs="Arial"/>
        </w:rPr>
      </w:pPr>
      <w:r w:rsidRPr="005F725E">
        <w:rPr>
          <w:rFonts w:cs="Arial"/>
          <w:b/>
        </w:rPr>
        <w:t>(</w:t>
      </w:r>
      <w:proofErr w:type="gramStart"/>
      <w:r w:rsidRPr="005F725E">
        <w:rPr>
          <w:rFonts w:cs="Arial"/>
          <w:b/>
        </w:rPr>
        <w:t>on</w:t>
      </w:r>
      <w:proofErr w:type="gramEnd"/>
      <w:r w:rsidRPr="005F725E">
        <w:rPr>
          <w:rFonts w:cs="Arial"/>
          <w:b/>
        </w:rPr>
        <w:t xml:space="preserve"> papers)</w:t>
      </w:r>
      <w:r w:rsidRPr="005F725E">
        <w:rPr>
          <w:rFonts w:cs="Arial"/>
          <w:b/>
        </w:rPr>
        <w:tab/>
      </w:r>
      <w:r w:rsidR="005F725E">
        <w:rPr>
          <w:rFonts w:cs="Arial"/>
        </w:rPr>
        <w:t xml:space="preserve">Mr </w:t>
      </w:r>
      <w:r w:rsidR="00F73AE2" w:rsidRPr="005F725E">
        <w:rPr>
          <w:rFonts w:cs="Arial"/>
        </w:rPr>
        <w:t>Jim McNally</w:t>
      </w:r>
      <w:r w:rsidR="00D25346">
        <w:rPr>
          <w:rFonts w:cs="Arial"/>
        </w:rPr>
        <w:br/>
      </w:r>
      <w:r w:rsidR="005F725E" w:rsidRPr="005F725E">
        <w:rPr>
          <w:rFonts w:cs="Arial"/>
        </w:rPr>
        <w:tab/>
        <w:t xml:space="preserve">Mr </w:t>
      </w:r>
      <w:r w:rsidR="00F73AE2">
        <w:rPr>
          <w:rFonts w:cs="Arial"/>
        </w:rPr>
        <w:t>David Loy</w:t>
      </w:r>
    </w:p>
    <w:p w:rsidR="003B38E2" w:rsidRPr="005F725E" w:rsidRDefault="003B38E2" w:rsidP="00D25346">
      <w:pPr>
        <w:tabs>
          <w:tab w:val="left" w:pos="2835"/>
        </w:tabs>
        <w:spacing w:after="200"/>
        <w:rPr>
          <w:rFonts w:cs="Arial"/>
        </w:rPr>
      </w:pPr>
      <w:r>
        <w:rPr>
          <w:rFonts w:cs="Arial"/>
          <w:b/>
        </w:rPr>
        <w:t xml:space="preserve">Date of </w:t>
      </w:r>
      <w:r w:rsidRPr="00A30195">
        <w:rPr>
          <w:b/>
        </w:rPr>
        <w:t>Decision</w:t>
      </w:r>
      <w:r>
        <w:rPr>
          <w:rFonts w:cs="Arial"/>
          <w:b/>
        </w:rPr>
        <w:t>:</w:t>
      </w:r>
      <w:r>
        <w:rPr>
          <w:rFonts w:cs="Arial"/>
          <w:b/>
        </w:rPr>
        <w:tab/>
      </w:r>
      <w:r w:rsidR="00AF5E9A">
        <w:rPr>
          <w:rFonts w:cs="Arial"/>
        </w:rPr>
        <w:t>23</w:t>
      </w:r>
      <w:r w:rsidR="00F73AE2">
        <w:rPr>
          <w:rFonts w:cs="Arial"/>
        </w:rPr>
        <w:t xml:space="preserve"> August</w:t>
      </w:r>
      <w:r w:rsidR="005F725E" w:rsidRPr="005F725E">
        <w:rPr>
          <w:rFonts w:cs="Arial"/>
        </w:rPr>
        <w:t xml:space="preserve"> 2016</w:t>
      </w:r>
    </w:p>
    <w:p w:rsidR="003B38E2" w:rsidRPr="00A30195" w:rsidRDefault="003B38E2" w:rsidP="003B38E2">
      <w:pPr>
        <w:pStyle w:val="BottomLine"/>
      </w:pPr>
    </w:p>
    <w:p w:rsidR="00F73AE2" w:rsidRPr="005C1CBF" w:rsidRDefault="00F73AE2" w:rsidP="00D25346">
      <w:pPr>
        <w:pStyle w:val="Heading2"/>
        <w:spacing w:before="120"/>
      </w:pPr>
      <w:r w:rsidRPr="005C1CBF">
        <w:t>Background</w:t>
      </w:r>
    </w:p>
    <w:p w:rsidR="00F73AE2" w:rsidRPr="005C1CBF" w:rsidRDefault="00F73AE2" w:rsidP="00F73AE2">
      <w:pPr>
        <w:pStyle w:val="ListParagraph"/>
        <w:numPr>
          <w:ilvl w:val="0"/>
          <w:numId w:val="16"/>
        </w:numPr>
        <w:spacing w:line="276" w:lineRule="auto"/>
        <w:contextualSpacing/>
        <w:jc w:val="both"/>
        <w:rPr>
          <w:rFonts w:cs="Arial"/>
          <w:i/>
        </w:rPr>
      </w:pPr>
      <w:r w:rsidRPr="005C1CBF">
        <w:rPr>
          <w:rFonts w:cs="Arial"/>
        </w:rPr>
        <w:t xml:space="preserve">On 27 May 2016 and 2 June 2016 Mr </w:t>
      </w:r>
      <w:r w:rsidR="000731CB">
        <w:rPr>
          <w:rFonts w:cs="Arial"/>
        </w:rPr>
        <w:t>S</w:t>
      </w:r>
      <w:r w:rsidRPr="005C1CBF">
        <w:rPr>
          <w:rFonts w:cs="Arial"/>
        </w:rPr>
        <w:t xml:space="preserve"> and Mr </w:t>
      </w:r>
      <w:r w:rsidR="000731CB">
        <w:rPr>
          <w:rFonts w:cs="Arial"/>
        </w:rPr>
        <w:t>R</w:t>
      </w:r>
      <w:r w:rsidRPr="005C1CBF">
        <w:rPr>
          <w:rFonts w:cs="Arial"/>
        </w:rPr>
        <w:t xml:space="preserve"> lodged gambling disputes respectively against William Hill (Bookmaker).</w:t>
      </w:r>
    </w:p>
    <w:p w:rsidR="00F73AE2" w:rsidRPr="005C1CBF" w:rsidRDefault="00F73AE2" w:rsidP="00F73AE2">
      <w:pPr>
        <w:ind w:left="360"/>
        <w:jc w:val="both"/>
        <w:rPr>
          <w:rFonts w:cs="Arial"/>
          <w:i/>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The disputes arise out of the same matter and centre around place wagers made on 27 May 2016 on Winnellie greyhounds Race 1 number 4 “Good Bye Joan”.</w:t>
      </w:r>
    </w:p>
    <w:p w:rsidR="00F73AE2" w:rsidRPr="005C1CBF" w:rsidRDefault="00F73AE2" w:rsidP="00F73AE2">
      <w:pPr>
        <w:ind w:left="709"/>
        <w:rPr>
          <w:rFonts w:cs="Arial"/>
        </w:rPr>
      </w:pPr>
    </w:p>
    <w:p w:rsidR="00570759" w:rsidRDefault="00F73AE2" w:rsidP="00570759">
      <w:pPr>
        <w:pStyle w:val="ListParagraph"/>
        <w:numPr>
          <w:ilvl w:val="0"/>
          <w:numId w:val="16"/>
        </w:numPr>
        <w:spacing w:line="276" w:lineRule="auto"/>
        <w:contextualSpacing/>
        <w:jc w:val="both"/>
        <w:rPr>
          <w:rFonts w:cs="Arial"/>
        </w:rPr>
      </w:pPr>
      <w:r w:rsidRPr="005C1CBF">
        <w:rPr>
          <w:rFonts w:cs="Arial"/>
        </w:rPr>
        <w:t xml:space="preserve">William Hill were advised of the disputes and provided in effect the same response for both matters. </w:t>
      </w:r>
    </w:p>
    <w:p w:rsidR="00570759" w:rsidRPr="00570759" w:rsidRDefault="00570759" w:rsidP="00570759">
      <w:pPr>
        <w:pStyle w:val="ListParagraph"/>
        <w:rPr>
          <w:rFonts w:cs="Arial"/>
        </w:rPr>
      </w:pPr>
    </w:p>
    <w:p w:rsidR="00F73AE2" w:rsidRPr="00570759" w:rsidRDefault="00F73AE2" w:rsidP="00570759">
      <w:pPr>
        <w:pStyle w:val="ListParagraph"/>
        <w:numPr>
          <w:ilvl w:val="0"/>
          <w:numId w:val="16"/>
        </w:numPr>
        <w:spacing w:line="276" w:lineRule="auto"/>
        <w:contextualSpacing/>
        <w:jc w:val="both"/>
        <w:rPr>
          <w:rFonts w:cs="Arial"/>
        </w:rPr>
      </w:pPr>
      <w:r w:rsidRPr="00570759">
        <w:rPr>
          <w:rFonts w:cs="Arial"/>
        </w:rPr>
        <w:t>Accordingly in view of the fact that both disputes relate to the same dog, the same race and the same form of betting, the Commission has decided that both matters will be dealt with in this joint determination.</w:t>
      </w:r>
    </w:p>
    <w:p w:rsidR="00F73AE2" w:rsidRPr="005C1CBF" w:rsidRDefault="00F73AE2" w:rsidP="00F73AE2">
      <w:pPr>
        <w:ind w:left="72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i/>
        </w:rPr>
      </w:pPr>
      <w:r w:rsidRPr="005C1CBF">
        <w:rPr>
          <w:rFonts w:cs="Arial"/>
        </w:rPr>
        <w:t xml:space="preserve">By way of background to this dispute, William Hill do not set their own odds on the Winnellie Park greyhounds, rather they rely on </w:t>
      </w:r>
      <w:proofErr w:type="spellStart"/>
      <w:r w:rsidRPr="005C1CBF">
        <w:rPr>
          <w:rFonts w:cs="Arial"/>
        </w:rPr>
        <w:t>Tattsbet</w:t>
      </w:r>
      <w:proofErr w:type="spellEnd"/>
      <w:r w:rsidRPr="005C1CBF">
        <w:rPr>
          <w:rFonts w:cs="Arial"/>
        </w:rPr>
        <w:t xml:space="preserve"> (</w:t>
      </w:r>
      <w:proofErr w:type="spellStart"/>
      <w:r w:rsidRPr="005C1CBF">
        <w:rPr>
          <w:rFonts w:cs="Arial"/>
        </w:rPr>
        <w:t>UBET</w:t>
      </w:r>
      <w:proofErr w:type="spellEnd"/>
      <w:r w:rsidRPr="005C1CBF">
        <w:rPr>
          <w:rFonts w:cs="Arial"/>
        </w:rPr>
        <w:t>) totalisator odds, when making payouts on successful wagers.</w:t>
      </w:r>
    </w:p>
    <w:p w:rsidR="00F73AE2" w:rsidRPr="005C1CBF" w:rsidRDefault="00F73AE2" w:rsidP="009237C7">
      <w:pPr>
        <w:ind w:left="709"/>
        <w:jc w:val="both"/>
        <w:rPr>
          <w:rFonts w:cs="Arial"/>
          <w:i/>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As the pools on Winnellie Park greyhound races are relatively small this then lends itself to the possibility of tote manipulation, which in this case William Hill are alleging occurred.</w:t>
      </w:r>
    </w:p>
    <w:p w:rsidR="00F73AE2" w:rsidRPr="005C1CBF" w:rsidRDefault="00F73AE2" w:rsidP="00D25346">
      <w:pPr>
        <w:pStyle w:val="Heading2"/>
      </w:pPr>
      <w:r w:rsidRPr="005C1CBF">
        <w:t>F</w:t>
      </w:r>
      <w:r>
        <w:t>acts of the Matter</w:t>
      </w: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At the heart of the matter is a “Place” wager of $825.00 and a “Place” wager of $265.00 on the same greyhound “Good Bye Joan”</w:t>
      </w:r>
      <w:proofErr w:type="gramStart"/>
      <w:r w:rsidRPr="005C1CBF">
        <w:rPr>
          <w:rFonts w:cs="Arial"/>
        </w:rPr>
        <w:t xml:space="preserve">.  </w:t>
      </w:r>
      <w:proofErr w:type="gramEnd"/>
      <w:r w:rsidRPr="005C1CBF">
        <w:rPr>
          <w:rFonts w:cs="Arial"/>
        </w:rPr>
        <w:t>The $825.00 wager made by Mr</w:t>
      </w:r>
      <w:r w:rsidR="00D25346">
        <w:rPr>
          <w:rFonts w:cs="Arial"/>
        </w:rPr>
        <w:t> </w:t>
      </w:r>
      <w:r w:rsidR="000731CB">
        <w:rPr>
          <w:rFonts w:cs="Arial"/>
        </w:rPr>
        <w:t>R</w:t>
      </w:r>
      <w:r w:rsidRPr="005C1CBF">
        <w:rPr>
          <w:rFonts w:cs="Arial"/>
        </w:rPr>
        <w:t xml:space="preserve"> and the $265.00 wager by Mr </w:t>
      </w:r>
      <w:r w:rsidR="000731CB">
        <w:rPr>
          <w:rFonts w:cs="Arial"/>
        </w:rPr>
        <w:t>S</w:t>
      </w:r>
      <w:r w:rsidRPr="005C1CBF">
        <w:rPr>
          <w:rFonts w:cs="Arial"/>
        </w:rPr>
        <w:t xml:space="preserve"> on the dog in question which ran in Race 1 on 27 May 2016.</w:t>
      </w:r>
    </w:p>
    <w:p w:rsidR="00F73AE2" w:rsidRPr="005C1CBF" w:rsidRDefault="00F73AE2" w:rsidP="00F73AE2">
      <w:pPr>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“Good Bye Joan” subsequently ran second paying $5.90 for </w:t>
      </w:r>
      <w:proofErr w:type="gramStart"/>
      <w:r w:rsidR="009237C7" w:rsidRPr="005C1CBF">
        <w:rPr>
          <w:rFonts w:cs="Arial"/>
        </w:rPr>
        <w:t>the</w:t>
      </w:r>
      <w:r w:rsidR="00747237">
        <w:rPr>
          <w:rFonts w:cs="Arial"/>
        </w:rPr>
        <w:t xml:space="preserve"> </w:t>
      </w:r>
      <w:r w:rsidR="009237C7" w:rsidRPr="005C1CBF">
        <w:rPr>
          <w:rFonts w:cs="Arial"/>
        </w:rPr>
        <w:t>”</w:t>
      </w:r>
      <w:proofErr w:type="gramEnd"/>
      <w:r w:rsidR="00F027BB">
        <w:rPr>
          <w:rFonts w:cs="Arial"/>
        </w:rPr>
        <w:t>P</w:t>
      </w:r>
      <w:r w:rsidRPr="005C1CBF">
        <w:rPr>
          <w:rFonts w:cs="Arial"/>
        </w:rPr>
        <w:t>lace</w:t>
      </w:r>
      <w:r w:rsidR="00F027BB">
        <w:rPr>
          <w:rFonts w:cs="Arial"/>
        </w:rPr>
        <w:t>”</w:t>
      </w:r>
      <w:r w:rsidRPr="005C1CBF">
        <w:rPr>
          <w:rFonts w:cs="Arial"/>
        </w:rPr>
        <w:t xml:space="preserve">, whilst only being offered at $2.10 (Tote) for a </w:t>
      </w:r>
      <w:r w:rsidR="00F027BB">
        <w:rPr>
          <w:rFonts w:cs="Arial"/>
        </w:rPr>
        <w:t>“W</w:t>
      </w:r>
      <w:r w:rsidRPr="005C1CBF">
        <w:rPr>
          <w:rFonts w:cs="Arial"/>
        </w:rPr>
        <w:t>in</w:t>
      </w:r>
      <w:r w:rsidR="00F027BB">
        <w:rPr>
          <w:rFonts w:cs="Arial"/>
        </w:rPr>
        <w:t>”</w:t>
      </w:r>
      <w:r w:rsidRPr="005C1CBF">
        <w:rPr>
          <w:rFonts w:cs="Arial"/>
        </w:rPr>
        <w:t xml:space="preserve"> and $1.70 (Fixed Odds) for a </w:t>
      </w:r>
      <w:r w:rsidR="00F027BB">
        <w:rPr>
          <w:rFonts w:cs="Arial"/>
        </w:rPr>
        <w:t>“W</w:t>
      </w:r>
      <w:r w:rsidRPr="005C1CBF">
        <w:rPr>
          <w:rFonts w:cs="Arial"/>
        </w:rPr>
        <w:t>in</w:t>
      </w:r>
      <w:r w:rsidR="00F027BB">
        <w:rPr>
          <w:rFonts w:cs="Arial"/>
        </w:rPr>
        <w:t>”</w:t>
      </w:r>
      <w:r w:rsidRPr="005C1CBF">
        <w:rPr>
          <w:rFonts w:cs="Arial"/>
        </w:rPr>
        <w:t>.</w:t>
      </w:r>
    </w:p>
    <w:p w:rsidR="00F73AE2" w:rsidRPr="005C1CBF" w:rsidRDefault="00F73AE2" w:rsidP="00F73AE2">
      <w:pPr>
        <w:ind w:left="360"/>
        <w:rPr>
          <w:rFonts w:cs="Arial"/>
        </w:rPr>
      </w:pPr>
    </w:p>
    <w:p w:rsidR="00F73AE2" w:rsidRDefault="00F73AE2" w:rsidP="00F73AE2">
      <w:pPr>
        <w:pStyle w:val="ListParagraph"/>
        <w:numPr>
          <w:ilvl w:val="0"/>
          <w:numId w:val="16"/>
        </w:numPr>
        <w:spacing w:line="276" w:lineRule="auto"/>
        <w:contextualSpacing/>
        <w:jc w:val="both"/>
        <w:rPr>
          <w:rFonts w:cs="Arial"/>
        </w:rPr>
      </w:pPr>
      <w:r w:rsidRPr="005C1CBF">
        <w:rPr>
          <w:rFonts w:cs="Arial"/>
        </w:rPr>
        <w:t xml:space="preserve">Upon investigation William Hill advised the Commission that the </w:t>
      </w:r>
      <w:proofErr w:type="spellStart"/>
      <w:r w:rsidR="00F027BB">
        <w:rPr>
          <w:rFonts w:cs="Arial"/>
        </w:rPr>
        <w:t>UBET</w:t>
      </w:r>
      <w:proofErr w:type="spellEnd"/>
      <w:r w:rsidR="00F027BB">
        <w:rPr>
          <w:rFonts w:cs="Arial"/>
        </w:rPr>
        <w:t xml:space="preserve"> </w:t>
      </w:r>
      <w:r w:rsidRPr="005C1CBF">
        <w:rPr>
          <w:rFonts w:cs="Arial"/>
        </w:rPr>
        <w:t xml:space="preserve">place pool on Race 1 held $947.00 as opposed to </w:t>
      </w:r>
      <w:r w:rsidR="00F027BB">
        <w:rPr>
          <w:rFonts w:cs="Arial"/>
        </w:rPr>
        <w:t>“P</w:t>
      </w:r>
      <w:r w:rsidRPr="005C1CBF">
        <w:rPr>
          <w:rFonts w:cs="Arial"/>
        </w:rPr>
        <w:t>lace</w:t>
      </w:r>
      <w:r w:rsidR="00F027BB">
        <w:rPr>
          <w:rFonts w:cs="Arial"/>
        </w:rPr>
        <w:t>”</w:t>
      </w:r>
      <w:r w:rsidRPr="005C1CBF">
        <w:rPr>
          <w:rFonts w:cs="Arial"/>
        </w:rPr>
        <w:t xml:space="preserve"> pools on other races that night as follows:</w:t>
      </w:r>
    </w:p>
    <w:p w:rsidR="00F73AE2" w:rsidRPr="00F73AE2" w:rsidRDefault="00F73AE2" w:rsidP="00F73AE2">
      <w:pPr>
        <w:spacing w:line="276" w:lineRule="auto"/>
        <w:contextualSpacing/>
        <w:jc w:val="both"/>
        <w:rPr>
          <w:rFonts w:cs="Arial"/>
          <w:sz w:val="12"/>
          <w:szCs w:val="12"/>
        </w:rPr>
      </w:pP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t>Race 2   $230</w:t>
      </w: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lastRenderedPageBreak/>
        <w:t>Race 3   $377</w:t>
      </w: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t>Race 4   $407</w:t>
      </w: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t>Race 5   $359</w:t>
      </w: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t>Race 6   $290</w:t>
      </w: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t>Race 7   $473</w:t>
      </w:r>
    </w:p>
    <w:p w:rsidR="00F73AE2" w:rsidRPr="005C1CBF" w:rsidRDefault="00F73AE2" w:rsidP="00F73AE2">
      <w:pPr>
        <w:pStyle w:val="ListParagraph"/>
        <w:numPr>
          <w:ilvl w:val="0"/>
          <w:numId w:val="23"/>
        </w:numPr>
        <w:spacing w:line="276" w:lineRule="auto"/>
        <w:ind w:left="1843" w:hanging="567"/>
        <w:contextualSpacing/>
        <w:jc w:val="both"/>
        <w:rPr>
          <w:rFonts w:cs="Arial"/>
        </w:rPr>
      </w:pPr>
      <w:r w:rsidRPr="005C1CBF">
        <w:rPr>
          <w:rFonts w:cs="Arial"/>
        </w:rPr>
        <w:t>Race 8   $387</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It is therefore quite obvious that the </w:t>
      </w:r>
      <w:r w:rsidR="00F027BB">
        <w:rPr>
          <w:rFonts w:cs="Arial"/>
        </w:rPr>
        <w:t>“P</w:t>
      </w:r>
      <w:r w:rsidRPr="005C1CBF">
        <w:rPr>
          <w:rFonts w:cs="Arial"/>
        </w:rPr>
        <w:t>lace</w:t>
      </w:r>
      <w:r w:rsidR="00F027BB">
        <w:rPr>
          <w:rFonts w:cs="Arial"/>
        </w:rPr>
        <w:t>”</w:t>
      </w:r>
      <w:r w:rsidRPr="005C1CBF">
        <w:rPr>
          <w:rFonts w:cs="Arial"/>
        </w:rPr>
        <w:t xml:space="preserve"> pool wagering on Race 1 was “way out of kilter” with other races that evening.</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William Hill themselves held Mr </w:t>
      </w:r>
      <w:r w:rsidR="000731CB">
        <w:rPr>
          <w:rFonts w:cs="Arial"/>
        </w:rPr>
        <w:t>R</w:t>
      </w:r>
      <w:r w:rsidRPr="005C1CBF">
        <w:rPr>
          <w:rFonts w:cs="Arial"/>
        </w:rPr>
        <w:t xml:space="preserve">’s wager of $825.00, Mr </w:t>
      </w:r>
      <w:r w:rsidR="000731CB">
        <w:rPr>
          <w:rFonts w:cs="Arial"/>
        </w:rPr>
        <w:t>S</w:t>
      </w:r>
      <w:r w:rsidR="00F027BB">
        <w:rPr>
          <w:rFonts w:cs="Arial"/>
        </w:rPr>
        <w:t>’</w:t>
      </w:r>
      <w:r w:rsidRPr="005C1CBF">
        <w:rPr>
          <w:rFonts w:cs="Arial"/>
        </w:rPr>
        <w:t xml:space="preserve"> wager of $265.00 and wagers for two other parties (who have to date not lodged disputes).  These other “Place” wagers totalling $850.00.  For reasons of privacy the Commission will not be publishing the names of the other punters.</w:t>
      </w:r>
    </w:p>
    <w:p w:rsidR="00F73AE2" w:rsidRPr="009237C7" w:rsidRDefault="00F73AE2" w:rsidP="009237C7">
      <w:pPr>
        <w:ind w:left="1843" w:hanging="1417"/>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As a result of the unusually inflated </w:t>
      </w:r>
      <w:r w:rsidR="00F027BB">
        <w:rPr>
          <w:rFonts w:cs="Arial"/>
        </w:rPr>
        <w:t>“</w:t>
      </w:r>
      <w:r w:rsidRPr="005C1CBF">
        <w:rPr>
          <w:rFonts w:cs="Arial"/>
        </w:rPr>
        <w:t>Place</w:t>
      </w:r>
      <w:r w:rsidR="00F027BB">
        <w:rPr>
          <w:rFonts w:cs="Arial"/>
        </w:rPr>
        <w:t>”</w:t>
      </w:r>
      <w:r w:rsidRPr="005C1CBF">
        <w:rPr>
          <w:rFonts w:cs="Arial"/>
        </w:rPr>
        <w:t xml:space="preserve"> odds, William Hill then faced a substantial payout to the punters involved.</w:t>
      </w:r>
    </w:p>
    <w:p w:rsidR="00F73AE2" w:rsidRPr="005C1CBF" w:rsidRDefault="00F73AE2" w:rsidP="00F73AE2">
      <w:pPr>
        <w:ind w:left="357"/>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William Hill then moved to void the wagers invoking Rule 19 of their Terms and Conditions.  </w:t>
      </w:r>
      <w:r w:rsidRPr="005C1CBF">
        <w:rPr>
          <w:rFonts w:cs="Arial"/>
          <w:b/>
        </w:rPr>
        <w:t>Rule 19 reads as follows:</w:t>
      </w:r>
    </w:p>
    <w:p w:rsidR="00F73AE2" w:rsidRPr="005C1CBF" w:rsidRDefault="00F73AE2" w:rsidP="00F73AE2">
      <w:pPr>
        <w:ind w:left="714"/>
        <w:jc w:val="both"/>
        <w:rPr>
          <w:rFonts w:cs="Arial"/>
        </w:rPr>
      </w:pPr>
    </w:p>
    <w:p w:rsidR="00F73AE2" w:rsidRPr="009237C7" w:rsidRDefault="00F73AE2" w:rsidP="00F73AE2">
      <w:pPr>
        <w:spacing w:line="360" w:lineRule="auto"/>
        <w:ind w:left="696"/>
        <w:jc w:val="both"/>
        <w:rPr>
          <w:rFonts w:cs="Arial"/>
          <w:i/>
        </w:rPr>
      </w:pPr>
      <w:r w:rsidRPr="009237C7">
        <w:rPr>
          <w:rFonts w:cs="Arial"/>
          <w:i/>
        </w:rPr>
        <w:t>William Hill reserves the right to void any or all wagers where:</w:t>
      </w:r>
    </w:p>
    <w:p w:rsidR="00F73AE2" w:rsidRPr="009237C7" w:rsidRDefault="00F73AE2" w:rsidP="00F73AE2">
      <w:pPr>
        <w:pStyle w:val="ListParagraph"/>
        <w:numPr>
          <w:ilvl w:val="0"/>
          <w:numId w:val="24"/>
        </w:numPr>
        <w:spacing w:line="276" w:lineRule="auto"/>
        <w:contextualSpacing/>
        <w:jc w:val="both"/>
        <w:rPr>
          <w:rFonts w:cs="Arial"/>
          <w:i/>
        </w:rPr>
      </w:pPr>
      <w:r w:rsidRPr="009237C7">
        <w:rPr>
          <w:rFonts w:cs="Arial"/>
          <w:i/>
        </w:rPr>
        <w:t>William Hill reasonably suspects a wager has  been made by any individual or group of people (Including but not limited to relatives or organisations, bookmakers and their employees) acting together either in an attempt to defraud William Hill, or</w:t>
      </w:r>
    </w:p>
    <w:p w:rsidR="00F73AE2" w:rsidRPr="009237C7" w:rsidRDefault="00F73AE2" w:rsidP="00F73AE2">
      <w:pPr>
        <w:pStyle w:val="ListParagraph"/>
        <w:numPr>
          <w:ilvl w:val="0"/>
          <w:numId w:val="24"/>
        </w:numPr>
        <w:spacing w:line="276" w:lineRule="auto"/>
        <w:contextualSpacing/>
        <w:jc w:val="both"/>
        <w:rPr>
          <w:rFonts w:cs="Arial"/>
          <w:i/>
        </w:rPr>
      </w:pPr>
      <w:r w:rsidRPr="009237C7">
        <w:rPr>
          <w:rFonts w:cs="Arial"/>
          <w:i/>
        </w:rPr>
        <w:t>There is evidence that leads to a reasonable suspicion that tote based dividends or official starting prices have been manipulated by known or unknown persons.</w:t>
      </w:r>
    </w:p>
    <w:p w:rsidR="00F73AE2" w:rsidRPr="005C1CBF" w:rsidRDefault="00F73AE2" w:rsidP="00F73AE2">
      <w:pPr>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William Hill are alleging that the tote “Place” pool on Race 1 was manipulated, by presumably, large “Place” bets being made on other runners in the race thereby inflating the “Place” odds of runner number 4 “Good Bye Joan” and accordingly they acted to void the wagers based on reasonable suspicion that the totalisator odds had been manipulated by Mr </w:t>
      </w:r>
      <w:r w:rsidR="000731CB">
        <w:rPr>
          <w:rFonts w:cs="Arial"/>
        </w:rPr>
        <w:t>R</w:t>
      </w:r>
      <w:r w:rsidRPr="005C1CBF">
        <w:rPr>
          <w:rFonts w:cs="Arial"/>
        </w:rPr>
        <w:t xml:space="preserve"> and Mr </w:t>
      </w:r>
      <w:r w:rsidR="000731CB">
        <w:rPr>
          <w:rFonts w:cs="Arial"/>
        </w:rPr>
        <w:t>S</w:t>
      </w:r>
      <w:r w:rsidRPr="005C1CBF">
        <w:rPr>
          <w:rFonts w:cs="Arial"/>
        </w:rPr>
        <w:t>, in league with others.</w:t>
      </w:r>
    </w:p>
    <w:p w:rsidR="00F73AE2" w:rsidRPr="005C1CBF" w:rsidRDefault="00F73AE2" w:rsidP="00F73AE2">
      <w:pPr>
        <w:ind w:left="34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The Commission as part of its investigation has </w:t>
      </w:r>
      <w:r w:rsidR="009237C7">
        <w:rPr>
          <w:rFonts w:cs="Arial"/>
        </w:rPr>
        <w:t xml:space="preserve">considered requesting </w:t>
      </w:r>
      <w:proofErr w:type="spellStart"/>
      <w:r w:rsidR="009237C7">
        <w:rPr>
          <w:rFonts w:cs="Arial"/>
        </w:rPr>
        <w:t>UBET</w:t>
      </w:r>
      <w:proofErr w:type="spellEnd"/>
      <w:r w:rsidRPr="005C1CBF">
        <w:rPr>
          <w:rFonts w:cs="Arial"/>
        </w:rPr>
        <w:t xml:space="preserve"> for a copy of its records of betting patterns on the race, however as </w:t>
      </w:r>
      <w:r w:rsidR="00F027BB">
        <w:rPr>
          <w:rFonts w:cs="Arial"/>
        </w:rPr>
        <w:t xml:space="preserve">the </w:t>
      </w:r>
      <w:proofErr w:type="spellStart"/>
      <w:r w:rsidRPr="005C1CBF">
        <w:rPr>
          <w:rFonts w:cs="Arial"/>
        </w:rPr>
        <w:t>UBET</w:t>
      </w:r>
      <w:proofErr w:type="spellEnd"/>
      <w:r w:rsidRPr="005C1CBF">
        <w:rPr>
          <w:rFonts w:cs="Arial"/>
        </w:rPr>
        <w:t xml:space="preserve"> </w:t>
      </w:r>
      <w:r w:rsidR="00F027BB">
        <w:rPr>
          <w:rFonts w:cs="Arial"/>
        </w:rPr>
        <w:t xml:space="preserve">the totalisator </w:t>
      </w:r>
      <w:r w:rsidRPr="005C1CBF">
        <w:rPr>
          <w:rFonts w:cs="Arial"/>
        </w:rPr>
        <w:t>is not regulated by the Commission this would present issues around privacy and security of wagering provisions.</w:t>
      </w:r>
    </w:p>
    <w:p w:rsidR="00F73AE2" w:rsidRPr="005C1CBF" w:rsidRDefault="00F73AE2" w:rsidP="009237C7">
      <w:pPr>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In any event even if this information was to hand, by virtue of the fact that punters do not have to identify themselves when placing wagers on the totalisator, there is no way</w:t>
      </w:r>
      <w:r w:rsidR="00F027BB">
        <w:rPr>
          <w:rFonts w:cs="Arial"/>
        </w:rPr>
        <w:t xml:space="preserve"> to prove</w:t>
      </w:r>
      <w:r w:rsidRPr="005C1CBF">
        <w:rPr>
          <w:rFonts w:cs="Arial"/>
        </w:rPr>
        <w:t xml:space="preserve"> of Mr </w:t>
      </w:r>
      <w:r w:rsidR="000731CB">
        <w:rPr>
          <w:rFonts w:cs="Arial"/>
        </w:rPr>
        <w:t>R</w:t>
      </w:r>
      <w:r w:rsidRPr="005C1CBF">
        <w:rPr>
          <w:rFonts w:cs="Arial"/>
        </w:rPr>
        <w:t xml:space="preserve">’s or Mr </w:t>
      </w:r>
      <w:r w:rsidR="000731CB">
        <w:rPr>
          <w:rFonts w:cs="Arial"/>
        </w:rPr>
        <w:t>S</w:t>
      </w:r>
      <w:r w:rsidRPr="005C1CBF">
        <w:rPr>
          <w:rFonts w:cs="Arial"/>
        </w:rPr>
        <w:t xml:space="preserve"> involvement in the alleged tote manipulation would be forth coming.</w:t>
      </w:r>
    </w:p>
    <w:p w:rsidR="00F73AE2" w:rsidRPr="005C1CBF" w:rsidRDefault="00F73AE2" w:rsidP="00F73AE2">
      <w:pPr>
        <w:jc w:val="both"/>
        <w:rPr>
          <w:rFonts w:cs="Arial"/>
        </w:rPr>
      </w:pPr>
    </w:p>
    <w:p w:rsidR="00F73AE2" w:rsidRPr="005C1CBF" w:rsidRDefault="00F73AE2" w:rsidP="00D25346">
      <w:pPr>
        <w:pStyle w:val="Heading2"/>
      </w:pPr>
      <w:r w:rsidRPr="005C1CBF">
        <w:lastRenderedPageBreak/>
        <w:t>C</w:t>
      </w:r>
      <w:r>
        <w:t>onsideration of the Issues</w:t>
      </w: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In making this determination the Commission has taken into account detailed submissions from William Hill, including perusing Mr </w:t>
      </w:r>
      <w:r w:rsidR="000731CB">
        <w:rPr>
          <w:rFonts w:cs="Arial"/>
        </w:rPr>
        <w:t>R</w:t>
      </w:r>
      <w:r w:rsidRPr="005C1CBF">
        <w:rPr>
          <w:rFonts w:cs="Arial"/>
        </w:rPr>
        <w:t xml:space="preserve">’s and Mr </w:t>
      </w:r>
      <w:r w:rsidR="000731CB">
        <w:rPr>
          <w:rFonts w:cs="Arial"/>
        </w:rPr>
        <w:t>S</w:t>
      </w:r>
      <w:r w:rsidR="00F027BB">
        <w:rPr>
          <w:rFonts w:cs="Arial"/>
        </w:rPr>
        <w:t>’</w:t>
      </w:r>
      <w:r w:rsidRPr="005C1CBF">
        <w:rPr>
          <w:rFonts w:cs="Arial"/>
        </w:rPr>
        <w:t xml:space="preserve"> betting records, which admittedly have indicated the wagers placed on the night were well above their normal betting patterns.</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However, it remains the right of punters to make whatever wagers they please and it is then up to the bookmaker to either accept or reject them.  In this instance the bookmaker accepted the wagers, only to then subsequently void them under Rule 19 of their Terms and Conditions.</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The Commission also notes that by utilising </w:t>
      </w:r>
      <w:proofErr w:type="spellStart"/>
      <w:r w:rsidRPr="005C1CBF">
        <w:rPr>
          <w:rFonts w:cs="Arial"/>
        </w:rPr>
        <w:t>UBET</w:t>
      </w:r>
      <w:proofErr w:type="spellEnd"/>
      <w:r w:rsidRPr="005C1CBF">
        <w:rPr>
          <w:rFonts w:cs="Arial"/>
        </w:rPr>
        <w:t xml:space="preserve"> totalisator odds, William Hill leaves itself open to cases of alleged totalisator manipulation, particularly given the normally small size of the various pools on events held at meetings such as Winnellie Park greyhounds.</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The Commission notes</w:t>
      </w:r>
      <w:r w:rsidR="00F027BB">
        <w:rPr>
          <w:rFonts w:cs="Arial"/>
        </w:rPr>
        <w:t>,</w:t>
      </w:r>
      <w:r w:rsidRPr="005C1CBF">
        <w:rPr>
          <w:rFonts w:cs="Arial"/>
        </w:rPr>
        <w:t xml:space="preserve"> after considering legal opinion</w:t>
      </w:r>
      <w:r w:rsidR="00F027BB">
        <w:rPr>
          <w:rFonts w:cs="Arial"/>
        </w:rPr>
        <w:t>,</w:t>
      </w:r>
      <w:r w:rsidRPr="005C1CBF">
        <w:rPr>
          <w:rFonts w:cs="Arial"/>
        </w:rPr>
        <w:t xml:space="preserve"> that the term “reasonably suspects” as stated in Rule 19, still relies on the provision of evidence that a particular individual or group </w:t>
      </w:r>
      <w:r w:rsidR="00F027BB">
        <w:rPr>
          <w:rFonts w:cs="Arial"/>
        </w:rPr>
        <w:t xml:space="preserve">has </w:t>
      </w:r>
      <w:r w:rsidRPr="005C1CBF">
        <w:rPr>
          <w:rFonts w:cs="Arial"/>
        </w:rPr>
        <w:t>acted in a way so as to defraud William Hill</w:t>
      </w:r>
      <w:r w:rsidR="00F027BB">
        <w:rPr>
          <w:rFonts w:cs="Arial"/>
        </w:rPr>
        <w:t xml:space="preserve">.  William Hill </w:t>
      </w:r>
      <w:proofErr w:type="gramStart"/>
      <w:r w:rsidR="00F027BB">
        <w:rPr>
          <w:rFonts w:cs="Arial"/>
        </w:rPr>
        <w:t>have</w:t>
      </w:r>
      <w:proofErr w:type="gramEnd"/>
      <w:r w:rsidR="00F027BB">
        <w:rPr>
          <w:rFonts w:cs="Arial"/>
        </w:rPr>
        <w:t xml:space="preserve"> not provided sufficient evidence to demonstrate fraudulent activity.</w:t>
      </w:r>
    </w:p>
    <w:p w:rsidR="00F73AE2" w:rsidRPr="005C1CBF" w:rsidRDefault="00F73AE2" w:rsidP="00D25346">
      <w:pPr>
        <w:pStyle w:val="Heading2"/>
      </w:pPr>
      <w:r w:rsidRPr="005C1CBF">
        <w:t>D</w:t>
      </w:r>
      <w:r>
        <w:t>ecision</w:t>
      </w: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Whilst the Commission notes that the betting patterns on Race 1 Winnellie Park would seem to be unusual, there is no documentary proof of a </w:t>
      </w:r>
      <w:r w:rsidR="009237C7" w:rsidRPr="005C1CBF">
        <w:rPr>
          <w:rFonts w:cs="Arial"/>
        </w:rPr>
        <w:t>link</w:t>
      </w:r>
      <w:r w:rsidR="009237C7">
        <w:rPr>
          <w:rFonts w:cs="Arial"/>
        </w:rPr>
        <w:t xml:space="preserve"> of</w:t>
      </w:r>
      <w:r w:rsidRPr="005C1CBF">
        <w:rPr>
          <w:rFonts w:cs="Arial"/>
        </w:rPr>
        <w:t xml:space="preserve"> these unusual patterns to either Mr </w:t>
      </w:r>
      <w:r w:rsidR="000731CB">
        <w:rPr>
          <w:rFonts w:cs="Arial"/>
        </w:rPr>
        <w:t>R</w:t>
      </w:r>
      <w:r w:rsidRPr="005C1CBF">
        <w:rPr>
          <w:rFonts w:cs="Arial"/>
        </w:rPr>
        <w:t xml:space="preserve"> or Mr </w:t>
      </w:r>
      <w:r w:rsidR="000731CB">
        <w:rPr>
          <w:rFonts w:cs="Arial"/>
        </w:rPr>
        <w:t>S</w:t>
      </w:r>
      <w:r w:rsidRPr="005C1CBF">
        <w:rPr>
          <w:rFonts w:cs="Arial"/>
        </w:rPr>
        <w:t>, or indeed any other particular individual or group. This is by virtue of the fact that wagers made on the totalisator are not required to identify the participating punter.</w:t>
      </w:r>
    </w:p>
    <w:p w:rsidR="00F73AE2" w:rsidRPr="005C1CBF" w:rsidRDefault="00F73AE2" w:rsidP="00F73AE2">
      <w:pPr>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Accordingly the Commission dismisses William Hill’s claim that it was entitled to void the wagers under Rule 19 of its Terms and Conditions, as the required documentary proof has not been provided.</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 xml:space="preserve">The Commission further rules that Mr </w:t>
      </w:r>
      <w:r w:rsidR="000731CB">
        <w:rPr>
          <w:rFonts w:cs="Arial"/>
        </w:rPr>
        <w:t>R</w:t>
      </w:r>
      <w:r w:rsidRPr="005C1CBF">
        <w:rPr>
          <w:rFonts w:cs="Arial"/>
        </w:rPr>
        <w:t xml:space="preserve">’s and Mr </w:t>
      </w:r>
      <w:r w:rsidR="000731CB">
        <w:rPr>
          <w:rFonts w:cs="Arial"/>
        </w:rPr>
        <w:t>S</w:t>
      </w:r>
      <w:r w:rsidR="00F027BB">
        <w:rPr>
          <w:rFonts w:cs="Arial"/>
        </w:rPr>
        <w:t>’</w:t>
      </w:r>
      <w:r w:rsidRPr="005C1CBF">
        <w:rPr>
          <w:rFonts w:cs="Arial"/>
        </w:rPr>
        <w:t xml:space="preserve"> wagers are lawful and William Hill is to honour these wagers immediately, at the declared totalisator odds.</w:t>
      </w:r>
    </w:p>
    <w:p w:rsidR="00F73AE2" w:rsidRPr="005C1CBF" w:rsidRDefault="00F73AE2" w:rsidP="00F73AE2">
      <w:pPr>
        <w:ind w:left="360"/>
        <w:jc w:val="both"/>
        <w:rPr>
          <w:rFonts w:cs="Arial"/>
        </w:rPr>
      </w:pPr>
    </w:p>
    <w:p w:rsidR="00F73AE2" w:rsidRPr="005C1CBF" w:rsidRDefault="00F73AE2" w:rsidP="00F73AE2">
      <w:pPr>
        <w:pStyle w:val="ListParagraph"/>
        <w:numPr>
          <w:ilvl w:val="0"/>
          <w:numId w:val="16"/>
        </w:numPr>
        <w:spacing w:line="276" w:lineRule="auto"/>
        <w:contextualSpacing/>
        <w:jc w:val="both"/>
        <w:rPr>
          <w:rFonts w:cs="Arial"/>
        </w:rPr>
      </w:pPr>
      <w:r w:rsidRPr="005C1CBF">
        <w:rPr>
          <w:rFonts w:cs="Arial"/>
        </w:rPr>
        <w:t>The Commission makes no further comment regarding the commercial arrangement William Hill has in place by offering totalisator odds to its customers, except to say that if not reviewed or modified in some way it may well give rise to similar disputes in the future.</w:t>
      </w:r>
    </w:p>
    <w:p w:rsidR="00F73AE2" w:rsidRPr="005C1CBF" w:rsidRDefault="00F73AE2" w:rsidP="00F302C9">
      <w:pPr>
        <w:spacing w:before="1200"/>
        <w:rPr>
          <w:rFonts w:cs="Arial"/>
          <w:b/>
        </w:rPr>
      </w:pPr>
      <w:bookmarkStart w:id="0" w:name="_GoBack"/>
      <w:bookmarkEnd w:id="0"/>
      <w:r w:rsidRPr="005C1CBF">
        <w:rPr>
          <w:rFonts w:cs="Arial"/>
          <w:b/>
        </w:rPr>
        <w:t>J</w:t>
      </w:r>
      <w:r>
        <w:rPr>
          <w:rFonts w:cs="Arial"/>
          <w:b/>
        </w:rPr>
        <w:t xml:space="preserve">ohn </w:t>
      </w:r>
      <w:proofErr w:type="spellStart"/>
      <w:r>
        <w:rPr>
          <w:rFonts w:cs="Arial"/>
          <w:b/>
        </w:rPr>
        <w:t>Boneham</w:t>
      </w:r>
      <w:proofErr w:type="spellEnd"/>
    </w:p>
    <w:p w:rsidR="00F73AE2" w:rsidRPr="005C1CBF" w:rsidRDefault="00F73AE2" w:rsidP="00F73AE2">
      <w:pPr>
        <w:rPr>
          <w:rFonts w:cs="Arial"/>
        </w:rPr>
      </w:pPr>
      <w:r w:rsidRPr="005C1CBF">
        <w:rPr>
          <w:rFonts w:cs="Arial"/>
        </w:rPr>
        <w:t>P</w:t>
      </w:r>
      <w:r>
        <w:rPr>
          <w:rFonts w:cs="Arial"/>
        </w:rPr>
        <w:t>residing Member</w:t>
      </w:r>
    </w:p>
    <w:p w:rsidR="00F73AE2" w:rsidRPr="005C1CBF" w:rsidRDefault="00F73AE2" w:rsidP="00F73AE2">
      <w:pPr>
        <w:rPr>
          <w:rFonts w:cs="Arial"/>
        </w:rPr>
      </w:pPr>
      <w:r w:rsidRPr="005C1CBF">
        <w:rPr>
          <w:rFonts w:cs="Arial"/>
        </w:rPr>
        <w:t>NT R</w:t>
      </w:r>
      <w:r>
        <w:rPr>
          <w:rFonts w:cs="Arial"/>
        </w:rPr>
        <w:t>acing Commission</w:t>
      </w:r>
    </w:p>
    <w:p w:rsidR="00F73AE2" w:rsidRPr="005C1CBF" w:rsidRDefault="00F73AE2" w:rsidP="00F73AE2">
      <w:pPr>
        <w:rPr>
          <w:rFonts w:cs="Arial"/>
        </w:rPr>
      </w:pPr>
    </w:p>
    <w:p w:rsidR="008707D3" w:rsidRDefault="00F027BB" w:rsidP="009237C7">
      <w:r>
        <w:rPr>
          <w:rFonts w:cs="Arial"/>
        </w:rPr>
        <w:t>2</w:t>
      </w:r>
      <w:r w:rsidR="00EE2820">
        <w:rPr>
          <w:rFonts w:cs="Arial"/>
        </w:rPr>
        <w:t>3</w:t>
      </w:r>
      <w:r w:rsidR="00F73AE2" w:rsidRPr="005C1CBF">
        <w:rPr>
          <w:rFonts w:cs="Arial"/>
        </w:rPr>
        <w:t xml:space="preserve"> August 2016</w:t>
      </w:r>
    </w:p>
    <w:sectPr w:rsidR="008707D3" w:rsidSect="00614B00">
      <w:headerReference w:type="even" r:id="rId9"/>
      <w:headerReference w:type="default" r:id="rId10"/>
      <w:headerReference w:type="first" r:id="rId11"/>
      <w:pgSz w:w="11906" w:h="16838" w:code="9"/>
      <w:pgMar w:top="1440"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71" w:rsidRDefault="00477F71">
      <w:r>
        <w:separator/>
      </w:r>
    </w:p>
  </w:endnote>
  <w:endnote w:type="continuationSeparator" w:id="0">
    <w:p w:rsidR="00477F71" w:rsidRDefault="0047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71" w:rsidRDefault="00477F71">
      <w:r>
        <w:separator/>
      </w:r>
    </w:p>
  </w:footnote>
  <w:footnote w:type="continuationSeparator" w:id="0">
    <w:p w:rsidR="00477F71" w:rsidRDefault="0047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cs="Arial"/>
          </w:rPr>
          <w:fldChar w:fldCharType="begin"/>
        </w:r>
        <w:r w:rsidRPr="00614B00">
          <w:rPr>
            <w:rFonts w:cs="Arial"/>
          </w:rPr>
          <w:instrText xml:space="preserve"> PAGE   \* MERGEFORMAT </w:instrText>
        </w:r>
        <w:r w:rsidRPr="00614B00">
          <w:rPr>
            <w:rFonts w:cs="Arial"/>
          </w:rPr>
          <w:fldChar w:fldCharType="separate"/>
        </w:r>
        <w:r w:rsidR="00F302C9">
          <w:rPr>
            <w:rFonts w:cs="Arial"/>
            <w:noProof/>
          </w:rPr>
          <w:t>3</w:t>
        </w:r>
        <w:r w:rsidRPr="00614B00">
          <w:rPr>
            <w:rFonts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b/>
        <w:sz w:val="32"/>
      </w:rPr>
      <w:t xml:space="preserve">NORTHERN TERRITORY </w:t>
    </w:r>
    <w:r w:rsidR="003F0044">
      <w:rPr>
        <w:b/>
        <w:sz w:val="32"/>
      </w:rPr>
      <w:t>RACING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0">
    <w:nsid w:val="3BC83A9D"/>
    <w:multiLevelType w:val="hybridMultilevel"/>
    <w:tmpl w:val="9D703CC6"/>
    <w:lvl w:ilvl="0" w:tplc="0C090011">
      <w:start w:val="1"/>
      <w:numFmt w:val="decimal"/>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527384A"/>
    <w:multiLevelType w:val="hybridMultilevel"/>
    <w:tmpl w:val="3AB0FC30"/>
    <w:lvl w:ilvl="0" w:tplc="336C0C60">
      <w:start w:val="1"/>
      <w:numFmt w:val="lowerLetter"/>
      <w:lvlText w:val="%1)"/>
      <w:lvlJc w:val="left"/>
      <w:pPr>
        <w:ind w:left="1395" w:hanging="360"/>
      </w:pPr>
      <w:rPr>
        <w:rFonts w:ascii="Arial" w:hAnsi="Arial" w:hint="default"/>
        <w:sz w:val="22"/>
      </w:r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13">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2">
    <w:nsid w:val="7A4B6C38"/>
    <w:multiLevelType w:val="hybridMultilevel"/>
    <w:tmpl w:val="BE0A2452"/>
    <w:lvl w:ilvl="0" w:tplc="0C090001">
      <w:start w:val="1"/>
      <w:numFmt w:val="bullet"/>
      <w:lvlText w:val=""/>
      <w:lvlJc w:val="left"/>
      <w:pPr>
        <w:ind w:left="3405" w:hanging="360"/>
      </w:pPr>
      <w:rPr>
        <w:rFonts w:ascii="Symbol" w:hAnsi="Symbol" w:hint="default"/>
      </w:rPr>
    </w:lvl>
    <w:lvl w:ilvl="1" w:tplc="0C090003" w:tentative="1">
      <w:start w:val="1"/>
      <w:numFmt w:val="bullet"/>
      <w:lvlText w:val="o"/>
      <w:lvlJc w:val="left"/>
      <w:pPr>
        <w:ind w:left="4125" w:hanging="360"/>
      </w:pPr>
      <w:rPr>
        <w:rFonts w:ascii="Courier New" w:hAnsi="Courier New" w:cs="Courier New" w:hint="default"/>
      </w:rPr>
    </w:lvl>
    <w:lvl w:ilvl="2" w:tplc="0C090005" w:tentative="1">
      <w:start w:val="1"/>
      <w:numFmt w:val="bullet"/>
      <w:lvlText w:val=""/>
      <w:lvlJc w:val="left"/>
      <w:pPr>
        <w:ind w:left="4845" w:hanging="360"/>
      </w:pPr>
      <w:rPr>
        <w:rFonts w:ascii="Wingdings" w:hAnsi="Wingdings" w:hint="default"/>
      </w:rPr>
    </w:lvl>
    <w:lvl w:ilvl="3" w:tplc="0C090001" w:tentative="1">
      <w:start w:val="1"/>
      <w:numFmt w:val="bullet"/>
      <w:lvlText w:val=""/>
      <w:lvlJc w:val="left"/>
      <w:pPr>
        <w:ind w:left="5565" w:hanging="360"/>
      </w:pPr>
      <w:rPr>
        <w:rFonts w:ascii="Symbol" w:hAnsi="Symbol" w:hint="default"/>
      </w:rPr>
    </w:lvl>
    <w:lvl w:ilvl="4" w:tplc="0C090003" w:tentative="1">
      <w:start w:val="1"/>
      <w:numFmt w:val="bullet"/>
      <w:lvlText w:val="o"/>
      <w:lvlJc w:val="left"/>
      <w:pPr>
        <w:ind w:left="6285" w:hanging="360"/>
      </w:pPr>
      <w:rPr>
        <w:rFonts w:ascii="Courier New" w:hAnsi="Courier New" w:cs="Courier New" w:hint="default"/>
      </w:rPr>
    </w:lvl>
    <w:lvl w:ilvl="5" w:tplc="0C090005" w:tentative="1">
      <w:start w:val="1"/>
      <w:numFmt w:val="bullet"/>
      <w:lvlText w:val=""/>
      <w:lvlJc w:val="left"/>
      <w:pPr>
        <w:ind w:left="7005" w:hanging="360"/>
      </w:pPr>
      <w:rPr>
        <w:rFonts w:ascii="Wingdings" w:hAnsi="Wingdings" w:hint="default"/>
      </w:rPr>
    </w:lvl>
    <w:lvl w:ilvl="6" w:tplc="0C090001" w:tentative="1">
      <w:start w:val="1"/>
      <w:numFmt w:val="bullet"/>
      <w:lvlText w:val=""/>
      <w:lvlJc w:val="left"/>
      <w:pPr>
        <w:ind w:left="7725" w:hanging="360"/>
      </w:pPr>
      <w:rPr>
        <w:rFonts w:ascii="Symbol" w:hAnsi="Symbol" w:hint="default"/>
      </w:rPr>
    </w:lvl>
    <w:lvl w:ilvl="7" w:tplc="0C090003" w:tentative="1">
      <w:start w:val="1"/>
      <w:numFmt w:val="bullet"/>
      <w:lvlText w:val="o"/>
      <w:lvlJc w:val="left"/>
      <w:pPr>
        <w:ind w:left="8445" w:hanging="360"/>
      </w:pPr>
      <w:rPr>
        <w:rFonts w:ascii="Courier New" w:hAnsi="Courier New" w:cs="Courier New" w:hint="default"/>
      </w:rPr>
    </w:lvl>
    <w:lvl w:ilvl="8" w:tplc="0C090005" w:tentative="1">
      <w:start w:val="1"/>
      <w:numFmt w:val="bullet"/>
      <w:lvlText w:val=""/>
      <w:lvlJc w:val="left"/>
      <w:pPr>
        <w:ind w:left="9165" w:hanging="360"/>
      </w:pPr>
      <w:rPr>
        <w:rFonts w:ascii="Wingdings" w:hAnsi="Wingdings" w:hint="default"/>
      </w:rPr>
    </w:lvl>
  </w:abstractNum>
  <w:abstractNum w:abstractNumId="23">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18"/>
  </w:num>
  <w:num w:numId="6">
    <w:abstractNumId w:val="20"/>
  </w:num>
  <w:num w:numId="7">
    <w:abstractNumId w:val="15"/>
  </w:num>
  <w:num w:numId="8">
    <w:abstractNumId w:val="0"/>
  </w:num>
  <w:num w:numId="9">
    <w:abstractNumId w:val="21"/>
  </w:num>
  <w:num w:numId="10">
    <w:abstractNumId w:val="14"/>
  </w:num>
  <w:num w:numId="11">
    <w:abstractNumId w:val="2"/>
  </w:num>
  <w:num w:numId="12">
    <w:abstractNumId w:val="3"/>
  </w:num>
  <w:num w:numId="13">
    <w:abstractNumId w:val="13"/>
  </w:num>
  <w:num w:numId="14">
    <w:abstractNumId w:val="16"/>
  </w:num>
  <w:num w:numId="15">
    <w:abstractNumId w:val="1"/>
  </w:num>
  <w:num w:numId="16">
    <w:abstractNumId w:val="10"/>
  </w:num>
  <w:num w:numId="17">
    <w:abstractNumId w:val="4"/>
  </w:num>
  <w:num w:numId="18">
    <w:abstractNumId w:val="5"/>
  </w:num>
  <w:num w:numId="19">
    <w:abstractNumId w:val="17"/>
  </w:num>
  <w:num w:numId="20">
    <w:abstractNumId w:val="19"/>
  </w:num>
  <w:num w:numId="21">
    <w:abstractNumId w:val="8"/>
  </w:num>
  <w:num w:numId="22">
    <w:abstractNumId w:val="2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5E"/>
    <w:rsid w:val="00000D37"/>
    <w:rsid w:val="000020F8"/>
    <w:rsid w:val="000048F3"/>
    <w:rsid w:val="00035446"/>
    <w:rsid w:val="00060698"/>
    <w:rsid w:val="0006656F"/>
    <w:rsid w:val="000731CB"/>
    <w:rsid w:val="000808B9"/>
    <w:rsid w:val="00082CE5"/>
    <w:rsid w:val="00091732"/>
    <w:rsid w:val="000943AB"/>
    <w:rsid w:val="000A71E5"/>
    <w:rsid w:val="000E1540"/>
    <w:rsid w:val="00102517"/>
    <w:rsid w:val="00126EF4"/>
    <w:rsid w:val="0012714B"/>
    <w:rsid w:val="001304C4"/>
    <w:rsid w:val="00140933"/>
    <w:rsid w:val="001444A8"/>
    <w:rsid w:val="00180CE5"/>
    <w:rsid w:val="00184F2E"/>
    <w:rsid w:val="00192903"/>
    <w:rsid w:val="001C03C0"/>
    <w:rsid w:val="001D6307"/>
    <w:rsid w:val="001D6966"/>
    <w:rsid w:val="001F335D"/>
    <w:rsid w:val="00204481"/>
    <w:rsid w:val="00206E6E"/>
    <w:rsid w:val="002339C1"/>
    <w:rsid w:val="00262155"/>
    <w:rsid w:val="00277AE9"/>
    <w:rsid w:val="002A25AA"/>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77F71"/>
    <w:rsid w:val="00480975"/>
    <w:rsid w:val="004B422E"/>
    <w:rsid w:val="004D373A"/>
    <w:rsid w:val="004F33F5"/>
    <w:rsid w:val="00511172"/>
    <w:rsid w:val="00517D0F"/>
    <w:rsid w:val="005223B7"/>
    <w:rsid w:val="00532A8E"/>
    <w:rsid w:val="00550AC8"/>
    <w:rsid w:val="00570759"/>
    <w:rsid w:val="005A5E6A"/>
    <w:rsid w:val="005C38DC"/>
    <w:rsid w:val="005C403D"/>
    <w:rsid w:val="005D116B"/>
    <w:rsid w:val="005F1D75"/>
    <w:rsid w:val="005F725E"/>
    <w:rsid w:val="00612471"/>
    <w:rsid w:val="00614B00"/>
    <w:rsid w:val="00615992"/>
    <w:rsid w:val="00624E09"/>
    <w:rsid w:val="0063050D"/>
    <w:rsid w:val="00634062"/>
    <w:rsid w:val="00682899"/>
    <w:rsid w:val="00682C3C"/>
    <w:rsid w:val="006A7AED"/>
    <w:rsid w:val="006D06D6"/>
    <w:rsid w:val="007010AC"/>
    <w:rsid w:val="007046C6"/>
    <w:rsid w:val="00712274"/>
    <w:rsid w:val="00712415"/>
    <w:rsid w:val="00720AD8"/>
    <w:rsid w:val="00735AB3"/>
    <w:rsid w:val="00741C28"/>
    <w:rsid w:val="00742D00"/>
    <w:rsid w:val="00747237"/>
    <w:rsid w:val="007635FA"/>
    <w:rsid w:val="00763830"/>
    <w:rsid w:val="00792389"/>
    <w:rsid w:val="007B0F27"/>
    <w:rsid w:val="007D15A0"/>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237C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467CA"/>
    <w:rsid w:val="00A520B3"/>
    <w:rsid w:val="00A85362"/>
    <w:rsid w:val="00A94982"/>
    <w:rsid w:val="00AA05C2"/>
    <w:rsid w:val="00AA1AD2"/>
    <w:rsid w:val="00AB4D34"/>
    <w:rsid w:val="00AD0566"/>
    <w:rsid w:val="00AD7B16"/>
    <w:rsid w:val="00AE3ED6"/>
    <w:rsid w:val="00AF4879"/>
    <w:rsid w:val="00AF5E9A"/>
    <w:rsid w:val="00B00073"/>
    <w:rsid w:val="00B50B06"/>
    <w:rsid w:val="00B60D8B"/>
    <w:rsid w:val="00B760BD"/>
    <w:rsid w:val="00B82EA2"/>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27C"/>
    <w:rsid w:val="00CB49CF"/>
    <w:rsid w:val="00CC1E53"/>
    <w:rsid w:val="00CE6D02"/>
    <w:rsid w:val="00CF2AE7"/>
    <w:rsid w:val="00CF3964"/>
    <w:rsid w:val="00D07B98"/>
    <w:rsid w:val="00D1617A"/>
    <w:rsid w:val="00D25346"/>
    <w:rsid w:val="00D54C0A"/>
    <w:rsid w:val="00D76980"/>
    <w:rsid w:val="00DA37E9"/>
    <w:rsid w:val="00DB64C1"/>
    <w:rsid w:val="00DB77E4"/>
    <w:rsid w:val="00DC6365"/>
    <w:rsid w:val="00DD24D0"/>
    <w:rsid w:val="00DE0C6D"/>
    <w:rsid w:val="00E0130B"/>
    <w:rsid w:val="00E023C4"/>
    <w:rsid w:val="00E05D93"/>
    <w:rsid w:val="00E30D0A"/>
    <w:rsid w:val="00E64F46"/>
    <w:rsid w:val="00E735FB"/>
    <w:rsid w:val="00E95BC9"/>
    <w:rsid w:val="00EA2275"/>
    <w:rsid w:val="00EA65EF"/>
    <w:rsid w:val="00EB0E4C"/>
    <w:rsid w:val="00EE2820"/>
    <w:rsid w:val="00EF3278"/>
    <w:rsid w:val="00EF7574"/>
    <w:rsid w:val="00F0254E"/>
    <w:rsid w:val="00F027BB"/>
    <w:rsid w:val="00F06E17"/>
    <w:rsid w:val="00F11069"/>
    <w:rsid w:val="00F27918"/>
    <w:rsid w:val="00F302C9"/>
    <w:rsid w:val="00F73AE2"/>
    <w:rsid w:val="00F74D1D"/>
    <w:rsid w:val="00F914E2"/>
    <w:rsid w:val="00F94C5D"/>
    <w:rsid w:val="00FA095C"/>
    <w:rsid w:val="00FA3B90"/>
    <w:rsid w:val="00FB7BF2"/>
    <w:rsid w:val="00FC22BE"/>
    <w:rsid w:val="00FC33D6"/>
    <w:rsid w:val="00FD1314"/>
    <w:rsid w:val="00FD5946"/>
    <w:rsid w:val="00FF1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346"/>
    <w:rPr>
      <w:rFonts w:ascii="Arial" w:hAnsi="Arial"/>
      <w:sz w:val="22"/>
      <w:szCs w:val="24"/>
    </w:rPr>
  </w:style>
  <w:style w:type="paragraph" w:styleId="Heading1">
    <w:name w:val="heading 1"/>
    <w:basedOn w:val="Normal"/>
    <w:next w:val="Normal"/>
    <w:link w:val="Heading1Char"/>
    <w:qFormat/>
    <w:rsid w:val="00D25346"/>
    <w:pPr>
      <w:keepNext/>
      <w:pBdr>
        <w:bottom w:val="single" w:sz="12" w:space="6" w:color="auto"/>
      </w:pBdr>
      <w:spacing w:after="12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character" w:customStyle="1" w:styleId="Heading1Char">
    <w:name w:val="Heading 1 Char"/>
    <w:basedOn w:val="DefaultParagraphFont"/>
    <w:link w:val="Heading1"/>
    <w:rsid w:val="00D25346"/>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346"/>
    <w:rPr>
      <w:rFonts w:ascii="Arial" w:hAnsi="Arial"/>
      <w:sz w:val="22"/>
      <w:szCs w:val="24"/>
    </w:rPr>
  </w:style>
  <w:style w:type="paragraph" w:styleId="Heading1">
    <w:name w:val="heading 1"/>
    <w:basedOn w:val="Normal"/>
    <w:next w:val="Normal"/>
    <w:link w:val="Heading1Char"/>
    <w:qFormat/>
    <w:rsid w:val="00D25346"/>
    <w:pPr>
      <w:keepNext/>
      <w:pBdr>
        <w:bottom w:val="single" w:sz="12" w:space="6" w:color="auto"/>
      </w:pBdr>
      <w:spacing w:after="12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character" w:customStyle="1" w:styleId="Heading1Char">
    <w:name w:val="Heading 1 Char"/>
    <w:basedOn w:val="DefaultParagraphFont"/>
    <w:link w:val="Heading1"/>
    <w:rsid w:val="00D25346"/>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57B8-F5C7-4A82-A04E-624F6C35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R and Mr S v William Hill</dc:title>
  <dc:creator>Tammy Smart</dc:creator>
  <cp:lastModifiedBy>Marlene Woods</cp:lastModifiedBy>
  <cp:revision>6</cp:revision>
  <cp:lastPrinted>2016-10-13T01:07:00Z</cp:lastPrinted>
  <dcterms:created xsi:type="dcterms:W3CDTF">2016-08-22T23:56:00Z</dcterms:created>
  <dcterms:modified xsi:type="dcterms:W3CDTF">2016-10-16T23:23:00Z</dcterms:modified>
</cp:coreProperties>
</file>