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E2" w:rsidRPr="00C26AA1" w:rsidRDefault="003B38E2" w:rsidP="00F0444B">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rsidR="00DB64C1" w:rsidRPr="005F725E"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A86E47">
        <w:rPr>
          <w:rFonts w:ascii="Arial" w:hAnsi="Arial"/>
          <w:b/>
          <w:szCs w:val="20"/>
        </w:rPr>
        <w:t>/Applicant</w:t>
      </w:r>
      <w:r w:rsidR="00DB64C1">
        <w:rPr>
          <w:rFonts w:ascii="Arial" w:hAnsi="Arial"/>
          <w:b/>
          <w:szCs w:val="20"/>
        </w:rPr>
        <w:t>:</w:t>
      </w:r>
      <w:r w:rsidR="00DB64C1">
        <w:rPr>
          <w:rFonts w:ascii="Arial" w:hAnsi="Arial"/>
          <w:b/>
          <w:szCs w:val="20"/>
        </w:rPr>
        <w:tab/>
      </w:r>
      <w:r w:rsidR="00377488">
        <w:rPr>
          <w:rFonts w:ascii="Arial" w:hAnsi="Arial"/>
          <w:szCs w:val="20"/>
        </w:rPr>
        <w:t>Mr D</w:t>
      </w:r>
      <w:bookmarkStart w:id="0" w:name="_GoBack"/>
      <w:bookmarkEnd w:id="0"/>
    </w:p>
    <w:p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proofErr w:type="spellStart"/>
      <w:r w:rsidR="00EA4770" w:rsidRPr="00F0444B">
        <w:rPr>
          <w:rFonts w:ascii="Arial" w:hAnsi="Arial" w:cs="Arial"/>
          <w:lang w:val="en-GB"/>
        </w:rPr>
        <w:t>Betfair</w:t>
      </w:r>
      <w:proofErr w:type="spellEnd"/>
      <w:r w:rsidR="00F0444B">
        <w:rPr>
          <w:rFonts w:ascii="Arial" w:hAnsi="Arial" w:cs="Arial"/>
          <w:lang w:val="en-GB"/>
        </w:rPr>
        <w:t xml:space="preserve"> Pty Ltd</w:t>
      </w:r>
    </w:p>
    <w:p w:rsidR="003B38E2" w:rsidRPr="00355227" w:rsidRDefault="003B38E2" w:rsidP="003B38E2">
      <w:pPr>
        <w:spacing w:after="200"/>
        <w:ind w:left="2835" w:hanging="2835"/>
        <w:rPr>
          <w:rFonts w:ascii="Arial" w:hAnsi="Arial" w:cs="Arial"/>
          <w:i/>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8E5F56" w:rsidRPr="005463CA">
        <w:rPr>
          <w:rFonts w:ascii="Arial" w:hAnsi="Arial" w:cs="Arial"/>
        </w:rPr>
        <w:t>Pursu</w:t>
      </w:r>
      <w:r w:rsidR="008E5F56">
        <w:rPr>
          <w:rFonts w:ascii="Arial" w:hAnsi="Arial" w:cs="Arial"/>
        </w:rPr>
        <w:t>ant t</w:t>
      </w:r>
      <w:r w:rsidR="008E5F56" w:rsidRPr="005463CA">
        <w:rPr>
          <w:rFonts w:ascii="Arial" w:hAnsi="Arial" w:cs="Arial"/>
        </w:rPr>
        <w:t>o Section</w:t>
      </w:r>
      <w:r w:rsidR="003E4F8E">
        <w:rPr>
          <w:rFonts w:ascii="Arial" w:hAnsi="Arial" w:cs="Arial"/>
        </w:rPr>
        <w:t xml:space="preserve"> </w:t>
      </w:r>
      <w:r w:rsidR="00355227" w:rsidRPr="00355227">
        <w:rPr>
          <w:rFonts w:ascii="Arial" w:hAnsi="Arial" w:cs="Arial"/>
        </w:rPr>
        <w:t>80</w:t>
      </w:r>
      <w:r w:rsidR="008E5F56" w:rsidRPr="00355227">
        <w:rPr>
          <w:rFonts w:ascii="Arial" w:hAnsi="Arial" w:cs="Arial"/>
        </w:rPr>
        <w:t xml:space="preserve"> of the </w:t>
      </w:r>
      <w:r w:rsidR="008E5F56" w:rsidRPr="00355227">
        <w:rPr>
          <w:rFonts w:ascii="Arial" w:hAnsi="Arial" w:cs="Arial"/>
          <w:i/>
        </w:rPr>
        <w:t>Racing and Betting Act</w:t>
      </w:r>
      <w:r w:rsidR="008E5F56" w:rsidRPr="00355227">
        <w:rPr>
          <w:rFonts w:ascii="Arial" w:hAnsi="Arial" w:cs="Arial"/>
        </w:rPr>
        <w:t xml:space="preserve"> –</w:t>
      </w:r>
      <w:r w:rsidR="000716C2" w:rsidRPr="00355227">
        <w:rPr>
          <w:rFonts w:ascii="Arial" w:hAnsi="Arial" w:cs="Arial"/>
        </w:rPr>
        <w:t xml:space="preserve"> </w:t>
      </w:r>
      <w:r w:rsidR="0033470A">
        <w:rPr>
          <w:rFonts w:ascii="Arial" w:hAnsi="Arial" w:cs="Arial"/>
        </w:rPr>
        <w:t>in failing to comply with a licence condition, specifically</w:t>
      </w:r>
      <w:r w:rsidR="000716C2" w:rsidRPr="00355227">
        <w:rPr>
          <w:rFonts w:ascii="Arial" w:hAnsi="Arial" w:cs="Arial"/>
        </w:rPr>
        <w:br/>
      </w:r>
      <w:r w:rsidR="00355227">
        <w:rPr>
          <w:rFonts w:ascii="Arial" w:hAnsi="Arial" w:cs="Arial"/>
        </w:rPr>
        <w:t xml:space="preserve">condition 16. </w:t>
      </w:r>
      <w:r w:rsidR="00355227">
        <w:rPr>
          <w:rFonts w:ascii="Arial" w:hAnsi="Arial" w:cs="Arial"/>
          <w:i/>
        </w:rPr>
        <w:t xml:space="preserve">The sports Bookmaker must comply with any Codes or Guidelines issued by the Commission pursuant to the </w:t>
      </w:r>
      <w:r w:rsidR="0033470A">
        <w:rPr>
          <w:rFonts w:ascii="Arial" w:hAnsi="Arial" w:cs="Arial"/>
          <w:i/>
        </w:rPr>
        <w:t>Racing and Betting Act, as amended from time to time.</w:t>
      </w:r>
    </w:p>
    <w:p w:rsidR="003E4F8E" w:rsidRPr="00355227" w:rsidRDefault="003B38E2" w:rsidP="008E5F56">
      <w:pPr>
        <w:ind w:left="2835" w:hanging="2835"/>
        <w:rPr>
          <w:rFonts w:ascii="Arial" w:hAnsi="Arial" w:cs="Arial"/>
          <w:lang w:val="en-GB"/>
        </w:rPr>
      </w:pPr>
      <w:r w:rsidRPr="00355227">
        <w:rPr>
          <w:rFonts w:ascii="Arial" w:hAnsi="Arial"/>
          <w:b/>
          <w:szCs w:val="20"/>
        </w:rPr>
        <w:t>Heard Before</w:t>
      </w:r>
      <w:r w:rsidRPr="00355227">
        <w:rPr>
          <w:rFonts w:ascii="Arial" w:hAnsi="Arial" w:cs="Arial"/>
          <w:b/>
          <w:lang w:val="en-GB"/>
        </w:rPr>
        <w:t>:</w:t>
      </w:r>
      <w:r w:rsidRPr="00355227">
        <w:rPr>
          <w:rFonts w:ascii="Arial" w:hAnsi="Arial" w:cs="Arial"/>
          <w:b/>
          <w:lang w:val="en-GB"/>
        </w:rPr>
        <w:tab/>
      </w:r>
      <w:r w:rsidR="00355227" w:rsidRPr="00355227">
        <w:rPr>
          <w:rFonts w:ascii="Arial" w:hAnsi="Arial" w:cs="Arial"/>
          <w:lang w:val="en-GB"/>
        </w:rPr>
        <w:t>Andrew Maloney</w:t>
      </w:r>
      <w:r w:rsidR="000716C2" w:rsidRPr="00355227">
        <w:rPr>
          <w:rFonts w:ascii="Arial" w:hAnsi="Arial" w:cs="Arial"/>
          <w:lang w:val="en-GB"/>
        </w:rPr>
        <w:t xml:space="preserve"> (Presiding Member)</w:t>
      </w:r>
    </w:p>
    <w:p w:rsidR="008E5F56" w:rsidRDefault="00DB64C1" w:rsidP="008E5F56">
      <w:pPr>
        <w:ind w:left="2835" w:hanging="2835"/>
        <w:rPr>
          <w:rFonts w:ascii="Arial" w:hAnsi="Arial" w:cs="Arial"/>
        </w:rPr>
      </w:pPr>
      <w:r w:rsidRPr="00055A44">
        <w:rPr>
          <w:rFonts w:ascii="Arial" w:hAnsi="Arial" w:cs="Arial"/>
          <w:b/>
        </w:rPr>
        <w:t>(</w:t>
      </w:r>
      <w:proofErr w:type="gramStart"/>
      <w:r w:rsidRPr="00055A44">
        <w:rPr>
          <w:rFonts w:ascii="Arial" w:hAnsi="Arial" w:cs="Arial"/>
          <w:b/>
        </w:rPr>
        <w:t>on</w:t>
      </w:r>
      <w:proofErr w:type="gramEnd"/>
      <w:r w:rsidRPr="00055A44">
        <w:rPr>
          <w:rFonts w:ascii="Arial" w:hAnsi="Arial" w:cs="Arial"/>
          <w:b/>
        </w:rPr>
        <w:t xml:space="preserve"> papers)</w:t>
      </w:r>
      <w:r w:rsidR="003E4F8E" w:rsidRPr="00055A44">
        <w:rPr>
          <w:rFonts w:ascii="Arial" w:hAnsi="Arial" w:cs="Arial"/>
          <w:b/>
        </w:rPr>
        <w:tab/>
      </w:r>
      <w:r w:rsidR="00355227">
        <w:rPr>
          <w:rFonts w:ascii="Arial" w:hAnsi="Arial" w:cs="Arial"/>
        </w:rPr>
        <w:t>David Loy</w:t>
      </w:r>
    </w:p>
    <w:p w:rsidR="003E4F8E" w:rsidRPr="003E4F8E" w:rsidRDefault="003E4F8E" w:rsidP="008E5F56">
      <w:pPr>
        <w:ind w:left="2835" w:hanging="2835"/>
        <w:rPr>
          <w:rFonts w:ascii="Arial" w:hAnsi="Arial" w:cs="Arial"/>
        </w:rPr>
      </w:pPr>
      <w:r w:rsidRPr="003E4F8E">
        <w:rPr>
          <w:rFonts w:ascii="Arial" w:hAnsi="Arial" w:cs="Arial"/>
        </w:rPr>
        <w:tab/>
      </w:r>
      <w:r w:rsidR="00722665">
        <w:rPr>
          <w:rFonts w:ascii="Arial" w:hAnsi="Arial" w:cs="Arial"/>
        </w:rPr>
        <w:t>Jim Mc</w:t>
      </w:r>
      <w:r w:rsidR="00355227">
        <w:rPr>
          <w:rFonts w:ascii="Arial" w:hAnsi="Arial" w:cs="Arial"/>
        </w:rPr>
        <w:t>Nally</w:t>
      </w:r>
    </w:p>
    <w:p w:rsidR="005F725E" w:rsidRPr="005F725E" w:rsidRDefault="00DB64C1" w:rsidP="008E5F56">
      <w:pPr>
        <w:ind w:left="2835" w:hanging="2835"/>
        <w:rPr>
          <w:rFonts w:ascii="Arial" w:hAnsi="Arial" w:cs="Arial"/>
        </w:rPr>
      </w:pPr>
      <w:r w:rsidRPr="005F725E">
        <w:rPr>
          <w:rFonts w:ascii="Arial" w:hAnsi="Arial" w:cs="Arial"/>
          <w:b/>
        </w:rPr>
        <w:tab/>
      </w:r>
    </w:p>
    <w:p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E41FCE">
        <w:rPr>
          <w:rFonts w:ascii="Arial" w:hAnsi="Arial" w:cs="Arial"/>
        </w:rPr>
        <w:t>30</w:t>
      </w:r>
      <w:r w:rsidR="00F0444B">
        <w:rPr>
          <w:rFonts w:ascii="Arial" w:hAnsi="Arial" w:cs="Arial"/>
        </w:rPr>
        <w:t xml:space="preserve"> January</w:t>
      </w:r>
      <w:r w:rsidR="00355227">
        <w:rPr>
          <w:rFonts w:ascii="Arial" w:hAnsi="Arial" w:cs="Arial"/>
        </w:rPr>
        <w:t xml:space="preserve"> 2018</w:t>
      </w:r>
    </w:p>
    <w:p w:rsidR="003B38E2" w:rsidRPr="00A30195" w:rsidRDefault="003B38E2" w:rsidP="003B38E2">
      <w:pPr>
        <w:pStyle w:val="BottomLine"/>
      </w:pPr>
    </w:p>
    <w:p w:rsidR="0012027A" w:rsidRPr="008E5F56" w:rsidRDefault="008E5F56" w:rsidP="00313A54">
      <w:pPr>
        <w:pStyle w:val="Heading2"/>
        <w:spacing w:before="280" w:line="360" w:lineRule="auto"/>
        <w:rPr>
          <w:rFonts w:cs="Arial"/>
        </w:rPr>
      </w:pPr>
      <w:r w:rsidRPr="008E5F56">
        <w:rPr>
          <w:rFonts w:cs="Arial"/>
        </w:rPr>
        <w:t>Background</w:t>
      </w:r>
    </w:p>
    <w:p w:rsidR="003E4F8E" w:rsidRDefault="0033470A" w:rsidP="008E5F56">
      <w:pPr>
        <w:pStyle w:val="ListParagraph"/>
        <w:numPr>
          <w:ilvl w:val="0"/>
          <w:numId w:val="27"/>
        </w:numPr>
        <w:spacing w:after="200"/>
        <w:ind w:left="567" w:hanging="425"/>
        <w:jc w:val="both"/>
        <w:rPr>
          <w:rFonts w:ascii="Arial" w:hAnsi="Arial" w:cs="Arial"/>
        </w:rPr>
      </w:pPr>
      <w:r>
        <w:rPr>
          <w:rFonts w:ascii="Arial" w:hAnsi="Arial" w:cs="Arial"/>
        </w:rPr>
        <w:t xml:space="preserve">On </w:t>
      </w:r>
      <w:r w:rsidR="00EA4770">
        <w:rPr>
          <w:rFonts w:ascii="Arial" w:hAnsi="Arial" w:cs="Arial"/>
        </w:rPr>
        <w:t>3 April</w:t>
      </w:r>
      <w:r>
        <w:rPr>
          <w:rFonts w:ascii="Arial" w:hAnsi="Arial" w:cs="Arial"/>
        </w:rPr>
        <w:t xml:space="preserve"> 2017 the Complainant</w:t>
      </w:r>
      <w:r w:rsidR="00E05510">
        <w:rPr>
          <w:rFonts w:ascii="Arial" w:hAnsi="Arial" w:cs="Arial"/>
        </w:rPr>
        <w:t xml:space="preserve"> p</w:t>
      </w:r>
      <w:r w:rsidR="003E4F8E" w:rsidRPr="003E4F8E">
        <w:rPr>
          <w:rFonts w:ascii="Arial" w:hAnsi="Arial" w:cs="Arial"/>
        </w:rPr>
        <w:t xml:space="preserve">ursuant to section </w:t>
      </w:r>
      <w:r>
        <w:rPr>
          <w:rFonts w:ascii="Arial" w:hAnsi="Arial" w:cs="Arial"/>
        </w:rPr>
        <w:t>80</w:t>
      </w:r>
      <w:r w:rsidR="00055A44">
        <w:rPr>
          <w:rFonts w:ascii="Arial" w:hAnsi="Arial" w:cs="Arial"/>
        </w:rPr>
        <w:t xml:space="preserve"> </w:t>
      </w:r>
      <w:r w:rsidR="003E4F8E">
        <w:rPr>
          <w:rFonts w:ascii="Arial" w:hAnsi="Arial" w:cs="Arial"/>
        </w:rPr>
        <w:t xml:space="preserve">of the </w:t>
      </w:r>
      <w:r w:rsidR="003E4F8E">
        <w:rPr>
          <w:rFonts w:ascii="Arial" w:hAnsi="Arial" w:cs="Arial"/>
          <w:i/>
        </w:rPr>
        <w:t xml:space="preserve">Racing and Betting Act </w:t>
      </w:r>
      <w:r w:rsidR="003E4F8E">
        <w:rPr>
          <w:rFonts w:ascii="Arial" w:hAnsi="Arial" w:cs="Arial"/>
        </w:rPr>
        <w:t xml:space="preserve">(the Act), </w:t>
      </w:r>
      <w:r>
        <w:rPr>
          <w:rFonts w:ascii="Arial" w:hAnsi="Arial" w:cs="Arial"/>
        </w:rPr>
        <w:t>lodged a gambl</w:t>
      </w:r>
      <w:r w:rsidR="00EA4770">
        <w:rPr>
          <w:rFonts w:ascii="Arial" w:hAnsi="Arial" w:cs="Arial"/>
        </w:rPr>
        <w:t xml:space="preserve">ing dispute against </w:t>
      </w:r>
      <w:r w:rsidR="006427F2">
        <w:rPr>
          <w:rFonts w:ascii="Arial" w:hAnsi="Arial" w:cs="Arial"/>
        </w:rPr>
        <w:t xml:space="preserve"> </w:t>
      </w:r>
      <w:r w:rsidR="00EA4770">
        <w:rPr>
          <w:rFonts w:ascii="Arial" w:hAnsi="Arial" w:cs="Arial"/>
        </w:rPr>
        <w:t>Betfair</w:t>
      </w:r>
      <w:r>
        <w:rPr>
          <w:rFonts w:ascii="Arial" w:hAnsi="Arial" w:cs="Arial"/>
        </w:rPr>
        <w:t xml:space="preserve"> alleging that the Bookmaker failed in its responsibility as provided in the Responsible Gambling Code of Conduct.</w:t>
      </w:r>
    </w:p>
    <w:p w:rsidR="00E05510" w:rsidRDefault="0033470A" w:rsidP="008E5F56">
      <w:pPr>
        <w:pStyle w:val="ListParagraph"/>
        <w:numPr>
          <w:ilvl w:val="0"/>
          <w:numId w:val="27"/>
        </w:numPr>
        <w:spacing w:after="200"/>
        <w:ind w:left="567" w:hanging="425"/>
        <w:jc w:val="both"/>
        <w:rPr>
          <w:rFonts w:ascii="Arial" w:hAnsi="Arial" w:cs="Arial"/>
        </w:rPr>
      </w:pPr>
      <w:r>
        <w:rPr>
          <w:rFonts w:ascii="Arial" w:hAnsi="Arial" w:cs="Arial"/>
        </w:rPr>
        <w:t xml:space="preserve">The Complainant </w:t>
      </w:r>
      <w:r w:rsidR="006427F2">
        <w:rPr>
          <w:rFonts w:ascii="Arial" w:hAnsi="Arial" w:cs="Arial"/>
        </w:rPr>
        <w:t>was a client of the British Bookmaker Betfair Group Plc from 13 June 2011.</w:t>
      </w:r>
    </w:p>
    <w:p w:rsidR="002A6C80" w:rsidRDefault="006427F2" w:rsidP="008E5F56">
      <w:pPr>
        <w:pStyle w:val="ListParagraph"/>
        <w:numPr>
          <w:ilvl w:val="0"/>
          <w:numId w:val="27"/>
        </w:numPr>
        <w:spacing w:after="200"/>
        <w:ind w:left="567" w:hanging="425"/>
        <w:jc w:val="both"/>
        <w:rPr>
          <w:rFonts w:ascii="Arial" w:hAnsi="Arial" w:cs="Arial"/>
        </w:rPr>
      </w:pPr>
      <w:r>
        <w:rPr>
          <w:rFonts w:ascii="Arial" w:hAnsi="Arial" w:cs="Arial"/>
        </w:rPr>
        <w:t xml:space="preserve">The Complainant had self </w:t>
      </w:r>
      <w:r w:rsidR="00F0444B">
        <w:rPr>
          <w:rFonts w:ascii="Arial" w:hAnsi="Arial" w:cs="Arial"/>
        </w:rPr>
        <w:t xml:space="preserve">- </w:t>
      </w:r>
      <w:r>
        <w:rPr>
          <w:rFonts w:ascii="Arial" w:hAnsi="Arial" w:cs="Arial"/>
        </w:rPr>
        <w:t>excluded for a 6 month period from 2 January 2015 with Betfair Group Plc.</w:t>
      </w:r>
    </w:p>
    <w:p w:rsidR="002A6C80" w:rsidRDefault="006427F2" w:rsidP="008E5F56">
      <w:pPr>
        <w:pStyle w:val="ListParagraph"/>
        <w:numPr>
          <w:ilvl w:val="0"/>
          <w:numId w:val="27"/>
        </w:numPr>
        <w:spacing w:after="200"/>
        <w:ind w:left="567" w:hanging="425"/>
        <w:jc w:val="both"/>
        <w:rPr>
          <w:rFonts w:ascii="Arial" w:hAnsi="Arial" w:cs="Arial"/>
        </w:rPr>
      </w:pPr>
      <w:r>
        <w:rPr>
          <w:rFonts w:ascii="Arial" w:hAnsi="Arial" w:cs="Arial"/>
        </w:rPr>
        <w:t xml:space="preserve">The Complainant attempted to </w:t>
      </w:r>
      <w:r w:rsidR="003E3710">
        <w:rPr>
          <w:rFonts w:ascii="Arial" w:hAnsi="Arial" w:cs="Arial"/>
        </w:rPr>
        <w:t>open an account with Betfair Pty Ltd which is a licenced Book</w:t>
      </w:r>
      <w:r>
        <w:rPr>
          <w:rFonts w:ascii="Arial" w:hAnsi="Arial" w:cs="Arial"/>
        </w:rPr>
        <w:t>m</w:t>
      </w:r>
      <w:r w:rsidR="003E3710">
        <w:rPr>
          <w:rFonts w:ascii="Arial" w:hAnsi="Arial" w:cs="Arial"/>
        </w:rPr>
        <w:t>a</w:t>
      </w:r>
      <w:r>
        <w:rPr>
          <w:rFonts w:ascii="Arial" w:hAnsi="Arial" w:cs="Arial"/>
        </w:rPr>
        <w:t>ker</w:t>
      </w:r>
      <w:r w:rsidR="003E3710">
        <w:rPr>
          <w:rFonts w:ascii="Arial" w:hAnsi="Arial" w:cs="Arial"/>
        </w:rPr>
        <w:t xml:space="preserve"> but was denied due to the link to the previously excluded account.</w:t>
      </w:r>
    </w:p>
    <w:p w:rsidR="002A6C80" w:rsidRDefault="002A6C80" w:rsidP="008E5F56">
      <w:pPr>
        <w:pStyle w:val="ListParagraph"/>
        <w:numPr>
          <w:ilvl w:val="0"/>
          <w:numId w:val="27"/>
        </w:numPr>
        <w:spacing w:after="200"/>
        <w:ind w:left="567" w:hanging="425"/>
        <w:jc w:val="both"/>
        <w:rPr>
          <w:rFonts w:ascii="Arial" w:hAnsi="Arial" w:cs="Arial"/>
        </w:rPr>
      </w:pPr>
      <w:r>
        <w:rPr>
          <w:rFonts w:ascii="Arial" w:hAnsi="Arial" w:cs="Arial"/>
        </w:rPr>
        <w:t xml:space="preserve">The Complainant </w:t>
      </w:r>
      <w:r w:rsidR="003E3710">
        <w:rPr>
          <w:rFonts w:ascii="Arial" w:hAnsi="Arial" w:cs="Arial"/>
        </w:rPr>
        <w:t>was then assisted by Betfair Pty Ltd to re-open his Betfair Group Plc Account that he had closed an hour before contacting Betfair Pty Ltd to try and open an Australian Account</w:t>
      </w:r>
      <w:r>
        <w:rPr>
          <w:rFonts w:ascii="Arial" w:hAnsi="Arial" w:cs="Arial"/>
        </w:rPr>
        <w:t>.</w:t>
      </w:r>
    </w:p>
    <w:p w:rsidR="00FD5796" w:rsidRPr="008E5F56" w:rsidRDefault="00FD5796" w:rsidP="00313A54">
      <w:pPr>
        <w:pStyle w:val="Heading2"/>
        <w:spacing w:before="480" w:line="360" w:lineRule="auto"/>
        <w:rPr>
          <w:rFonts w:cs="Arial"/>
        </w:rPr>
      </w:pPr>
      <w:r w:rsidRPr="008E5F56">
        <w:rPr>
          <w:rFonts w:cs="Arial"/>
        </w:rPr>
        <w:t>Consideration of the Issues</w:t>
      </w:r>
    </w:p>
    <w:p w:rsidR="0012027A" w:rsidRPr="00722665" w:rsidRDefault="003E3710" w:rsidP="008E5F56">
      <w:pPr>
        <w:pStyle w:val="ListParagraph"/>
        <w:numPr>
          <w:ilvl w:val="0"/>
          <w:numId w:val="27"/>
        </w:numPr>
        <w:spacing w:after="200"/>
        <w:ind w:left="567" w:hanging="425"/>
        <w:jc w:val="both"/>
        <w:rPr>
          <w:rFonts w:ascii="Arial" w:eastAsiaTheme="minorHAnsi" w:hAnsi="Arial" w:cs="Arial"/>
        </w:rPr>
      </w:pPr>
      <w:r>
        <w:rPr>
          <w:rFonts w:ascii="Arial" w:hAnsi="Arial" w:cs="Arial"/>
        </w:rPr>
        <w:t>The Complainant is a customer of Betfair Group Plc which does not hold an NT Sports Bookmaker Licence</w:t>
      </w:r>
    </w:p>
    <w:p w:rsidR="00722665" w:rsidRPr="000B14FD" w:rsidRDefault="003E3710" w:rsidP="008E5F56">
      <w:pPr>
        <w:pStyle w:val="ListParagraph"/>
        <w:numPr>
          <w:ilvl w:val="0"/>
          <w:numId w:val="27"/>
        </w:numPr>
        <w:spacing w:after="200"/>
        <w:ind w:left="567" w:hanging="425"/>
        <w:jc w:val="both"/>
        <w:rPr>
          <w:rFonts w:ascii="Arial" w:eastAsiaTheme="minorHAnsi" w:hAnsi="Arial" w:cs="Arial"/>
        </w:rPr>
      </w:pPr>
      <w:r>
        <w:rPr>
          <w:rFonts w:ascii="Arial" w:hAnsi="Arial" w:cs="Arial"/>
        </w:rPr>
        <w:t>At the time of contact with Betfair Pty Ltd namely 6</w:t>
      </w:r>
      <w:r w:rsidR="0075037C">
        <w:rPr>
          <w:rFonts w:ascii="Arial" w:hAnsi="Arial" w:cs="Arial"/>
        </w:rPr>
        <w:t xml:space="preserve"> March 2016, Betfair was not an</w:t>
      </w:r>
      <w:r>
        <w:rPr>
          <w:rFonts w:ascii="Arial" w:hAnsi="Arial" w:cs="Arial"/>
        </w:rPr>
        <w:t xml:space="preserve"> NT Licenced Bookmaker but a Tasmanian Licensed Bookmaker.</w:t>
      </w:r>
    </w:p>
    <w:p w:rsidR="00F0444B" w:rsidRPr="00A20B0E" w:rsidRDefault="0058576F" w:rsidP="00A20B0E">
      <w:pPr>
        <w:pStyle w:val="ListParagraph"/>
        <w:numPr>
          <w:ilvl w:val="0"/>
          <w:numId w:val="27"/>
        </w:numPr>
        <w:spacing w:after="200"/>
        <w:ind w:left="567" w:hanging="425"/>
        <w:jc w:val="both"/>
        <w:rPr>
          <w:rFonts w:ascii="Arial" w:hAnsi="Arial" w:cs="Arial"/>
        </w:rPr>
      </w:pPr>
      <w:r w:rsidRPr="00A20B0E">
        <w:rPr>
          <w:rFonts w:ascii="Arial" w:hAnsi="Arial" w:cs="Arial"/>
        </w:rPr>
        <w:t>Legislation</w:t>
      </w:r>
      <w:r w:rsidR="00A20B0E">
        <w:rPr>
          <w:rFonts w:ascii="Arial" w:hAnsi="Arial" w:cs="Arial"/>
        </w:rPr>
        <w:t>:</w:t>
      </w:r>
    </w:p>
    <w:p w:rsidR="00426776" w:rsidRPr="0075037C" w:rsidRDefault="00426776" w:rsidP="00A20B0E">
      <w:pPr>
        <w:spacing w:after="200"/>
        <w:ind w:firstLine="567"/>
        <w:jc w:val="both"/>
        <w:rPr>
          <w:rFonts w:ascii="Arial" w:eastAsiaTheme="minorHAnsi" w:hAnsi="Arial" w:cs="Arial"/>
        </w:rPr>
      </w:pPr>
      <w:r w:rsidRPr="0075037C">
        <w:rPr>
          <w:rFonts w:ascii="Arial" w:hAnsi="Arial" w:cs="Arial"/>
          <w:b/>
          <w:bCs/>
        </w:rPr>
        <w:t xml:space="preserve">80 Suspension or cancellation of licence or permit </w:t>
      </w:r>
    </w:p>
    <w:p w:rsidR="00426776" w:rsidRDefault="00426776" w:rsidP="00426776">
      <w:pPr>
        <w:pStyle w:val="ListParagraph"/>
        <w:numPr>
          <w:ilvl w:val="0"/>
          <w:numId w:val="29"/>
        </w:numPr>
        <w:spacing w:after="200"/>
        <w:jc w:val="both"/>
        <w:rPr>
          <w:rFonts w:ascii="Arial" w:hAnsi="Arial" w:cs="Arial"/>
        </w:rPr>
      </w:pPr>
      <w:r w:rsidRPr="00426776">
        <w:rPr>
          <w:rFonts w:ascii="Arial" w:hAnsi="Arial" w:cs="Arial"/>
        </w:rPr>
        <w:t xml:space="preserve">The Commission may discipline a bookmaker by reprimanding him, </w:t>
      </w:r>
    </w:p>
    <w:p w:rsidR="00426776" w:rsidRDefault="00426776" w:rsidP="00A20B0E">
      <w:pPr>
        <w:pStyle w:val="ListParagraph"/>
        <w:spacing w:after="200"/>
        <w:ind w:left="567"/>
        <w:jc w:val="both"/>
        <w:rPr>
          <w:rFonts w:ascii="Arial" w:hAnsi="Arial" w:cs="Arial"/>
        </w:rPr>
      </w:pPr>
      <w:r w:rsidRPr="00426776">
        <w:rPr>
          <w:rFonts w:ascii="Arial" w:hAnsi="Arial" w:cs="Arial"/>
        </w:rPr>
        <w:lastRenderedPageBreak/>
        <w:t xml:space="preserve">imposing on him a fine not exceeding 17 penalty units or, in the case of a sports bookmaker, not exceeding 170 penalty units [$26,180] or suspending or cancelling a licence or permit granted under this Part if it is satisfied that the bookmaker: </w:t>
      </w:r>
    </w:p>
    <w:p w:rsidR="00426776" w:rsidRDefault="00426776" w:rsidP="00A20B0E">
      <w:pPr>
        <w:pStyle w:val="ListParagraph"/>
        <w:numPr>
          <w:ilvl w:val="0"/>
          <w:numId w:val="30"/>
        </w:numPr>
        <w:spacing w:after="200"/>
        <w:ind w:left="1134"/>
        <w:jc w:val="both"/>
        <w:rPr>
          <w:rFonts w:ascii="Arial" w:hAnsi="Arial" w:cs="Arial"/>
        </w:rPr>
      </w:pPr>
      <w:r w:rsidRPr="00426776">
        <w:rPr>
          <w:rFonts w:ascii="Arial" w:hAnsi="Arial" w:cs="Arial"/>
        </w:rPr>
        <w:t>has committed an offence against this Act or rules made under section 83 or has failed to perform a duty required of him by this Act; or</w:t>
      </w:r>
    </w:p>
    <w:p w:rsidR="00426776" w:rsidRDefault="00426776" w:rsidP="00A20B0E">
      <w:pPr>
        <w:pStyle w:val="ListParagraph"/>
        <w:spacing w:after="200"/>
        <w:ind w:left="1134"/>
        <w:jc w:val="both"/>
        <w:rPr>
          <w:rFonts w:ascii="Arial" w:hAnsi="Arial" w:cs="Arial"/>
        </w:rPr>
      </w:pPr>
      <w:r w:rsidRPr="00426776">
        <w:rPr>
          <w:rFonts w:ascii="Arial" w:hAnsi="Arial" w:cs="Arial"/>
        </w:rPr>
        <w:t xml:space="preserve"> … (d) </w:t>
      </w:r>
      <w:proofErr w:type="gramStart"/>
      <w:r w:rsidRPr="00426776">
        <w:rPr>
          <w:rFonts w:ascii="Arial" w:hAnsi="Arial" w:cs="Arial"/>
        </w:rPr>
        <w:t>has</w:t>
      </w:r>
      <w:proofErr w:type="gramEnd"/>
      <w:r w:rsidRPr="00426776">
        <w:rPr>
          <w:rFonts w:ascii="Arial" w:hAnsi="Arial" w:cs="Arial"/>
        </w:rPr>
        <w:t xml:space="preserve"> failed to comply with a condition of his licence or permit</w:t>
      </w:r>
    </w:p>
    <w:p w:rsidR="00426776" w:rsidRDefault="00426776" w:rsidP="00A20B0E">
      <w:pPr>
        <w:spacing w:after="200"/>
        <w:ind w:left="567"/>
        <w:jc w:val="both"/>
        <w:rPr>
          <w:rFonts w:ascii="Arial" w:hAnsi="Arial" w:cs="Arial"/>
          <w:b/>
          <w:bCs/>
        </w:rPr>
      </w:pPr>
      <w:r w:rsidRPr="00426776">
        <w:rPr>
          <w:rFonts w:ascii="Arial" w:hAnsi="Arial" w:cs="Arial"/>
          <w:b/>
          <w:bCs/>
        </w:rPr>
        <w:t xml:space="preserve">83 Commission may make rules </w:t>
      </w:r>
    </w:p>
    <w:p w:rsidR="00426776" w:rsidRDefault="00426776" w:rsidP="00A20B0E">
      <w:pPr>
        <w:spacing w:after="200"/>
        <w:ind w:left="567"/>
        <w:jc w:val="both"/>
        <w:rPr>
          <w:rFonts w:ascii="Arial" w:hAnsi="Arial" w:cs="Arial"/>
        </w:rPr>
      </w:pPr>
      <w:r w:rsidRPr="00426776">
        <w:rPr>
          <w:rFonts w:ascii="Arial" w:hAnsi="Arial" w:cs="Arial"/>
        </w:rPr>
        <w:t xml:space="preserve">(1) In this section, </w:t>
      </w:r>
      <w:r w:rsidRPr="00426776">
        <w:rPr>
          <w:rFonts w:ascii="Arial" w:hAnsi="Arial" w:cs="Arial"/>
          <w:b/>
          <w:bCs/>
          <w:i/>
          <w:iCs/>
        </w:rPr>
        <w:t xml:space="preserve">betting </w:t>
      </w:r>
      <w:r w:rsidRPr="00426776">
        <w:rPr>
          <w:rFonts w:ascii="Arial" w:hAnsi="Arial" w:cs="Arial"/>
        </w:rPr>
        <w:t xml:space="preserve">includes the determination of an official starting price and the negotiation, acceptance and distribution of moneys in connection with bets and the settling of bets. </w:t>
      </w:r>
    </w:p>
    <w:p w:rsidR="00426776" w:rsidRDefault="00426776" w:rsidP="00A20B0E">
      <w:pPr>
        <w:spacing w:after="200"/>
        <w:ind w:left="567"/>
        <w:jc w:val="both"/>
        <w:rPr>
          <w:rFonts w:ascii="Arial" w:hAnsi="Arial" w:cs="Arial"/>
        </w:rPr>
      </w:pPr>
      <w:r w:rsidRPr="00426776">
        <w:rPr>
          <w:rFonts w:ascii="Arial" w:hAnsi="Arial" w:cs="Arial"/>
        </w:rPr>
        <w:t xml:space="preserve">(2) The Commission, with the approval of the Minister, may make rules, not inconsistent with this Act, for the control and regulation of betting by bookmakers. </w:t>
      </w:r>
    </w:p>
    <w:p w:rsidR="00426776" w:rsidRDefault="00426776" w:rsidP="00A20B0E">
      <w:pPr>
        <w:spacing w:after="200"/>
        <w:ind w:left="567"/>
        <w:jc w:val="both"/>
        <w:rPr>
          <w:rFonts w:ascii="Arial" w:hAnsi="Arial" w:cs="Arial"/>
        </w:rPr>
      </w:pPr>
      <w:r w:rsidRPr="00426776">
        <w:rPr>
          <w:rFonts w:ascii="Arial" w:hAnsi="Arial" w:cs="Arial"/>
        </w:rPr>
        <w:t xml:space="preserve">(3) Rules made under subsection (2) may impose penalties, not exceeding $5,000, for offences against the Rules. </w:t>
      </w:r>
    </w:p>
    <w:p w:rsidR="00426776" w:rsidRDefault="00426776" w:rsidP="00A20B0E">
      <w:pPr>
        <w:spacing w:after="200"/>
        <w:ind w:left="567"/>
        <w:jc w:val="both"/>
        <w:rPr>
          <w:rFonts w:ascii="Arial" w:hAnsi="Arial" w:cs="Arial"/>
        </w:rPr>
      </w:pPr>
      <w:r w:rsidRPr="00426776">
        <w:rPr>
          <w:rFonts w:ascii="Arial" w:hAnsi="Arial" w:cs="Arial"/>
        </w:rPr>
        <w:t xml:space="preserve">Further, section </w:t>
      </w:r>
      <w:proofErr w:type="gramStart"/>
      <w:r w:rsidRPr="00426776">
        <w:rPr>
          <w:rFonts w:ascii="Arial" w:hAnsi="Arial" w:cs="Arial"/>
        </w:rPr>
        <w:t>148A(</w:t>
      </w:r>
      <w:proofErr w:type="gramEnd"/>
      <w:r w:rsidRPr="00426776">
        <w:rPr>
          <w:rFonts w:ascii="Arial" w:hAnsi="Arial" w:cs="Arial"/>
        </w:rPr>
        <w:t xml:space="preserve">4) makes it an offence for a bookmaker not to comply with a Code approved by the Commission </w:t>
      </w:r>
    </w:p>
    <w:p w:rsidR="00426776" w:rsidRDefault="00F0444B" w:rsidP="00A20B0E">
      <w:pPr>
        <w:spacing w:after="200"/>
        <w:ind w:left="567"/>
        <w:jc w:val="both"/>
        <w:rPr>
          <w:rFonts w:ascii="Arial" w:hAnsi="Arial" w:cs="Arial"/>
        </w:rPr>
      </w:pPr>
      <w:proofErr w:type="spellStart"/>
      <w:r>
        <w:rPr>
          <w:rFonts w:ascii="Arial" w:hAnsi="Arial" w:cs="Arial"/>
          <w:b/>
          <w:bCs/>
        </w:rPr>
        <w:t>148A</w:t>
      </w:r>
      <w:proofErr w:type="spellEnd"/>
      <w:r>
        <w:rPr>
          <w:rFonts w:ascii="Arial" w:hAnsi="Arial" w:cs="Arial"/>
          <w:b/>
          <w:bCs/>
        </w:rPr>
        <w:t xml:space="preserve"> Codes of practices</w:t>
      </w:r>
    </w:p>
    <w:p w:rsidR="00426776" w:rsidRDefault="00F0444B" w:rsidP="00A20B0E">
      <w:pPr>
        <w:spacing w:after="200"/>
        <w:ind w:left="567"/>
        <w:jc w:val="both"/>
        <w:rPr>
          <w:rFonts w:ascii="Arial" w:hAnsi="Arial" w:cs="Arial"/>
        </w:rPr>
      </w:pPr>
      <w:r>
        <w:rPr>
          <w:rFonts w:ascii="Arial" w:hAnsi="Arial" w:cs="Arial"/>
        </w:rPr>
        <w:t>(</w:t>
      </w:r>
      <w:r w:rsidR="00426776" w:rsidRPr="00426776">
        <w:rPr>
          <w:rFonts w:ascii="Arial" w:hAnsi="Arial" w:cs="Arial"/>
        </w:rPr>
        <w:t xml:space="preserve">4) A bookmaker must not contravene or fail to comply with a code of practice approved under this section. Maximum penalty: 17 penalty units. </w:t>
      </w:r>
    </w:p>
    <w:p w:rsidR="00426776" w:rsidRDefault="00426776" w:rsidP="00A20B0E">
      <w:pPr>
        <w:spacing w:after="200"/>
        <w:ind w:left="567"/>
        <w:jc w:val="both"/>
        <w:rPr>
          <w:rFonts w:ascii="Arial" w:hAnsi="Arial" w:cs="Arial"/>
          <w:b/>
          <w:bCs/>
        </w:rPr>
      </w:pPr>
      <w:r w:rsidRPr="00426776">
        <w:rPr>
          <w:rFonts w:ascii="Arial" w:hAnsi="Arial" w:cs="Arial"/>
          <w:b/>
          <w:bCs/>
        </w:rPr>
        <w:t xml:space="preserve">85 Legal proceedings in respect of bets </w:t>
      </w:r>
    </w:p>
    <w:p w:rsidR="00426776" w:rsidRDefault="00426776" w:rsidP="00A20B0E">
      <w:pPr>
        <w:spacing w:after="200"/>
        <w:ind w:left="567"/>
        <w:jc w:val="both"/>
        <w:rPr>
          <w:rFonts w:ascii="Arial" w:hAnsi="Arial" w:cs="Arial"/>
        </w:rPr>
      </w:pPr>
      <w:r w:rsidRPr="00426776">
        <w:rPr>
          <w:rFonts w:ascii="Arial" w:hAnsi="Arial" w:cs="Arial"/>
        </w:rPr>
        <w:t xml:space="preserve">(1A) </w:t>
      </w:r>
      <w:proofErr w:type="gramStart"/>
      <w:r w:rsidRPr="00426776">
        <w:rPr>
          <w:rFonts w:ascii="Arial" w:hAnsi="Arial" w:cs="Arial"/>
        </w:rPr>
        <w:t>For</w:t>
      </w:r>
      <w:proofErr w:type="gramEnd"/>
      <w:r w:rsidRPr="00426776">
        <w:rPr>
          <w:rFonts w:ascii="Arial" w:hAnsi="Arial" w:cs="Arial"/>
        </w:rPr>
        <w:t xml:space="preserve"> the purposes of this section, a bet is not lawful if it is declared by the Commission, after an investigation in accordance with this section, to be not lawful. </w:t>
      </w:r>
    </w:p>
    <w:p w:rsidR="00426776" w:rsidRDefault="00426776" w:rsidP="00A20B0E">
      <w:pPr>
        <w:spacing w:after="200"/>
        <w:ind w:left="567"/>
        <w:jc w:val="both"/>
        <w:rPr>
          <w:rFonts w:ascii="Arial" w:hAnsi="Arial" w:cs="Arial"/>
        </w:rPr>
      </w:pPr>
      <w:r w:rsidRPr="00426776">
        <w:rPr>
          <w:rFonts w:ascii="Arial" w:hAnsi="Arial" w:cs="Arial"/>
        </w:rPr>
        <w:t xml:space="preserve">(1) Subject to this section, a person may take proceedings for the recovery of moneys payable on a winning lawful bet, or for the recovery of moneys payable by a </w:t>
      </w:r>
      <w:proofErr w:type="spellStart"/>
      <w:r w:rsidRPr="00426776">
        <w:rPr>
          <w:rFonts w:ascii="Arial" w:hAnsi="Arial" w:cs="Arial"/>
        </w:rPr>
        <w:t>bettor</w:t>
      </w:r>
      <w:proofErr w:type="spellEnd"/>
      <w:r w:rsidRPr="00426776">
        <w:rPr>
          <w:rFonts w:ascii="Arial" w:hAnsi="Arial" w:cs="Arial"/>
        </w:rPr>
        <w:t xml:space="preserve"> on account of a lawful bet made and accepted. </w:t>
      </w:r>
    </w:p>
    <w:p w:rsidR="00426776" w:rsidRDefault="00426776" w:rsidP="00A20B0E">
      <w:pPr>
        <w:spacing w:after="200"/>
        <w:ind w:left="567"/>
        <w:jc w:val="both"/>
        <w:rPr>
          <w:rFonts w:ascii="Arial" w:hAnsi="Arial" w:cs="Arial"/>
        </w:rPr>
      </w:pPr>
      <w:r w:rsidRPr="00426776">
        <w:rPr>
          <w:rFonts w:ascii="Arial" w:hAnsi="Arial" w:cs="Arial"/>
        </w:rPr>
        <w:t xml:space="preserve">(2) Where a dispute relating to lawful betting occurs between a bookmaker and a person, the dispute shall be referred by the bookmaker, and may be referred by the other party to the dispute, to the Commission. </w:t>
      </w:r>
    </w:p>
    <w:p w:rsidR="00426776" w:rsidRDefault="00426776" w:rsidP="00A20B0E">
      <w:pPr>
        <w:spacing w:after="200"/>
        <w:ind w:left="567"/>
        <w:jc w:val="both"/>
        <w:rPr>
          <w:rFonts w:ascii="Arial" w:hAnsi="Arial" w:cs="Arial"/>
        </w:rPr>
      </w:pPr>
      <w:r w:rsidRPr="00426776">
        <w:rPr>
          <w:rFonts w:ascii="Arial" w:hAnsi="Arial" w:cs="Arial"/>
        </w:rPr>
        <w:t xml:space="preserve">(2A) Where it appears to the Commission, on the complaint of a person or of its own motion, that a sporting event (other than a horse race, trotting race or greyhound race) may not have been fairly or lawfully conducted or for any other reason the result of the event, either generally or in relation to a particular bet or class of bets, is not what would be legitimately expected if all steps in the proceedings of the event or the declaration of its result were honestly and fairly conducted or declared, the Commission may declare the event to constitute a dispute for the purposes of this section and declare any person to be a party to the dispute. </w:t>
      </w:r>
    </w:p>
    <w:p w:rsidR="00426776" w:rsidRDefault="00426776" w:rsidP="00A20B0E">
      <w:pPr>
        <w:spacing w:after="200"/>
        <w:ind w:left="567"/>
        <w:jc w:val="both"/>
        <w:rPr>
          <w:rFonts w:ascii="Arial" w:hAnsi="Arial" w:cs="Arial"/>
        </w:rPr>
      </w:pPr>
      <w:r w:rsidRPr="00426776">
        <w:rPr>
          <w:rFonts w:ascii="Arial" w:hAnsi="Arial" w:cs="Arial"/>
        </w:rPr>
        <w:t xml:space="preserve">(3) Where a dispute has been referred under subsection (1) to the Commission or declared under subsection (2A), the Commission may: </w:t>
      </w:r>
    </w:p>
    <w:p w:rsidR="00426776" w:rsidRDefault="00426776" w:rsidP="00A20B0E">
      <w:pPr>
        <w:spacing w:after="200"/>
        <w:ind w:left="567"/>
        <w:jc w:val="both"/>
        <w:rPr>
          <w:rFonts w:ascii="Arial" w:hAnsi="Arial" w:cs="Arial"/>
        </w:rPr>
      </w:pPr>
      <w:r w:rsidRPr="00426776">
        <w:rPr>
          <w:rFonts w:ascii="Arial" w:hAnsi="Arial" w:cs="Arial"/>
        </w:rPr>
        <w:t xml:space="preserve">(a) </w:t>
      </w:r>
      <w:proofErr w:type="gramStart"/>
      <w:r w:rsidRPr="00426776">
        <w:rPr>
          <w:rFonts w:ascii="Arial" w:hAnsi="Arial" w:cs="Arial"/>
        </w:rPr>
        <w:t>summon</w:t>
      </w:r>
      <w:proofErr w:type="gramEnd"/>
      <w:r w:rsidRPr="00426776">
        <w:rPr>
          <w:rFonts w:ascii="Arial" w:hAnsi="Arial" w:cs="Arial"/>
        </w:rPr>
        <w:t xml:space="preserve"> the parties to the dispute to appear and to give evidence before it; </w:t>
      </w:r>
    </w:p>
    <w:p w:rsidR="00426776" w:rsidRDefault="00426776" w:rsidP="00A20B0E">
      <w:pPr>
        <w:spacing w:after="200"/>
        <w:ind w:left="567"/>
        <w:jc w:val="both"/>
        <w:rPr>
          <w:rFonts w:ascii="Arial" w:hAnsi="Arial" w:cs="Arial"/>
        </w:rPr>
      </w:pPr>
      <w:r w:rsidRPr="00426776">
        <w:rPr>
          <w:rFonts w:ascii="Arial" w:hAnsi="Arial" w:cs="Arial"/>
        </w:rPr>
        <w:lastRenderedPageBreak/>
        <w:t xml:space="preserve">(b) </w:t>
      </w:r>
      <w:proofErr w:type="gramStart"/>
      <w:r w:rsidRPr="00426776">
        <w:rPr>
          <w:rFonts w:ascii="Arial" w:hAnsi="Arial" w:cs="Arial"/>
        </w:rPr>
        <w:t>take</w:t>
      </w:r>
      <w:proofErr w:type="gramEnd"/>
      <w:r w:rsidRPr="00426776">
        <w:rPr>
          <w:rFonts w:ascii="Arial" w:hAnsi="Arial" w:cs="Arial"/>
        </w:rPr>
        <w:t xml:space="preserve"> evidence relating to the dispute from other persons; and </w:t>
      </w:r>
    </w:p>
    <w:p w:rsidR="005F53B3" w:rsidRDefault="00426776" w:rsidP="00A20B0E">
      <w:pPr>
        <w:spacing w:after="200"/>
        <w:ind w:left="567"/>
        <w:jc w:val="both"/>
        <w:rPr>
          <w:rFonts w:ascii="Arial" w:hAnsi="Arial" w:cs="Arial"/>
        </w:rPr>
      </w:pPr>
      <w:r w:rsidRPr="00426776">
        <w:rPr>
          <w:rFonts w:ascii="Arial" w:hAnsi="Arial" w:cs="Arial"/>
        </w:rPr>
        <w:t xml:space="preserve">(c) </w:t>
      </w:r>
      <w:proofErr w:type="gramStart"/>
      <w:r w:rsidRPr="00426776">
        <w:rPr>
          <w:rFonts w:ascii="Arial" w:hAnsi="Arial" w:cs="Arial"/>
        </w:rPr>
        <w:t>require</w:t>
      </w:r>
      <w:proofErr w:type="gramEnd"/>
      <w:r w:rsidRPr="00426776">
        <w:rPr>
          <w:rFonts w:ascii="Arial" w:hAnsi="Arial" w:cs="Arial"/>
        </w:rPr>
        <w:t xml:space="preserve"> a party to the dispute to produce any books, accounts, tickets or other documents which, in the opinion of the Commission, ought to be examined in order to determine the dispute. </w:t>
      </w:r>
    </w:p>
    <w:p w:rsidR="005F53B3" w:rsidRDefault="00426776" w:rsidP="00A20B0E">
      <w:pPr>
        <w:spacing w:after="200"/>
        <w:ind w:left="567"/>
        <w:jc w:val="both"/>
        <w:rPr>
          <w:rFonts w:ascii="Arial" w:hAnsi="Arial" w:cs="Arial"/>
        </w:rPr>
      </w:pPr>
      <w:r w:rsidRPr="00426776">
        <w:rPr>
          <w:rFonts w:ascii="Arial" w:hAnsi="Arial" w:cs="Arial"/>
        </w:rPr>
        <w:t xml:space="preserve">(4) The Commission shall hear and determine all disputes referred to it under this section. </w:t>
      </w:r>
    </w:p>
    <w:p w:rsidR="005F53B3" w:rsidRDefault="00426776" w:rsidP="00A20B0E">
      <w:pPr>
        <w:spacing w:after="200"/>
        <w:ind w:left="567"/>
        <w:jc w:val="both"/>
        <w:rPr>
          <w:rFonts w:ascii="Arial" w:hAnsi="Arial" w:cs="Arial"/>
        </w:rPr>
      </w:pPr>
      <w:r w:rsidRPr="00426776">
        <w:rPr>
          <w:rFonts w:ascii="Arial" w:hAnsi="Arial" w:cs="Arial"/>
        </w:rPr>
        <w:t xml:space="preserve">(5) Where a party to a dispute who has been summoned to attend before the Commission fails without reasonable excuse to attend, the Commission shall determine the dispute in favour of the party who attends or, in the case of a dispute declared under subsection (2A), as it thinks fit, including declaring the event void. </w:t>
      </w:r>
    </w:p>
    <w:p w:rsidR="005F53B3" w:rsidRDefault="00426776" w:rsidP="00A20B0E">
      <w:pPr>
        <w:spacing w:after="200"/>
        <w:ind w:left="567"/>
        <w:jc w:val="both"/>
        <w:rPr>
          <w:rFonts w:ascii="Arial" w:hAnsi="Arial" w:cs="Arial"/>
        </w:rPr>
      </w:pPr>
      <w:r w:rsidRPr="00426776">
        <w:rPr>
          <w:rFonts w:ascii="Arial" w:hAnsi="Arial" w:cs="Arial"/>
        </w:rPr>
        <w:t>(6) The determination by the Commission of a dispute referred to it under subsection (1) shall be final and conclusive as to the matter in dispute.</w:t>
      </w:r>
    </w:p>
    <w:p w:rsidR="005F53B3" w:rsidRDefault="00426776" w:rsidP="00A20B0E">
      <w:pPr>
        <w:spacing w:after="200"/>
        <w:ind w:left="567"/>
        <w:jc w:val="both"/>
        <w:rPr>
          <w:rFonts w:ascii="Arial" w:hAnsi="Arial" w:cs="Arial"/>
        </w:rPr>
      </w:pPr>
      <w:r w:rsidRPr="00426776">
        <w:rPr>
          <w:rFonts w:ascii="Arial" w:hAnsi="Arial" w:cs="Arial"/>
        </w:rPr>
        <w:t xml:space="preserve"> (7) In determining a dispute under this section, the Commission shall not be bound by rules of procedure or evidence but may inform itself of the facts necessary to determine the dispute in such manner as it thinks fit. </w:t>
      </w:r>
    </w:p>
    <w:p w:rsidR="005F53B3" w:rsidRDefault="00426776" w:rsidP="00A20B0E">
      <w:pPr>
        <w:spacing w:after="200"/>
        <w:ind w:left="567"/>
        <w:jc w:val="both"/>
        <w:rPr>
          <w:rFonts w:ascii="Arial" w:hAnsi="Arial" w:cs="Arial"/>
          <w:b/>
          <w:bCs/>
        </w:rPr>
      </w:pPr>
      <w:r w:rsidRPr="00426776">
        <w:rPr>
          <w:rFonts w:ascii="Arial" w:hAnsi="Arial" w:cs="Arial"/>
          <w:b/>
          <w:bCs/>
        </w:rPr>
        <w:t>87 Liability of bookmakers' employees</w:t>
      </w:r>
    </w:p>
    <w:p w:rsidR="005F53B3" w:rsidRDefault="00426776" w:rsidP="00A20B0E">
      <w:pPr>
        <w:spacing w:after="200"/>
        <w:ind w:left="567"/>
        <w:jc w:val="both"/>
        <w:rPr>
          <w:rFonts w:ascii="Arial" w:hAnsi="Arial" w:cs="Arial"/>
        </w:rPr>
      </w:pPr>
      <w:r w:rsidRPr="00426776">
        <w:rPr>
          <w:rFonts w:ascii="Arial" w:hAnsi="Arial" w:cs="Arial"/>
          <w:b/>
          <w:bCs/>
        </w:rPr>
        <w:t xml:space="preserve"> </w:t>
      </w:r>
      <w:r w:rsidRPr="00426776">
        <w:rPr>
          <w:rFonts w:ascii="Arial" w:hAnsi="Arial" w:cs="Arial"/>
        </w:rPr>
        <w:t xml:space="preserve">(1) Where an employee of a bookmaker, by act or omission related to the business of the bookmaker, commits an offence against this Act, the bookmaker and the employee shall be severally liable in respect of the offence. </w:t>
      </w:r>
    </w:p>
    <w:p w:rsidR="00426776" w:rsidRPr="00426776" w:rsidRDefault="00426776" w:rsidP="00A20B0E">
      <w:pPr>
        <w:spacing w:after="200"/>
        <w:ind w:left="567"/>
        <w:jc w:val="both"/>
        <w:rPr>
          <w:rFonts w:ascii="Arial" w:eastAsiaTheme="minorHAnsi" w:hAnsi="Arial" w:cs="Arial"/>
        </w:rPr>
      </w:pPr>
      <w:r w:rsidRPr="00426776">
        <w:rPr>
          <w:rFonts w:ascii="Arial" w:hAnsi="Arial" w:cs="Arial"/>
        </w:rPr>
        <w:t xml:space="preserve">(2) In a prosecution of a bookmaker for an offence against this Act for an act or omission of his employee, it is not a defence: (a) that the bookmaker had no knowledge of the act or omission of the employee; or (b) that it was not the intention of the bookmaker that the employee should do the act or make the omission. </w:t>
      </w:r>
    </w:p>
    <w:p w:rsidR="00803403" w:rsidRPr="008E5F56" w:rsidRDefault="00803403" w:rsidP="00313A54">
      <w:pPr>
        <w:pStyle w:val="Heading2"/>
        <w:spacing w:before="480" w:line="360" w:lineRule="auto"/>
        <w:rPr>
          <w:rFonts w:cs="Arial"/>
        </w:rPr>
      </w:pPr>
      <w:r>
        <w:rPr>
          <w:rFonts w:cs="Arial"/>
        </w:rPr>
        <w:t>Decision</w:t>
      </w:r>
    </w:p>
    <w:p w:rsidR="0075037C" w:rsidRDefault="005F53B3" w:rsidP="003B66B1">
      <w:pPr>
        <w:pStyle w:val="ListParagraph"/>
        <w:numPr>
          <w:ilvl w:val="0"/>
          <w:numId w:val="27"/>
        </w:numPr>
        <w:spacing w:after="200"/>
        <w:jc w:val="both"/>
        <w:rPr>
          <w:rFonts w:ascii="Arial" w:hAnsi="Arial" w:cs="Arial"/>
        </w:rPr>
      </w:pPr>
      <w:r w:rsidRPr="0075037C">
        <w:rPr>
          <w:rFonts w:ascii="Arial" w:hAnsi="Arial" w:cs="Arial"/>
        </w:rPr>
        <w:t xml:space="preserve">On the evidence before the Racing Commission </w:t>
      </w:r>
      <w:r w:rsidR="0075037C" w:rsidRPr="0075037C">
        <w:rPr>
          <w:rFonts w:ascii="Arial" w:hAnsi="Arial" w:cs="Arial"/>
        </w:rPr>
        <w:t>we do not consider that Betfair has breached its responsibilities in relation to the NT Code of Practice for Responsible Gambling</w:t>
      </w:r>
    </w:p>
    <w:p w:rsidR="00803403" w:rsidRPr="0075037C" w:rsidRDefault="0075037C" w:rsidP="003B66B1">
      <w:pPr>
        <w:pStyle w:val="ListParagraph"/>
        <w:numPr>
          <w:ilvl w:val="0"/>
          <w:numId w:val="27"/>
        </w:numPr>
        <w:spacing w:after="200"/>
        <w:jc w:val="both"/>
        <w:rPr>
          <w:rFonts w:ascii="Arial" w:hAnsi="Arial" w:cs="Arial"/>
        </w:rPr>
      </w:pPr>
      <w:r w:rsidRPr="0075037C">
        <w:rPr>
          <w:rFonts w:ascii="Arial" w:hAnsi="Arial" w:cs="Arial"/>
        </w:rPr>
        <w:t xml:space="preserve">It follows that we also do not consider that Betfair has breached </w:t>
      </w:r>
      <w:r>
        <w:rPr>
          <w:rFonts w:ascii="Arial" w:hAnsi="Arial" w:cs="Arial"/>
        </w:rPr>
        <w:t>any of their Licence   conditions</w:t>
      </w:r>
      <w:r w:rsidRPr="0075037C">
        <w:rPr>
          <w:rFonts w:ascii="Arial" w:hAnsi="Arial" w:cs="Arial"/>
        </w:rPr>
        <w:t xml:space="preserve"> </w:t>
      </w:r>
    </w:p>
    <w:p w:rsidR="00313A54" w:rsidRDefault="00313A54" w:rsidP="00F0444B">
      <w:pPr>
        <w:pStyle w:val="ListParagraph"/>
        <w:ind w:left="425"/>
        <w:jc w:val="both"/>
        <w:rPr>
          <w:rFonts w:ascii="Arial" w:hAnsi="Arial" w:cs="Arial"/>
          <w:b/>
        </w:rPr>
      </w:pPr>
    </w:p>
    <w:p w:rsidR="00F0444B" w:rsidRDefault="00F0444B" w:rsidP="00F0444B">
      <w:pPr>
        <w:pStyle w:val="ListParagraph"/>
        <w:ind w:left="425"/>
        <w:jc w:val="both"/>
        <w:rPr>
          <w:rFonts w:ascii="Arial" w:hAnsi="Arial" w:cs="Arial"/>
          <w:b/>
        </w:rPr>
      </w:pPr>
    </w:p>
    <w:p w:rsidR="00F0444B" w:rsidRPr="0075037C" w:rsidRDefault="00F0444B" w:rsidP="00F0444B">
      <w:pPr>
        <w:pStyle w:val="ListParagraph"/>
        <w:ind w:left="425"/>
        <w:jc w:val="both"/>
        <w:rPr>
          <w:rFonts w:ascii="Arial" w:hAnsi="Arial" w:cs="Arial"/>
          <w:b/>
        </w:rPr>
      </w:pPr>
    </w:p>
    <w:p w:rsidR="008E5F56" w:rsidRDefault="008E5F56" w:rsidP="00F0444B">
      <w:pPr>
        <w:ind w:left="425" w:hanging="426"/>
        <w:jc w:val="both"/>
        <w:rPr>
          <w:rFonts w:ascii="Arial" w:hAnsi="Arial" w:cs="Arial"/>
          <w:b/>
        </w:rPr>
      </w:pPr>
    </w:p>
    <w:p w:rsidR="002C6BB7" w:rsidRPr="008A3BDA" w:rsidRDefault="008A3BDA" w:rsidP="008E5F56">
      <w:pPr>
        <w:spacing w:line="240" w:lineRule="atLeast"/>
        <w:ind w:left="426" w:hanging="426"/>
        <w:jc w:val="both"/>
        <w:rPr>
          <w:rFonts w:ascii="Arial" w:hAnsi="Arial" w:cs="Arial"/>
          <w:b/>
        </w:rPr>
      </w:pPr>
      <w:r>
        <w:rPr>
          <w:rFonts w:ascii="Arial" w:hAnsi="Arial" w:cs="Arial"/>
          <w:b/>
        </w:rPr>
        <w:t>Andrew Maloney</w:t>
      </w:r>
    </w:p>
    <w:p w:rsidR="002C6BB7" w:rsidRPr="008A3BDA" w:rsidRDefault="00A3148D" w:rsidP="008E5F56">
      <w:pPr>
        <w:ind w:left="426" w:hanging="426"/>
        <w:jc w:val="both"/>
        <w:rPr>
          <w:rFonts w:ascii="Arial" w:hAnsi="Arial" w:cs="Arial"/>
        </w:rPr>
      </w:pPr>
      <w:r w:rsidRPr="008A3BDA">
        <w:rPr>
          <w:rFonts w:ascii="Arial" w:hAnsi="Arial" w:cs="Arial"/>
        </w:rPr>
        <w:t>Presiding Member</w:t>
      </w:r>
    </w:p>
    <w:p w:rsidR="008E5F56" w:rsidRPr="008A3BDA" w:rsidRDefault="008E5F56" w:rsidP="008E5F56">
      <w:pPr>
        <w:spacing w:line="240" w:lineRule="atLeast"/>
        <w:jc w:val="both"/>
        <w:rPr>
          <w:rFonts w:ascii="Arial" w:hAnsi="Arial" w:cs="Arial"/>
        </w:rPr>
      </w:pPr>
      <w:r w:rsidRPr="008A3BDA">
        <w:rPr>
          <w:rFonts w:ascii="Arial" w:hAnsi="Arial" w:cs="Arial"/>
        </w:rPr>
        <w:t>Racing Commission</w:t>
      </w:r>
    </w:p>
    <w:p w:rsidR="008E5F56" w:rsidRPr="008A3BDA" w:rsidRDefault="008E5F56" w:rsidP="008E5F56">
      <w:pPr>
        <w:spacing w:line="240" w:lineRule="atLeast"/>
        <w:ind w:left="426" w:hanging="426"/>
        <w:jc w:val="both"/>
        <w:rPr>
          <w:rFonts w:ascii="Arial" w:hAnsi="Arial" w:cs="Arial"/>
        </w:rPr>
      </w:pPr>
    </w:p>
    <w:p w:rsidR="008707D3" w:rsidRPr="008E5F56" w:rsidRDefault="00E41FCE" w:rsidP="00F0444B">
      <w:pPr>
        <w:spacing w:line="240" w:lineRule="atLeast"/>
        <w:ind w:left="426" w:hanging="426"/>
        <w:jc w:val="both"/>
        <w:rPr>
          <w:rFonts w:ascii="Arial" w:hAnsi="Arial" w:cs="Arial"/>
        </w:rPr>
      </w:pPr>
      <w:r>
        <w:rPr>
          <w:rFonts w:ascii="Arial" w:hAnsi="Arial" w:cs="Arial"/>
        </w:rPr>
        <w:t>30</w:t>
      </w:r>
      <w:r w:rsidR="00F0444B">
        <w:rPr>
          <w:rFonts w:ascii="Arial" w:hAnsi="Arial" w:cs="Arial"/>
        </w:rPr>
        <w:t xml:space="preserve"> January 2018</w:t>
      </w:r>
    </w:p>
    <w:sectPr w:rsidR="008707D3" w:rsidRPr="008E5F56" w:rsidSect="00313A54">
      <w:headerReference w:type="even" r:id="rId8"/>
      <w:headerReference w:type="default" r:id="rId9"/>
      <w:headerReference w:type="first" r:id="rId10"/>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ABF" w:rsidRDefault="003C6ABF">
      <w:r>
        <w:separator/>
      </w:r>
    </w:p>
  </w:endnote>
  <w:endnote w:type="continuationSeparator" w:id="0">
    <w:p w:rsidR="003C6ABF" w:rsidRDefault="003C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ABF" w:rsidRDefault="003C6ABF">
      <w:r>
        <w:separator/>
      </w:r>
    </w:p>
  </w:footnote>
  <w:footnote w:type="continuationSeparator" w:id="0">
    <w:p w:rsidR="003C6ABF" w:rsidRDefault="003C6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377488">
          <w:rPr>
            <w:rFonts w:ascii="Arial" w:hAnsi="Arial" w:cs="Arial"/>
            <w:noProof/>
          </w:rPr>
          <w:t>2</w:t>
        </w:r>
        <w:r w:rsidRPr="00614B00">
          <w:rPr>
            <w:rFonts w:ascii="Arial" w:hAnsi="Arial" w:cs="Arial"/>
            <w:noProof/>
          </w:rPr>
          <w:fldChar w:fldCharType="end"/>
        </w:r>
      </w:p>
    </w:sdtContent>
  </w:sdt>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56" w:rsidRDefault="008E5F56" w:rsidP="003B38E2">
    <w:pPr>
      <w:jc w:val="center"/>
      <w:rPr>
        <w:rFonts w:ascii="Arial" w:hAnsi="Arial"/>
        <w:b/>
        <w:sz w:val="32"/>
      </w:rPr>
    </w:pPr>
  </w:p>
  <w:p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2" w15:restartNumberingAfterBreak="0">
    <w:nsid w:val="60A44946"/>
    <w:multiLevelType w:val="hybridMultilevel"/>
    <w:tmpl w:val="95E4DAE4"/>
    <w:lvl w:ilvl="0" w:tplc="00BC65C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15:restartNumberingAfterBreak="0">
    <w:nsid w:val="761C62AB"/>
    <w:multiLevelType w:val="hybridMultilevel"/>
    <w:tmpl w:val="B76A013A"/>
    <w:lvl w:ilvl="0" w:tplc="D80CC1D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6"/>
  </w:num>
  <w:num w:numId="5">
    <w:abstractNumId w:val="20"/>
  </w:num>
  <w:num w:numId="6">
    <w:abstractNumId w:val="24"/>
  </w:num>
  <w:num w:numId="7">
    <w:abstractNumId w:val="17"/>
  </w:num>
  <w:num w:numId="8">
    <w:abstractNumId w:val="0"/>
  </w:num>
  <w:num w:numId="9">
    <w:abstractNumId w:val="26"/>
  </w:num>
  <w:num w:numId="10">
    <w:abstractNumId w:val="16"/>
  </w:num>
  <w:num w:numId="11">
    <w:abstractNumId w:val="2"/>
  </w:num>
  <w:num w:numId="12">
    <w:abstractNumId w:val="3"/>
  </w:num>
  <w:num w:numId="13">
    <w:abstractNumId w:val="15"/>
  </w:num>
  <w:num w:numId="14">
    <w:abstractNumId w:val="18"/>
  </w:num>
  <w:num w:numId="15">
    <w:abstractNumId w:val="1"/>
  </w:num>
  <w:num w:numId="16">
    <w:abstractNumId w:val="12"/>
  </w:num>
  <w:num w:numId="17">
    <w:abstractNumId w:val="4"/>
  </w:num>
  <w:num w:numId="18">
    <w:abstractNumId w:val="5"/>
  </w:num>
  <w:num w:numId="19">
    <w:abstractNumId w:val="19"/>
  </w:num>
  <w:num w:numId="20">
    <w:abstractNumId w:val="23"/>
  </w:num>
  <w:num w:numId="21">
    <w:abstractNumId w:val="9"/>
  </w:num>
  <w:num w:numId="22">
    <w:abstractNumId w:val="29"/>
  </w:num>
  <w:num w:numId="23">
    <w:abstractNumId w:val="28"/>
  </w:num>
  <w:num w:numId="24">
    <w:abstractNumId w:val="25"/>
  </w:num>
  <w:num w:numId="25">
    <w:abstractNumId w:val="14"/>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35446"/>
    <w:rsid w:val="00043F15"/>
    <w:rsid w:val="00055A44"/>
    <w:rsid w:val="00060698"/>
    <w:rsid w:val="0006656F"/>
    <w:rsid w:val="000716C2"/>
    <w:rsid w:val="000808B9"/>
    <w:rsid w:val="00082CE5"/>
    <w:rsid w:val="00091732"/>
    <w:rsid w:val="000A71E5"/>
    <w:rsid w:val="000B14FD"/>
    <w:rsid w:val="000E1540"/>
    <w:rsid w:val="00102517"/>
    <w:rsid w:val="001106D6"/>
    <w:rsid w:val="0012027A"/>
    <w:rsid w:val="00126EF4"/>
    <w:rsid w:val="0012714B"/>
    <w:rsid w:val="001304C4"/>
    <w:rsid w:val="00140933"/>
    <w:rsid w:val="001444A8"/>
    <w:rsid w:val="00180CE5"/>
    <w:rsid w:val="00184F2E"/>
    <w:rsid w:val="00192903"/>
    <w:rsid w:val="001C03C0"/>
    <w:rsid w:val="001D6307"/>
    <w:rsid w:val="001D6966"/>
    <w:rsid w:val="001F335D"/>
    <w:rsid w:val="00203D7E"/>
    <w:rsid w:val="00204481"/>
    <w:rsid w:val="00206E6E"/>
    <w:rsid w:val="002339C1"/>
    <w:rsid w:val="00254409"/>
    <w:rsid w:val="00254D9A"/>
    <w:rsid w:val="00262155"/>
    <w:rsid w:val="00277AE9"/>
    <w:rsid w:val="002A25AA"/>
    <w:rsid w:val="002A6C80"/>
    <w:rsid w:val="002B6BBF"/>
    <w:rsid w:val="002C0774"/>
    <w:rsid w:val="002C46C5"/>
    <w:rsid w:val="002C6BB7"/>
    <w:rsid w:val="002E6113"/>
    <w:rsid w:val="002F03D5"/>
    <w:rsid w:val="002F0E22"/>
    <w:rsid w:val="002F720B"/>
    <w:rsid w:val="00311798"/>
    <w:rsid w:val="00313A54"/>
    <w:rsid w:val="00320DA3"/>
    <w:rsid w:val="00334303"/>
    <w:rsid w:val="0033470A"/>
    <w:rsid w:val="00340E1B"/>
    <w:rsid w:val="00341AC5"/>
    <w:rsid w:val="003502BB"/>
    <w:rsid w:val="00352D6D"/>
    <w:rsid w:val="00355227"/>
    <w:rsid w:val="00355742"/>
    <w:rsid w:val="00357B7A"/>
    <w:rsid w:val="00377488"/>
    <w:rsid w:val="0039542A"/>
    <w:rsid w:val="003A37FE"/>
    <w:rsid w:val="003A3E83"/>
    <w:rsid w:val="003B38E2"/>
    <w:rsid w:val="003B3C8B"/>
    <w:rsid w:val="003B4D19"/>
    <w:rsid w:val="003C2416"/>
    <w:rsid w:val="003C4E27"/>
    <w:rsid w:val="003C6ABF"/>
    <w:rsid w:val="003E3710"/>
    <w:rsid w:val="003E4F8E"/>
    <w:rsid w:val="003E507B"/>
    <w:rsid w:val="003F0044"/>
    <w:rsid w:val="003F35EB"/>
    <w:rsid w:val="003F7E8F"/>
    <w:rsid w:val="004028ED"/>
    <w:rsid w:val="00403E6D"/>
    <w:rsid w:val="004124E8"/>
    <w:rsid w:val="00423AFA"/>
    <w:rsid w:val="0042631D"/>
    <w:rsid w:val="00426776"/>
    <w:rsid w:val="00454068"/>
    <w:rsid w:val="0046051B"/>
    <w:rsid w:val="004717FF"/>
    <w:rsid w:val="00480975"/>
    <w:rsid w:val="004B422E"/>
    <w:rsid w:val="004D373A"/>
    <w:rsid w:val="004F33F5"/>
    <w:rsid w:val="00511172"/>
    <w:rsid w:val="00517D0F"/>
    <w:rsid w:val="005223B7"/>
    <w:rsid w:val="00530C3A"/>
    <w:rsid w:val="00532A8E"/>
    <w:rsid w:val="00550AC8"/>
    <w:rsid w:val="005717A0"/>
    <w:rsid w:val="00574968"/>
    <w:rsid w:val="0058576F"/>
    <w:rsid w:val="005A5E6A"/>
    <w:rsid w:val="005C38DC"/>
    <w:rsid w:val="005C403D"/>
    <w:rsid w:val="005D116B"/>
    <w:rsid w:val="005D5F2F"/>
    <w:rsid w:val="005F1D75"/>
    <w:rsid w:val="005F53B3"/>
    <w:rsid w:val="005F725E"/>
    <w:rsid w:val="00612471"/>
    <w:rsid w:val="00614B00"/>
    <w:rsid w:val="00615992"/>
    <w:rsid w:val="00624E09"/>
    <w:rsid w:val="0063050D"/>
    <w:rsid w:val="00633D51"/>
    <w:rsid w:val="00634062"/>
    <w:rsid w:val="006427F2"/>
    <w:rsid w:val="00682899"/>
    <w:rsid w:val="00682C3C"/>
    <w:rsid w:val="00692EF5"/>
    <w:rsid w:val="006A7AED"/>
    <w:rsid w:val="006D06D6"/>
    <w:rsid w:val="007010AC"/>
    <w:rsid w:val="007046C6"/>
    <w:rsid w:val="00712274"/>
    <w:rsid w:val="00712415"/>
    <w:rsid w:val="00720AD8"/>
    <w:rsid w:val="00722665"/>
    <w:rsid w:val="00735AB3"/>
    <w:rsid w:val="00741C28"/>
    <w:rsid w:val="00742D00"/>
    <w:rsid w:val="0075037C"/>
    <w:rsid w:val="00762E40"/>
    <w:rsid w:val="007635FA"/>
    <w:rsid w:val="00763830"/>
    <w:rsid w:val="00770B78"/>
    <w:rsid w:val="00792389"/>
    <w:rsid w:val="007B0F27"/>
    <w:rsid w:val="007D15A0"/>
    <w:rsid w:val="007E7020"/>
    <w:rsid w:val="00803403"/>
    <w:rsid w:val="008132FB"/>
    <w:rsid w:val="00817FA8"/>
    <w:rsid w:val="00821B56"/>
    <w:rsid w:val="00824D04"/>
    <w:rsid w:val="00851D26"/>
    <w:rsid w:val="00861250"/>
    <w:rsid w:val="008707D3"/>
    <w:rsid w:val="008968EA"/>
    <w:rsid w:val="008A3BDA"/>
    <w:rsid w:val="008D5E6F"/>
    <w:rsid w:val="008D711D"/>
    <w:rsid w:val="008E1DAA"/>
    <w:rsid w:val="008E4D7C"/>
    <w:rsid w:val="008E5F56"/>
    <w:rsid w:val="008F3193"/>
    <w:rsid w:val="00903E87"/>
    <w:rsid w:val="009268BB"/>
    <w:rsid w:val="00933C41"/>
    <w:rsid w:val="0094051B"/>
    <w:rsid w:val="009433BD"/>
    <w:rsid w:val="0094737C"/>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20B0E"/>
    <w:rsid w:val="00A300E9"/>
    <w:rsid w:val="00A3148D"/>
    <w:rsid w:val="00A3395D"/>
    <w:rsid w:val="00A467CA"/>
    <w:rsid w:val="00A520B3"/>
    <w:rsid w:val="00A65CB3"/>
    <w:rsid w:val="00A85362"/>
    <w:rsid w:val="00A86E47"/>
    <w:rsid w:val="00A94982"/>
    <w:rsid w:val="00AA05C2"/>
    <w:rsid w:val="00AA19E5"/>
    <w:rsid w:val="00AA1AD2"/>
    <w:rsid w:val="00AB4D34"/>
    <w:rsid w:val="00AC6516"/>
    <w:rsid w:val="00AD0566"/>
    <w:rsid w:val="00AD7B16"/>
    <w:rsid w:val="00AE3ED6"/>
    <w:rsid w:val="00AF4879"/>
    <w:rsid w:val="00B00073"/>
    <w:rsid w:val="00B04326"/>
    <w:rsid w:val="00B502C4"/>
    <w:rsid w:val="00B50B06"/>
    <w:rsid w:val="00B60D8B"/>
    <w:rsid w:val="00B760BD"/>
    <w:rsid w:val="00B92758"/>
    <w:rsid w:val="00BC79A2"/>
    <w:rsid w:val="00BD3B4B"/>
    <w:rsid w:val="00BD67DF"/>
    <w:rsid w:val="00BE3A88"/>
    <w:rsid w:val="00C02779"/>
    <w:rsid w:val="00C300AF"/>
    <w:rsid w:val="00C32F2B"/>
    <w:rsid w:val="00C35C66"/>
    <w:rsid w:val="00C5025D"/>
    <w:rsid w:val="00C5070C"/>
    <w:rsid w:val="00C735CA"/>
    <w:rsid w:val="00C817B3"/>
    <w:rsid w:val="00C90498"/>
    <w:rsid w:val="00C921AB"/>
    <w:rsid w:val="00C929B3"/>
    <w:rsid w:val="00CA530C"/>
    <w:rsid w:val="00CA53CE"/>
    <w:rsid w:val="00CB1FB5"/>
    <w:rsid w:val="00CB49CF"/>
    <w:rsid w:val="00CC1E53"/>
    <w:rsid w:val="00CE6D02"/>
    <w:rsid w:val="00CF2AE7"/>
    <w:rsid w:val="00CF3964"/>
    <w:rsid w:val="00CF6AE3"/>
    <w:rsid w:val="00D01945"/>
    <w:rsid w:val="00D07B98"/>
    <w:rsid w:val="00D1617A"/>
    <w:rsid w:val="00D54C0A"/>
    <w:rsid w:val="00D76980"/>
    <w:rsid w:val="00D81BCB"/>
    <w:rsid w:val="00DA37E9"/>
    <w:rsid w:val="00DB64C1"/>
    <w:rsid w:val="00DB77E4"/>
    <w:rsid w:val="00DC6365"/>
    <w:rsid w:val="00DE0C6D"/>
    <w:rsid w:val="00E0130B"/>
    <w:rsid w:val="00E023C4"/>
    <w:rsid w:val="00E05510"/>
    <w:rsid w:val="00E05D93"/>
    <w:rsid w:val="00E30D0A"/>
    <w:rsid w:val="00E41FCE"/>
    <w:rsid w:val="00E64F46"/>
    <w:rsid w:val="00E70BF8"/>
    <w:rsid w:val="00E735FB"/>
    <w:rsid w:val="00E95BC9"/>
    <w:rsid w:val="00EA2275"/>
    <w:rsid w:val="00EA4770"/>
    <w:rsid w:val="00EA606F"/>
    <w:rsid w:val="00EA65EF"/>
    <w:rsid w:val="00EB0E4C"/>
    <w:rsid w:val="00ED6AC5"/>
    <w:rsid w:val="00EF3278"/>
    <w:rsid w:val="00EF7574"/>
    <w:rsid w:val="00F0254E"/>
    <w:rsid w:val="00F0444B"/>
    <w:rsid w:val="00F06E17"/>
    <w:rsid w:val="00F11069"/>
    <w:rsid w:val="00F27918"/>
    <w:rsid w:val="00F74D1D"/>
    <w:rsid w:val="00F914E2"/>
    <w:rsid w:val="00F94AEF"/>
    <w:rsid w:val="00F94C5D"/>
    <w:rsid w:val="00FA095C"/>
    <w:rsid w:val="00FA2249"/>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D3DF-64A1-495F-999C-1F0EC6F2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TSmart</dc:creator>
  <cp:lastModifiedBy>Louise Ranger</cp:lastModifiedBy>
  <cp:revision>3</cp:revision>
  <cp:lastPrinted>2018-01-23T00:46:00Z</cp:lastPrinted>
  <dcterms:created xsi:type="dcterms:W3CDTF">2018-01-29T02:11:00Z</dcterms:created>
  <dcterms:modified xsi:type="dcterms:W3CDTF">2018-01-29T02:11:00Z</dcterms:modified>
</cp:coreProperties>
</file>