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5498396F" w:rsidR="00DB64C1" w:rsidRPr="00EE7C53"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A86E47">
        <w:rPr>
          <w:rFonts w:ascii="Arial" w:hAnsi="Arial"/>
          <w:b/>
          <w:szCs w:val="20"/>
        </w:rPr>
        <w:t>/Applicant</w:t>
      </w:r>
      <w:r w:rsidR="00DB64C1">
        <w:rPr>
          <w:rFonts w:ascii="Arial" w:hAnsi="Arial"/>
          <w:b/>
          <w:szCs w:val="20"/>
        </w:rPr>
        <w:t>:</w:t>
      </w:r>
      <w:r w:rsidR="00DB64C1">
        <w:rPr>
          <w:rFonts w:ascii="Arial" w:hAnsi="Arial"/>
          <w:b/>
          <w:szCs w:val="20"/>
        </w:rPr>
        <w:tab/>
      </w:r>
      <w:r w:rsidR="00EE7C53">
        <w:rPr>
          <w:rFonts w:ascii="Arial" w:hAnsi="Arial"/>
          <w:szCs w:val="20"/>
        </w:rPr>
        <w:t xml:space="preserve">Mr </w:t>
      </w:r>
      <w:r w:rsidR="00EB0C58">
        <w:rPr>
          <w:rFonts w:ascii="Arial" w:hAnsi="Arial"/>
          <w:szCs w:val="20"/>
        </w:rPr>
        <w:t>U</w:t>
      </w:r>
    </w:p>
    <w:p w14:paraId="71DEE592" w14:textId="6DFF4F46"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EE7C53" w:rsidRPr="00EE7C53">
        <w:rPr>
          <w:rFonts w:ascii="Arial" w:hAnsi="Arial" w:cs="Arial"/>
          <w:lang w:val="en-GB"/>
        </w:rPr>
        <w:t>William Hill Australia</w:t>
      </w:r>
    </w:p>
    <w:p w14:paraId="0F1A14B8" w14:textId="71CBB428"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8E5F56" w:rsidRPr="005463CA">
        <w:rPr>
          <w:rFonts w:ascii="Arial" w:hAnsi="Arial" w:cs="Arial"/>
        </w:rPr>
        <w:t>Pursu</w:t>
      </w:r>
      <w:r w:rsidR="008E5F56">
        <w:rPr>
          <w:rFonts w:ascii="Arial" w:hAnsi="Arial" w:cs="Arial"/>
        </w:rPr>
        <w:t>ant t</w:t>
      </w:r>
      <w:r w:rsidR="008E5F56" w:rsidRPr="005463CA">
        <w:rPr>
          <w:rFonts w:ascii="Arial" w:hAnsi="Arial" w:cs="Arial"/>
        </w:rPr>
        <w:t>o Section</w:t>
      </w:r>
      <w:r w:rsidR="003E4F8E">
        <w:rPr>
          <w:rFonts w:ascii="Arial" w:hAnsi="Arial" w:cs="Arial"/>
        </w:rPr>
        <w:t xml:space="preserve"> </w:t>
      </w:r>
      <w:r w:rsidR="000029F3">
        <w:rPr>
          <w:rFonts w:ascii="Arial" w:hAnsi="Arial" w:cs="Arial"/>
        </w:rPr>
        <w:t xml:space="preserve">85(4) </w:t>
      </w:r>
      <w:r w:rsidR="008E5F56">
        <w:rPr>
          <w:rFonts w:ascii="Arial" w:hAnsi="Arial" w:cs="Arial"/>
        </w:rPr>
        <w:t>o</w:t>
      </w:r>
      <w:r w:rsidR="008E5F56" w:rsidRPr="005463CA">
        <w:rPr>
          <w:rFonts w:ascii="Arial" w:hAnsi="Arial" w:cs="Arial"/>
        </w:rPr>
        <w:t xml:space="preserve">f </w:t>
      </w:r>
      <w:r w:rsidR="008E5F56">
        <w:rPr>
          <w:rFonts w:ascii="Arial" w:hAnsi="Arial" w:cs="Arial"/>
        </w:rPr>
        <w:t>t</w:t>
      </w:r>
      <w:r w:rsidR="008E5F56" w:rsidRPr="005463CA">
        <w:rPr>
          <w:rFonts w:ascii="Arial" w:hAnsi="Arial" w:cs="Arial"/>
        </w:rPr>
        <w:t xml:space="preserve">he </w:t>
      </w:r>
      <w:r w:rsidR="008E5F56">
        <w:rPr>
          <w:rFonts w:ascii="Arial" w:hAnsi="Arial" w:cs="Arial"/>
          <w:i/>
        </w:rPr>
        <w:t>Racing a</w:t>
      </w:r>
      <w:r w:rsidR="008E5F56" w:rsidRPr="005463CA">
        <w:rPr>
          <w:rFonts w:ascii="Arial" w:hAnsi="Arial" w:cs="Arial"/>
          <w:i/>
        </w:rPr>
        <w:t xml:space="preserve">nd Betting </w:t>
      </w:r>
      <w:r w:rsidR="008E5F56">
        <w:rPr>
          <w:rFonts w:ascii="Arial" w:hAnsi="Arial" w:cs="Arial"/>
          <w:i/>
        </w:rPr>
        <w:t>Act</w:t>
      </w:r>
      <w:r w:rsidR="008E5F56" w:rsidRPr="005463CA">
        <w:rPr>
          <w:rFonts w:ascii="Arial" w:hAnsi="Arial" w:cs="Arial"/>
        </w:rPr>
        <w:t xml:space="preserve"> –</w:t>
      </w:r>
      <w:r w:rsidR="000716C2">
        <w:rPr>
          <w:rFonts w:ascii="Arial" w:hAnsi="Arial" w:cs="Arial"/>
        </w:rPr>
        <w:t xml:space="preserve"> </w:t>
      </w:r>
      <w:r w:rsidR="000716C2">
        <w:rPr>
          <w:rFonts w:ascii="Arial" w:hAnsi="Arial" w:cs="Arial"/>
        </w:rPr>
        <w:br/>
      </w:r>
      <w:r w:rsidR="000029F3">
        <w:rPr>
          <w:rFonts w:ascii="Arial" w:hAnsi="Arial" w:cs="Arial"/>
        </w:rPr>
        <w:t>Referral of Dispute to Racing Commission for Determination</w:t>
      </w:r>
    </w:p>
    <w:p w14:paraId="769981ED" w14:textId="05CAF18C" w:rsidR="003E4F8E" w:rsidRPr="00055A44" w:rsidRDefault="003B38E2" w:rsidP="008E5F56">
      <w:pPr>
        <w:ind w:left="2835" w:hanging="2835"/>
        <w:rPr>
          <w:rFonts w:ascii="Arial" w:hAnsi="Arial" w:cs="Arial"/>
          <w:highlight w:val="yellow"/>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0029F3" w:rsidRPr="002412DB">
        <w:rPr>
          <w:rFonts w:ascii="Arial" w:hAnsi="Arial" w:cs="Arial"/>
          <w:lang w:val="en-GB"/>
        </w:rPr>
        <w:t>John Boneham</w:t>
      </w:r>
      <w:r w:rsidR="000716C2" w:rsidRPr="002412DB">
        <w:rPr>
          <w:rFonts w:ascii="Arial" w:hAnsi="Arial" w:cs="Arial"/>
          <w:lang w:val="en-GB"/>
        </w:rPr>
        <w:t xml:space="preserve"> (Presiding Member)</w:t>
      </w:r>
    </w:p>
    <w:p w14:paraId="7A1A4BF1" w14:textId="5C24C44D" w:rsidR="008E5F56" w:rsidRDefault="00DB64C1" w:rsidP="008E5F56">
      <w:pPr>
        <w:ind w:left="2835" w:hanging="2835"/>
        <w:rPr>
          <w:rFonts w:ascii="Arial" w:hAnsi="Arial" w:cs="Arial"/>
        </w:rPr>
      </w:pPr>
      <w:r w:rsidRPr="00055A44">
        <w:rPr>
          <w:rFonts w:ascii="Arial" w:hAnsi="Arial" w:cs="Arial"/>
          <w:b/>
        </w:rPr>
        <w:t>(on papers)</w:t>
      </w:r>
      <w:r w:rsidR="003E4F8E" w:rsidRPr="00055A44">
        <w:rPr>
          <w:rFonts w:ascii="Arial" w:hAnsi="Arial" w:cs="Arial"/>
          <w:b/>
        </w:rPr>
        <w:tab/>
      </w:r>
      <w:r w:rsidR="000029F3">
        <w:rPr>
          <w:rFonts w:ascii="Arial" w:hAnsi="Arial" w:cs="Arial"/>
        </w:rPr>
        <w:t>Jim McNally</w:t>
      </w:r>
    </w:p>
    <w:p w14:paraId="5DE05DA7" w14:textId="09A5A8B1" w:rsidR="003E4F8E" w:rsidRPr="003E4F8E" w:rsidRDefault="003E4F8E" w:rsidP="008E5F56">
      <w:pPr>
        <w:ind w:left="2835" w:hanging="2835"/>
        <w:rPr>
          <w:rFonts w:ascii="Arial" w:hAnsi="Arial" w:cs="Arial"/>
        </w:rPr>
      </w:pPr>
      <w:r w:rsidRPr="003E4F8E">
        <w:rPr>
          <w:rFonts w:ascii="Arial" w:hAnsi="Arial" w:cs="Arial"/>
        </w:rPr>
        <w:tab/>
      </w:r>
      <w:r w:rsidR="000029F3">
        <w:rPr>
          <w:rFonts w:ascii="Arial" w:hAnsi="Arial" w:cs="Arial"/>
        </w:rPr>
        <w:t>Andrew Maloney</w:t>
      </w:r>
    </w:p>
    <w:p w14:paraId="0375A850" w14:textId="77777777" w:rsidR="005F725E" w:rsidRPr="005F725E" w:rsidRDefault="00DB64C1" w:rsidP="008E5F56">
      <w:pPr>
        <w:ind w:left="2835" w:hanging="2835"/>
        <w:rPr>
          <w:rFonts w:ascii="Arial" w:hAnsi="Arial" w:cs="Arial"/>
        </w:rPr>
      </w:pPr>
      <w:r w:rsidRPr="005F725E">
        <w:rPr>
          <w:rFonts w:ascii="Arial" w:hAnsi="Arial" w:cs="Arial"/>
          <w:b/>
        </w:rPr>
        <w:tab/>
      </w:r>
    </w:p>
    <w:p w14:paraId="53C6B3F7" w14:textId="2890B482"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3402C4">
        <w:rPr>
          <w:rFonts w:ascii="Arial" w:hAnsi="Arial" w:cs="Arial"/>
        </w:rPr>
        <w:t>22</w:t>
      </w:r>
      <w:r w:rsidR="000029F3">
        <w:rPr>
          <w:rFonts w:ascii="Arial" w:hAnsi="Arial" w:cs="Arial"/>
        </w:rPr>
        <w:t xml:space="preserve"> June 2018</w:t>
      </w:r>
    </w:p>
    <w:p w14:paraId="08F2FFB2" w14:textId="77777777" w:rsidR="003B38E2" w:rsidRPr="00A30195" w:rsidRDefault="003B38E2" w:rsidP="003B38E2">
      <w:pPr>
        <w:pStyle w:val="BottomLine"/>
      </w:pPr>
    </w:p>
    <w:p w14:paraId="6D4817E4" w14:textId="77777777" w:rsidR="0012027A" w:rsidRPr="008E5F56" w:rsidRDefault="008E5F56" w:rsidP="00313A54">
      <w:pPr>
        <w:pStyle w:val="Heading2"/>
        <w:spacing w:before="280" w:line="360" w:lineRule="auto"/>
        <w:rPr>
          <w:rFonts w:cs="Arial"/>
        </w:rPr>
      </w:pPr>
      <w:r w:rsidRPr="008E5F56">
        <w:rPr>
          <w:rFonts w:cs="Arial"/>
        </w:rPr>
        <w:t>Background</w:t>
      </w:r>
    </w:p>
    <w:p w14:paraId="32ACE2CB" w14:textId="77777777" w:rsidR="000029F3" w:rsidRDefault="000029F3" w:rsidP="000029F3">
      <w:pPr>
        <w:pStyle w:val="ListParagraph"/>
        <w:numPr>
          <w:ilvl w:val="0"/>
          <w:numId w:val="16"/>
        </w:numPr>
        <w:spacing w:line="276" w:lineRule="auto"/>
        <w:contextualSpacing/>
        <w:jc w:val="both"/>
        <w:rPr>
          <w:rFonts w:ascii="Arial" w:hAnsi="Arial" w:cs="Arial"/>
          <w:i/>
        </w:rPr>
      </w:pPr>
      <w:r>
        <w:rPr>
          <w:rFonts w:ascii="Arial" w:hAnsi="Arial" w:cs="Arial"/>
        </w:rPr>
        <w:t>On 4 September 2017, the client lodged a gambling dispute against the bookmaker advising that he had emailed the bookmaker requesting they refund him $10,000.00 for losses incurred on ‘betting day 23 August 2017’.</w:t>
      </w:r>
    </w:p>
    <w:p w14:paraId="2D8555D9" w14:textId="77777777" w:rsidR="000029F3" w:rsidRPr="00D32836" w:rsidRDefault="000029F3" w:rsidP="000029F3">
      <w:pPr>
        <w:ind w:left="360"/>
        <w:jc w:val="both"/>
        <w:rPr>
          <w:rFonts w:ascii="Arial" w:hAnsi="Arial" w:cs="Arial"/>
          <w:i/>
        </w:rPr>
      </w:pPr>
    </w:p>
    <w:p w14:paraId="6F3B1FF9" w14:textId="0E654C23" w:rsidR="000029F3" w:rsidRDefault="000029F3" w:rsidP="000029F3">
      <w:pPr>
        <w:pStyle w:val="ListParagraph"/>
        <w:numPr>
          <w:ilvl w:val="0"/>
          <w:numId w:val="16"/>
        </w:numPr>
        <w:spacing w:line="276" w:lineRule="auto"/>
        <w:ind w:left="709" w:hanging="283"/>
        <w:contextualSpacing/>
        <w:jc w:val="both"/>
        <w:rPr>
          <w:rFonts w:ascii="Arial" w:hAnsi="Arial" w:cs="Arial"/>
        </w:rPr>
      </w:pPr>
      <w:r>
        <w:rPr>
          <w:rFonts w:ascii="Arial" w:hAnsi="Arial" w:cs="Arial"/>
        </w:rPr>
        <w:t xml:space="preserve">The client also provided letters from a clinical psychologist (Mr </w:t>
      </w:r>
      <w:r w:rsidR="00EB0C58">
        <w:rPr>
          <w:rFonts w:ascii="Arial" w:hAnsi="Arial" w:cs="Arial"/>
        </w:rPr>
        <w:t>M</w:t>
      </w:r>
      <w:r>
        <w:rPr>
          <w:rFonts w:ascii="Arial" w:hAnsi="Arial" w:cs="Arial"/>
        </w:rPr>
        <w:t xml:space="preserve">) and forensic psychologist (Ms </w:t>
      </w:r>
      <w:r w:rsidR="004B62A3">
        <w:rPr>
          <w:rFonts w:ascii="Arial" w:hAnsi="Arial" w:cs="Arial"/>
        </w:rPr>
        <w:t>A</w:t>
      </w:r>
      <w:r>
        <w:rPr>
          <w:rFonts w:ascii="Arial" w:hAnsi="Arial" w:cs="Arial"/>
        </w:rPr>
        <w:t>) which confirmed he had been suffering from post-traumatic stress disorder, anxiety, panic attacks and dysthymia (depression). First evident in 2010.</w:t>
      </w:r>
    </w:p>
    <w:p w14:paraId="4A4691DC" w14:textId="77777777" w:rsidR="000029F3" w:rsidRPr="007512BB" w:rsidRDefault="000029F3" w:rsidP="000029F3">
      <w:pPr>
        <w:ind w:left="360"/>
        <w:jc w:val="both"/>
        <w:rPr>
          <w:rFonts w:ascii="Arial" w:hAnsi="Arial" w:cs="Arial"/>
        </w:rPr>
      </w:pPr>
    </w:p>
    <w:p w14:paraId="10568F40"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The client’s account had been operating for a period of approximately one year prior to the lodgement of his complaint.  Previous betting statements have been provided by the bookmaker following a request from the Commission.</w:t>
      </w:r>
    </w:p>
    <w:p w14:paraId="63C2340F" w14:textId="77777777" w:rsidR="000029F3" w:rsidRPr="00D32836" w:rsidRDefault="000029F3" w:rsidP="000029F3">
      <w:pPr>
        <w:ind w:left="360"/>
        <w:jc w:val="both"/>
        <w:rPr>
          <w:rFonts w:ascii="Arial" w:hAnsi="Arial" w:cs="Arial"/>
        </w:rPr>
      </w:pPr>
    </w:p>
    <w:p w14:paraId="2C540AED" w14:textId="77777777" w:rsidR="000029F3" w:rsidRPr="00593559" w:rsidRDefault="000029F3" w:rsidP="000029F3">
      <w:pPr>
        <w:pStyle w:val="ListParagraph"/>
        <w:numPr>
          <w:ilvl w:val="0"/>
          <w:numId w:val="16"/>
        </w:numPr>
        <w:spacing w:line="276" w:lineRule="auto"/>
        <w:contextualSpacing/>
        <w:jc w:val="both"/>
        <w:rPr>
          <w:rFonts w:ascii="Arial" w:hAnsi="Arial" w:cs="Arial"/>
          <w:i/>
        </w:rPr>
      </w:pPr>
      <w:r>
        <w:rPr>
          <w:rFonts w:ascii="Arial" w:hAnsi="Arial" w:cs="Arial"/>
        </w:rPr>
        <w:t>These statements show a consistent betting pattern, with the client experiencing some success and periodically withdrawing amounts relating to winnings.</w:t>
      </w:r>
    </w:p>
    <w:p w14:paraId="2F33FA05" w14:textId="77777777" w:rsidR="000029F3" w:rsidRPr="00593559" w:rsidRDefault="000029F3" w:rsidP="000029F3">
      <w:pPr>
        <w:pStyle w:val="ListParagraph"/>
        <w:rPr>
          <w:rFonts w:ascii="Arial" w:hAnsi="Arial" w:cs="Arial"/>
          <w:i/>
        </w:rPr>
      </w:pPr>
    </w:p>
    <w:p w14:paraId="780B5613" w14:textId="1F85011F"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The amount in dispute is basically those wagers undertaken late Tuesday</w:t>
      </w:r>
      <w:r w:rsidR="002412DB">
        <w:rPr>
          <w:rFonts w:ascii="Arial" w:hAnsi="Arial" w:cs="Arial"/>
        </w:rPr>
        <w:t>,</w:t>
      </w:r>
      <w:r>
        <w:rPr>
          <w:rFonts w:ascii="Arial" w:hAnsi="Arial" w:cs="Arial"/>
        </w:rPr>
        <w:t xml:space="preserve"> </w:t>
      </w:r>
      <w:r>
        <w:rPr>
          <w:rFonts w:ascii="Arial" w:hAnsi="Arial" w:cs="Arial"/>
        </w:rPr>
        <w:br/>
        <w:t>22 August 2017 and progressively on Wednesday</w:t>
      </w:r>
      <w:r w:rsidR="002412DB">
        <w:rPr>
          <w:rFonts w:ascii="Arial" w:hAnsi="Arial" w:cs="Arial"/>
        </w:rPr>
        <w:t>,</w:t>
      </w:r>
      <w:r>
        <w:rPr>
          <w:rFonts w:ascii="Arial" w:hAnsi="Arial" w:cs="Arial"/>
        </w:rPr>
        <w:t xml:space="preserve"> 23 August 2017.</w:t>
      </w:r>
    </w:p>
    <w:p w14:paraId="65F202F2" w14:textId="77777777" w:rsidR="000029F3" w:rsidRPr="00351EFE" w:rsidRDefault="000029F3" w:rsidP="000029F3">
      <w:pPr>
        <w:pStyle w:val="ListParagraph"/>
        <w:rPr>
          <w:rFonts w:ascii="Arial" w:hAnsi="Arial" w:cs="Arial"/>
        </w:rPr>
      </w:pPr>
    </w:p>
    <w:p w14:paraId="1067FB6C" w14:textId="07D72B27" w:rsidR="000029F3" w:rsidRPr="00593559" w:rsidRDefault="000029F3" w:rsidP="000029F3">
      <w:pPr>
        <w:pStyle w:val="Heading2"/>
        <w:spacing w:before="280" w:line="360" w:lineRule="auto"/>
        <w:rPr>
          <w:rFonts w:cs="Arial"/>
        </w:rPr>
      </w:pPr>
      <w:r>
        <w:rPr>
          <w:rFonts w:cs="Arial"/>
        </w:rPr>
        <w:t>Facts of the Matter</w:t>
      </w:r>
    </w:p>
    <w:p w14:paraId="2A92545E"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The clients account was opened on 7 September 2016 and operated unremarkably until the date of closure (23 August 2017).</w:t>
      </w:r>
    </w:p>
    <w:p w14:paraId="4ABB5AE3" w14:textId="77777777" w:rsidR="000029F3" w:rsidRDefault="000029F3" w:rsidP="000029F3">
      <w:pPr>
        <w:jc w:val="both"/>
        <w:rPr>
          <w:rFonts w:ascii="Arial" w:hAnsi="Arial" w:cs="Arial"/>
        </w:rPr>
      </w:pPr>
    </w:p>
    <w:p w14:paraId="109A9C4C"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The client advised William Hill on 23 August 2017, that he was suffering mental health issues that manifested in problem gambling patterns.</w:t>
      </w:r>
    </w:p>
    <w:p w14:paraId="166ABD52" w14:textId="77777777" w:rsidR="000029F3" w:rsidRPr="004D0BDE" w:rsidRDefault="000029F3" w:rsidP="000029F3">
      <w:pPr>
        <w:ind w:left="360"/>
        <w:jc w:val="both"/>
        <w:rPr>
          <w:rFonts w:ascii="Arial" w:hAnsi="Arial" w:cs="Arial"/>
        </w:rPr>
      </w:pPr>
    </w:p>
    <w:p w14:paraId="17ED9EA0"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lastRenderedPageBreak/>
        <w:t>At no time prior to the 23 August 2017, was the bookmaker made aware of these health conditions or any problem gambling issues.</w:t>
      </w:r>
    </w:p>
    <w:p w14:paraId="11EB1D92" w14:textId="77777777" w:rsidR="000029F3" w:rsidRPr="00E14AD2" w:rsidRDefault="000029F3" w:rsidP="000029F3">
      <w:pPr>
        <w:ind w:left="360"/>
        <w:jc w:val="both"/>
        <w:rPr>
          <w:rFonts w:ascii="Arial" w:hAnsi="Arial" w:cs="Arial"/>
        </w:rPr>
      </w:pPr>
    </w:p>
    <w:p w14:paraId="03DA1B6C"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 xml:space="preserve">Immediately upon being advised of the said conditions the bookmaker closed the client’s account, provided information around appropriate counselling services and issued self-exclusion forms which they encouraged the client to complete and send to other Northern Territory wagering operators. </w:t>
      </w:r>
    </w:p>
    <w:p w14:paraId="615AA63F" w14:textId="77777777" w:rsidR="000029F3" w:rsidRPr="003065B2" w:rsidRDefault="000029F3" w:rsidP="000029F3">
      <w:pPr>
        <w:pStyle w:val="ListParagraph"/>
        <w:rPr>
          <w:rFonts w:ascii="Arial" w:hAnsi="Arial" w:cs="Arial"/>
        </w:rPr>
      </w:pPr>
    </w:p>
    <w:p w14:paraId="6DA89893" w14:textId="77777777" w:rsidR="000029F3" w:rsidRPr="003065B2" w:rsidRDefault="000029F3" w:rsidP="000029F3">
      <w:pPr>
        <w:pStyle w:val="ListParagraph"/>
        <w:numPr>
          <w:ilvl w:val="0"/>
          <w:numId w:val="16"/>
        </w:numPr>
        <w:spacing w:line="276" w:lineRule="auto"/>
        <w:contextualSpacing/>
        <w:jc w:val="both"/>
        <w:rPr>
          <w:rFonts w:ascii="Arial" w:hAnsi="Arial" w:cs="Arial"/>
        </w:rPr>
      </w:pPr>
      <w:r w:rsidRPr="003065B2">
        <w:rPr>
          <w:rFonts w:ascii="Arial" w:hAnsi="Arial" w:cs="Arial"/>
        </w:rPr>
        <w:t>The disputed wagers followed the lodgement of an amount of $10,500.00 on</w:t>
      </w:r>
      <w:r w:rsidRPr="003065B2">
        <w:rPr>
          <w:rFonts w:ascii="Arial" w:hAnsi="Arial" w:cs="Arial"/>
        </w:rPr>
        <w:br/>
        <w:t>22 August 2017.</w:t>
      </w:r>
    </w:p>
    <w:p w14:paraId="77F2297F" w14:textId="77777777" w:rsidR="000029F3" w:rsidRDefault="000029F3" w:rsidP="000029F3">
      <w:pPr>
        <w:ind w:left="709" w:firstLine="11"/>
        <w:jc w:val="both"/>
        <w:rPr>
          <w:rFonts w:ascii="Arial" w:hAnsi="Arial" w:cs="Arial"/>
        </w:rPr>
      </w:pPr>
    </w:p>
    <w:p w14:paraId="202EF522" w14:textId="77777777" w:rsidR="000029F3" w:rsidRDefault="000029F3" w:rsidP="000029F3">
      <w:pPr>
        <w:ind w:left="714"/>
        <w:jc w:val="both"/>
        <w:rPr>
          <w:rFonts w:ascii="Arial" w:hAnsi="Arial" w:cs="Arial"/>
        </w:rPr>
      </w:pPr>
    </w:p>
    <w:p w14:paraId="447EE6E7" w14:textId="20B22CF9" w:rsidR="000029F3" w:rsidRPr="000029F3" w:rsidRDefault="000029F3" w:rsidP="000029F3">
      <w:pPr>
        <w:pStyle w:val="Heading2"/>
        <w:spacing w:before="280" w:line="360" w:lineRule="auto"/>
        <w:rPr>
          <w:rFonts w:cs="Arial"/>
        </w:rPr>
      </w:pPr>
      <w:r>
        <w:rPr>
          <w:rFonts w:cs="Arial"/>
        </w:rPr>
        <w:t>Consideration of the Issues</w:t>
      </w:r>
    </w:p>
    <w:p w14:paraId="536D05AE" w14:textId="2A07473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 xml:space="preserve">The Commission is aware of Mr </w:t>
      </w:r>
      <w:r w:rsidR="00EB0C58">
        <w:rPr>
          <w:rFonts w:ascii="Arial" w:hAnsi="Arial" w:cs="Arial"/>
        </w:rPr>
        <w:t>U</w:t>
      </w:r>
      <w:r>
        <w:rPr>
          <w:rFonts w:ascii="Arial" w:hAnsi="Arial" w:cs="Arial"/>
        </w:rPr>
        <w:t>’s traumatic history in Bangladesh and recent sad circumstances regarding the death of his mother and we extend our sympathies.</w:t>
      </w:r>
    </w:p>
    <w:p w14:paraId="187FD548" w14:textId="77777777" w:rsidR="000029F3" w:rsidRDefault="000029F3" w:rsidP="000029F3">
      <w:pPr>
        <w:jc w:val="both"/>
        <w:rPr>
          <w:rFonts w:ascii="Arial" w:hAnsi="Arial" w:cs="Arial"/>
        </w:rPr>
      </w:pPr>
    </w:p>
    <w:p w14:paraId="7B25E24D" w14:textId="77777777" w:rsidR="000029F3" w:rsidRPr="00531829"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Notwithstanding these issues the Commission must rule on the following factors.</w:t>
      </w:r>
    </w:p>
    <w:p w14:paraId="7767982F" w14:textId="77777777" w:rsidR="000029F3" w:rsidRPr="00531829" w:rsidRDefault="000029F3" w:rsidP="000029F3">
      <w:pPr>
        <w:pStyle w:val="ListParagraph"/>
        <w:jc w:val="both"/>
        <w:rPr>
          <w:rFonts w:ascii="Arial" w:hAnsi="Arial" w:cs="Arial"/>
          <w:i/>
        </w:rPr>
      </w:pPr>
    </w:p>
    <w:p w14:paraId="5C4638C9"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 xml:space="preserve">Firstly, the legality of any bets made, specifically those in dispute from the period </w:t>
      </w:r>
      <w:r>
        <w:rPr>
          <w:rFonts w:ascii="Arial" w:hAnsi="Arial" w:cs="Arial"/>
        </w:rPr>
        <w:br/>
        <w:t>22 August to 23 August 2017 inclusive.</w:t>
      </w:r>
    </w:p>
    <w:p w14:paraId="0CFD5EA6" w14:textId="77777777" w:rsidR="000029F3" w:rsidRDefault="000029F3" w:rsidP="000029F3">
      <w:pPr>
        <w:jc w:val="both"/>
        <w:rPr>
          <w:rFonts w:ascii="Arial" w:hAnsi="Arial" w:cs="Arial"/>
        </w:rPr>
      </w:pPr>
    </w:p>
    <w:p w14:paraId="6F24C1CC"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 xml:space="preserve">Secondly, did the bookmaker act in accordance with its responsibilities under the Northern Territory Code of Conduct for Responsible Online Gambling 2016 (the Code). </w:t>
      </w:r>
    </w:p>
    <w:p w14:paraId="702B917D" w14:textId="77777777" w:rsidR="000029F3" w:rsidRPr="00C6347D" w:rsidRDefault="000029F3" w:rsidP="000029F3">
      <w:pPr>
        <w:pStyle w:val="ListParagraph"/>
        <w:rPr>
          <w:rFonts w:ascii="Arial" w:hAnsi="Arial" w:cs="Arial"/>
        </w:rPr>
      </w:pPr>
    </w:p>
    <w:p w14:paraId="52795548"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The Commission must also determine if the bookmaker had any knowledge of the client’s mental health or problem gambling issues prior to the 23 August 2017, at which date it claims to have been advised of these.</w:t>
      </w:r>
    </w:p>
    <w:p w14:paraId="13C98227" w14:textId="77777777" w:rsidR="000029F3" w:rsidRPr="00D5053E" w:rsidRDefault="000029F3" w:rsidP="000029F3">
      <w:pPr>
        <w:pStyle w:val="ListParagraph"/>
        <w:rPr>
          <w:rFonts w:ascii="Arial" w:hAnsi="Arial" w:cs="Arial"/>
        </w:rPr>
      </w:pPr>
    </w:p>
    <w:p w14:paraId="7D0B843D" w14:textId="448B0504" w:rsidR="000029F3" w:rsidRDefault="000029F3" w:rsidP="000029F3">
      <w:pPr>
        <w:pStyle w:val="Heading2"/>
        <w:spacing w:before="280" w:line="360" w:lineRule="auto"/>
        <w:rPr>
          <w:rFonts w:cs="Arial"/>
        </w:rPr>
      </w:pPr>
      <w:r>
        <w:rPr>
          <w:rFonts w:cs="Arial"/>
        </w:rPr>
        <w:t>Decision</w:t>
      </w:r>
    </w:p>
    <w:p w14:paraId="3DDD24E0"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Legality of bets - the Commission has examined betting statements provided by the bookmaker from the date of account opening until closure on 23 August 2017.</w:t>
      </w:r>
    </w:p>
    <w:p w14:paraId="67DC8402" w14:textId="77777777" w:rsidR="000029F3" w:rsidRPr="00D66307" w:rsidRDefault="000029F3" w:rsidP="000029F3">
      <w:pPr>
        <w:ind w:left="340"/>
        <w:jc w:val="both"/>
        <w:rPr>
          <w:rFonts w:ascii="Arial" w:hAnsi="Arial" w:cs="Arial"/>
        </w:rPr>
      </w:pPr>
    </w:p>
    <w:p w14:paraId="11C12A61"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From this information it is evident that all account opening protocols, account deposits and wagers were made in accordance with the agreed terms and conditions, with all winning wagers having been settled in a timely and appropriate manner.</w:t>
      </w:r>
    </w:p>
    <w:p w14:paraId="3A83830F" w14:textId="77777777" w:rsidR="000029F3" w:rsidRDefault="000029F3" w:rsidP="000029F3">
      <w:pPr>
        <w:jc w:val="both"/>
        <w:rPr>
          <w:rFonts w:ascii="Arial" w:hAnsi="Arial" w:cs="Arial"/>
        </w:rPr>
      </w:pPr>
    </w:p>
    <w:p w14:paraId="6247BCA6"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It is important to note that it is only within the Commission’s remit to determine the legality of such wagers, matters of compensation being the responsibility of the Courts.</w:t>
      </w:r>
    </w:p>
    <w:p w14:paraId="751D2337" w14:textId="77777777" w:rsidR="000029F3" w:rsidRPr="00B85F39" w:rsidRDefault="000029F3" w:rsidP="000029F3">
      <w:pPr>
        <w:pStyle w:val="ListParagraph"/>
        <w:ind w:left="1440"/>
        <w:rPr>
          <w:rFonts w:ascii="Arial" w:hAnsi="Arial" w:cs="Arial"/>
        </w:rPr>
      </w:pPr>
    </w:p>
    <w:p w14:paraId="79DCD8EE"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lastRenderedPageBreak/>
        <w:t xml:space="preserve">We now turn our attention to the matter of whether the bookmaker, by its actions, violated any requirements of the </w:t>
      </w:r>
      <w:r w:rsidRPr="003A3773">
        <w:rPr>
          <w:rFonts w:ascii="Arial" w:hAnsi="Arial" w:cs="Arial"/>
        </w:rPr>
        <w:t>NT Code of Conduct for R</w:t>
      </w:r>
      <w:r>
        <w:rPr>
          <w:rFonts w:ascii="Arial" w:hAnsi="Arial" w:cs="Arial"/>
        </w:rPr>
        <w:t>esponsible Online Gambling 2016.</w:t>
      </w:r>
    </w:p>
    <w:p w14:paraId="287B2EA7" w14:textId="77777777" w:rsidR="000029F3" w:rsidRDefault="000029F3" w:rsidP="000029F3">
      <w:pPr>
        <w:jc w:val="both"/>
        <w:rPr>
          <w:rFonts w:ascii="Arial" w:hAnsi="Arial" w:cs="Arial"/>
        </w:rPr>
      </w:pPr>
    </w:p>
    <w:p w14:paraId="18B990D1"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The Code seeks to ensure that bookmakers act fairly and responsibly toward their clients in all dealings, with particular reference but not limited to:</w:t>
      </w:r>
    </w:p>
    <w:p w14:paraId="21F554BB" w14:textId="77777777" w:rsidR="000029F3" w:rsidRPr="00714A1B" w:rsidRDefault="000029F3" w:rsidP="000029F3">
      <w:pPr>
        <w:ind w:left="360"/>
        <w:jc w:val="both"/>
        <w:rPr>
          <w:rFonts w:ascii="Arial" w:hAnsi="Arial" w:cs="Arial"/>
        </w:rPr>
      </w:pPr>
    </w:p>
    <w:p w14:paraId="5BC04341" w14:textId="77777777" w:rsidR="000029F3" w:rsidRPr="00714A1B" w:rsidRDefault="000029F3" w:rsidP="000029F3">
      <w:pPr>
        <w:pStyle w:val="ListParagraph"/>
        <w:jc w:val="both"/>
        <w:rPr>
          <w:rFonts w:ascii="Arial" w:hAnsi="Arial" w:cs="Arial"/>
        </w:rPr>
      </w:pPr>
      <w:r>
        <w:rPr>
          <w:rFonts w:ascii="Arial" w:hAnsi="Arial" w:cs="Arial"/>
        </w:rPr>
        <w:t>‘The recognition of any red flag betting behaviours, such as gambling for extended periods in one sitting, increasing frequency of deposits and increasingly larger wagers, indicating that a client may be chasing losses’.</w:t>
      </w:r>
    </w:p>
    <w:p w14:paraId="79E0ECBA" w14:textId="77777777" w:rsidR="000029F3" w:rsidRPr="00714A1B" w:rsidRDefault="000029F3" w:rsidP="000029F3">
      <w:pPr>
        <w:ind w:left="720"/>
        <w:jc w:val="both"/>
        <w:rPr>
          <w:rFonts w:ascii="Arial" w:hAnsi="Arial" w:cs="Arial"/>
        </w:rPr>
      </w:pPr>
    </w:p>
    <w:p w14:paraId="44E68CC9" w14:textId="77777777" w:rsidR="000029F3" w:rsidRDefault="000029F3" w:rsidP="000029F3">
      <w:pPr>
        <w:pStyle w:val="ListParagraph"/>
        <w:numPr>
          <w:ilvl w:val="0"/>
          <w:numId w:val="16"/>
        </w:numPr>
        <w:spacing w:line="276" w:lineRule="auto"/>
        <w:contextualSpacing/>
        <w:jc w:val="both"/>
        <w:rPr>
          <w:rFonts w:ascii="Arial" w:hAnsi="Arial" w:cs="Arial"/>
          <w:b/>
        </w:rPr>
      </w:pPr>
      <w:r>
        <w:rPr>
          <w:rFonts w:ascii="Arial" w:hAnsi="Arial" w:cs="Arial"/>
        </w:rPr>
        <w:t>It is also incumbent upon the client (as highlighted at Clause 4.1 of the Code) to ensure they act responsibly in their wagering activities.</w:t>
      </w:r>
    </w:p>
    <w:p w14:paraId="5BB3E68A" w14:textId="77777777" w:rsidR="000029F3" w:rsidRDefault="000029F3" w:rsidP="000029F3">
      <w:pPr>
        <w:jc w:val="both"/>
        <w:rPr>
          <w:rFonts w:ascii="Arial" w:hAnsi="Arial" w:cs="Arial"/>
        </w:rPr>
      </w:pPr>
    </w:p>
    <w:p w14:paraId="1FA02F13"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Clause 4.1 states as follows:</w:t>
      </w:r>
    </w:p>
    <w:p w14:paraId="5F3AB7CE" w14:textId="77777777" w:rsidR="000029F3" w:rsidRPr="00D64AF7" w:rsidRDefault="000029F3" w:rsidP="000029F3">
      <w:pPr>
        <w:ind w:left="360"/>
        <w:jc w:val="both"/>
        <w:rPr>
          <w:rFonts w:ascii="Arial" w:hAnsi="Arial" w:cs="Arial"/>
        </w:rPr>
      </w:pPr>
    </w:p>
    <w:p w14:paraId="6AAA33BF" w14:textId="77777777" w:rsidR="000029F3" w:rsidRPr="002412DB" w:rsidRDefault="000029F3" w:rsidP="000029F3">
      <w:pPr>
        <w:pStyle w:val="ListParagraph"/>
        <w:jc w:val="both"/>
        <w:rPr>
          <w:rFonts w:ascii="Arial" w:hAnsi="Arial" w:cs="Arial"/>
          <w:i/>
        </w:rPr>
      </w:pPr>
      <w:r w:rsidRPr="002412DB">
        <w:rPr>
          <w:rFonts w:ascii="Arial" w:hAnsi="Arial" w:cs="Arial"/>
          <w:i/>
        </w:rPr>
        <w:t>‘The operator’s client will be encouraged to take responsibility for their gambling activity through the ongoing gambling operators provision of clearly defined terms and conditions, rules, odds and player returns’.</w:t>
      </w:r>
    </w:p>
    <w:p w14:paraId="1E902564" w14:textId="77777777" w:rsidR="000029F3" w:rsidRPr="00D64AF7" w:rsidRDefault="000029F3" w:rsidP="000029F3">
      <w:pPr>
        <w:jc w:val="both"/>
        <w:rPr>
          <w:rFonts w:ascii="Arial" w:hAnsi="Arial" w:cs="Arial"/>
        </w:rPr>
      </w:pPr>
    </w:p>
    <w:p w14:paraId="1AF74299"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On the weight of evidence provided, the Commission is satisfied that the bookmaker observed its obligations under the Code.</w:t>
      </w:r>
    </w:p>
    <w:p w14:paraId="1AC2B62F" w14:textId="77777777" w:rsidR="000029F3" w:rsidRDefault="000029F3" w:rsidP="000029F3">
      <w:pPr>
        <w:jc w:val="both"/>
        <w:rPr>
          <w:rFonts w:ascii="Arial" w:hAnsi="Arial" w:cs="Arial"/>
        </w:rPr>
      </w:pPr>
    </w:p>
    <w:p w14:paraId="3AD3F14E"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Finally, the Commission acknowledges that this is a very unfortunate case, given the clients’ mental health issues.  However, from the evidence provided by both parties it is quite clear that prior to being advised on 23 August 2017, the bookmaker had no knowledge of any of these problems.</w:t>
      </w:r>
    </w:p>
    <w:p w14:paraId="6FDD1B12" w14:textId="77777777" w:rsidR="000029F3" w:rsidRPr="00CF74BD" w:rsidRDefault="000029F3" w:rsidP="000029F3">
      <w:pPr>
        <w:pStyle w:val="ListParagraph"/>
        <w:rPr>
          <w:rFonts w:ascii="Arial" w:hAnsi="Arial" w:cs="Arial"/>
        </w:rPr>
      </w:pPr>
    </w:p>
    <w:p w14:paraId="1064644C" w14:textId="77777777" w:rsidR="000029F3" w:rsidRDefault="000029F3" w:rsidP="000029F3">
      <w:pPr>
        <w:pStyle w:val="ListParagraph"/>
        <w:numPr>
          <w:ilvl w:val="0"/>
          <w:numId w:val="16"/>
        </w:numPr>
        <w:spacing w:line="276" w:lineRule="auto"/>
        <w:contextualSpacing/>
        <w:jc w:val="both"/>
        <w:rPr>
          <w:rFonts w:ascii="Arial" w:hAnsi="Arial" w:cs="Arial"/>
        </w:rPr>
      </w:pPr>
      <w:r>
        <w:rPr>
          <w:rFonts w:ascii="Arial" w:hAnsi="Arial" w:cs="Arial"/>
        </w:rPr>
        <w:t>As such and in accordance with accepted legal precedents the bookmaker cannot be held responsible for the outcome in this matter.</w:t>
      </w:r>
    </w:p>
    <w:p w14:paraId="76687AAB" w14:textId="77777777" w:rsidR="000029F3" w:rsidRPr="004A3FC7" w:rsidRDefault="000029F3" w:rsidP="000029F3">
      <w:pPr>
        <w:pStyle w:val="ListParagraph"/>
        <w:rPr>
          <w:rFonts w:ascii="Arial" w:hAnsi="Arial" w:cs="Arial"/>
        </w:rPr>
      </w:pPr>
    </w:p>
    <w:p w14:paraId="2136E1C4" w14:textId="77777777" w:rsidR="000029F3" w:rsidRDefault="000029F3" w:rsidP="000029F3">
      <w:pPr>
        <w:pStyle w:val="ListParagraph"/>
        <w:numPr>
          <w:ilvl w:val="0"/>
          <w:numId w:val="16"/>
        </w:numPr>
        <w:spacing w:after="200" w:line="276" w:lineRule="auto"/>
        <w:contextualSpacing/>
        <w:jc w:val="both"/>
        <w:rPr>
          <w:rFonts w:ascii="Arial" w:hAnsi="Arial" w:cs="Arial"/>
        </w:rPr>
      </w:pPr>
      <w:r>
        <w:rPr>
          <w:rFonts w:ascii="Arial" w:hAnsi="Arial" w:cs="Arial"/>
        </w:rPr>
        <w:t>Additionally, in accordance with Section 85(4) of the Act, on the basis of the information provided and in respect of the dispute and for the reasons set out above the Commission has determined the wagers lawful.</w:t>
      </w:r>
    </w:p>
    <w:p w14:paraId="746799F4" w14:textId="77777777" w:rsidR="003402C4" w:rsidRPr="0096364E" w:rsidRDefault="003402C4" w:rsidP="003402C4">
      <w:pPr>
        <w:jc w:val="both"/>
        <w:rPr>
          <w:rFonts w:ascii="Arial" w:hAnsi="Arial" w:cs="Arial"/>
        </w:rPr>
      </w:pPr>
      <w:r>
        <w:rPr>
          <w:rFonts w:ascii="Arial" w:hAnsi="Arial" w:cs="Arial"/>
          <w:noProof/>
        </w:rPr>
        <w:drawing>
          <wp:inline distT="0" distB="0" distL="0" distR="0" wp14:anchorId="5317C0E7" wp14:editId="515052F5">
            <wp:extent cx="2068471" cy="885825"/>
            <wp:effectExtent l="0" t="0" r="8255" b="0"/>
            <wp:docPr id="1" name="Picture 1" descr="N:\Client Engagement\CLIENT ENGAGEMENT-LNT\Secretariat Team\08. Racing Commission\Decisions\J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ient Engagement\CLIENT ENGAGEMENT-LNT\Secretariat Team\08. Racing Commission\Decisions\JB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850" cy="890698"/>
                    </a:xfrm>
                    <a:prstGeom prst="rect">
                      <a:avLst/>
                    </a:prstGeom>
                    <a:noFill/>
                    <a:ln>
                      <a:noFill/>
                    </a:ln>
                  </pic:spPr>
                </pic:pic>
              </a:graphicData>
            </a:graphic>
          </wp:inline>
        </w:drawing>
      </w:r>
    </w:p>
    <w:p w14:paraId="458A0DB6" w14:textId="77777777" w:rsidR="003402C4" w:rsidRPr="00D10C43" w:rsidRDefault="003402C4" w:rsidP="003402C4">
      <w:pPr>
        <w:rPr>
          <w:rFonts w:ascii="Arial" w:hAnsi="Arial" w:cs="Arial"/>
          <w:b/>
        </w:rPr>
      </w:pPr>
      <w:r>
        <w:rPr>
          <w:rFonts w:ascii="Arial" w:hAnsi="Arial" w:cs="Arial"/>
          <w:b/>
        </w:rPr>
        <w:t>John Boneham</w:t>
      </w:r>
    </w:p>
    <w:p w14:paraId="5C3CDCDA" w14:textId="77777777" w:rsidR="003402C4" w:rsidRDefault="003402C4" w:rsidP="003402C4">
      <w:pPr>
        <w:rPr>
          <w:rFonts w:ascii="Arial" w:hAnsi="Arial" w:cs="Arial"/>
        </w:rPr>
      </w:pPr>
      <w:r>
        <w:rPr>
          <w:rFonts w:ascii="Arial" w:hAnsi="Arial" w:cs="Arial"/>
        </w:rPr>
        <w:t>Presiding Member</w:t>
      </w:r>
    </w:p>
    <w:p w14:paraId="25F179F4" w14:textId="77777777" w:rsidR="003402C4" w:rsidRDefault="003402C4" w:rsidP="003402C4">
      <w:pPr>
        <w:rPr>
          <w:rFonts w:ascii="Arial" w:hAnsi="Arial" w:cs="Arial"/>
        </w:rPr>
      </w:pPr>
      <w:r>
        <w:rPr>
          <w:rFonts w:ascii="Arial" w:hAnsi="Arial" w:cs="Arial"/>
        </w:rPr>
        <w:t>Racing Commission</w:t>
      </w:r>
    </w:p>
    <w:p w14:paraId="3BE0488D" w14:textId="77777777" w:rsidR="003402C4" w:rsidRDefault="003402C4" w:rsidP="003402C4">
      <w:pPr>
        <w:rPr>
          <w:rFonts w:ascii="Arial" w:hAnsi="Arial" w:cs="Arial"/>
        </w:rPr>
      </w:pPr>
    </w:p>
    <w:p w14:paraId="264C2AEE" w14:textId="77777777" w:rsidR="003402C4" w:rsidRPr="00231F83" w:rsidRDefault="003402C4" w:rsidP="003402C4">
      <w:pPr>
        <w:rPr>
          <w:rFonts w:ascii="Arial" w:hAnsi="Arial" w:cs="Arial"/>
        </w:rPr>
      </w:pPr>
      <w:r>
        <w:rPr>
          <w:rFonts w:ascii="Arial" w:hAnsi="Arial" w:cs="Arial"/>
        </w:rPr>
        <w:t>22 June 2018</w:t>
      </w:r>
    </w:p>
    <w:p w14:paraId="53FCB3EA" w14:textId="02E05D4A" w:rsidR="008707D3" w:rsidRPr="008E5F56" w:rsidRDefault="008707D3" w:rsidP="003402C4">
      <w:pPr>
        <w:spacing w:line="240" w:lineRule="atLeast"/>
        <w:jc w:val="both"/>
        <w:rPr>
          <w:rFonts w:ascii="Arial" w:hAnsi="Arial" w:cs="Arial"/>
        </w:rPr>
      </w:pPr>
      <w:bookmarkStart w:id="0" w:name="_GoBack"/>
      <w:bookmarkEnd w:id="0"/>
    </w:p>
    <w:sectPr w:rsidR="008707D3" w:rsidRPr="008E5F56" w:rsidSect="00313A54">
      <w:headerReference w:type="even" r:id="rId9"/>
      <w:headerReference w:type="default" r:id="rId10"/>
      <w:headerReference w:type="first" r:id="rId11"/>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D57" w14:textId="77777777" w:rsidR="001106D6" w:rsidRDefault="001106D6">
      <w:r>
        <w:separator/>
      </w:r>
    </w:p>
  </w:endnote>
  <w:endnote w:type="continuationSeparator" w:id="0">
    <w:p w14:paraId="4C038F35" w14:textId="77777777" w:rsidR="001106D6" w:rsidRDefault="0011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5F66" w14:textId="77777777" w:rsidR="001106D6" w:rsidRDefault="001106D6">
      <w:r>
        <w:separator/>
      </w:r>
    </w:p>
  </w:footnote>
  <w:footnote w:type="continuationSeparator" w:id="0">
    <w:p w14:paraId="201B66B1" w14:textId="77777777" w:rsidR="001106D6" w:rsidRDefault="0011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77777777"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2DDA0E9B" w14:textId="77777777"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3402C4">
          <w:rPr>
            <w:rFonts w:ascii="Arial" w:hAnsi="Arial" w:cs="Arial"/>
            <w:noProof/>
          </w:rPr>
          <w:t>3</w:t>
        </w:r>
        <w:r w:rsidRPr="00614B00">
          <w:rPr>
            <w:rFonts w:ascii="Arial" w:hAnsi="Arial" w:cs="Arial"/>
            <w:noProof/>
          </w:rPr>
          <w:fldChar w:fldCharType="end"/>
        </w:r>
      </w:p>
    </w:sdtContent>
  </w:sdt>
  <w:p w14:paraId="216F19D1" w14:textId="77777777"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7777777" w:rsidR="008E5F56" w:rsidRDefault="008E5F56" w:rsidP="003B38E2">
    <w:pPr>
      <w:jc w:val="center"/>
      <w:rPr>
        <w:rFonts w:ascii="Arial" w:hAnsi="Arial"/>
        <w:b/>
        <w:sz w:val="32"/>
      </w:rPr>
    </w:pPr>
  </w:p>
  <w:p w14:paraId="0C9C7225" w14:textId="77777777"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2"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6"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6"/>
  </w:num>
  <w:num w:numId="5">
    <w:abstractNumId w:val="20"/>
  </w:num>
  <w:num w:numId="6">
    <w:abstractNumId w:val="23"/>
  </w:num>
  <w:num w:numId="7">
    <w:abstractNumId w:val="17"/>
  </w:num>
  <w:num w:numId="8">
    <w:abstractNumId w:val="0"/>
  </w:num>
  <w:num w:numId="9">
    <w:abstractNumId w:val="25"/>
  </w:num>
  <w:num w:numId="10">
    <w:abstractNumId w:val="16"/>
  </w:num>
  <w:num w:numId="11">
    <w:abstractNumId w:val="2"/>
  </w:num>
  <w:num w:numId="12">
    <w:abstractNumId w:val="3"/>
  </w:num>
  <w:num w:numId="13">
    <w:abstractNumId w:val="15"/>
  </w:num>
  <w:num w:numId="14">
    <w:abstractNumId w:val="18"/>
  </w:num>
  <w:num w:numId="15">
    <w:abstractNumId w:val="1"/>
  </w:num>
  <w:num w:numId="16">
    <w:abstractNumId w:val="12"/>
  </w:num>
  <w:num w:numId="17">
    <w:abstractNumId w:val="4"/>
  </w:num>
  <w:num w:numId="18">
    <w:abstractNumId w:val="5"/>
  </w:num>
  <w:num w:numId="19">
    <w:abstractNumId w:val="19"/>
  </w:num>
  <w:num w:numId="20">
    <w:abstractNumId w:val="22"/>
  </w:num>
  <w:num w:numId="21">
    <w:abstractNumId w:val="9"/>
  </w:num>
  <w:num w:numId="22">
    <w:abstractNumId w:val="27"/>
  </w:num>
  <w:num w:numId="23">
    <w:abstractNumId w:val="26"/>
  </w:num>
  <w:num w:numId="24">
    <w:abstractNumId w:val="24"/>
  </w:num>
  <w:num w:numId="25">
    <w:abstractNumId w:val="14"/>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29F3"/>
    <w:rsid w:val="000048F3"/>
    <w:rsid w:val="00020858"/>
    <w:rsid w:val="00035446"/>
    <w:rsid w:val="00043F15"/>
    <w:rsid w:val="00055A44"/>
    <w:rsid w:val="00060698"/>
    <w:rsid w:val="0006656F"/>
    <w:rsid w:val="000716C2"/>
    <w:rsid w:val="000808B9"/>
    <w:rsid w:val="00082CE5"/>
    <w:rsid w:val="00091732"/>
    <w:rsid w:val="000A71E5"/>
    <w:rsid w:val="000E1540"/>
    <w:rsid w:val="00102517"/>
    <w:rsid w:val="001106D6"/>
    <w:rsid w:val="0012027A"/>
    <w:rsid w:val="00126EF4"/>
    <w:rsid w:val="0012714B"/>
    <w:rsid w:val="001304C4"/>
    <w:rsid w:val="00140933"/>
    <w:rsid w:val="001444A8"/>
    <w:rsid w:val="00180CE5"/>
    <w:rsid w:val="00184F2E"/>
    <w:rsid w:val="00192903"/>
    <w:rsid w:val="001C03C0"/>
    <w:rsid w:val="001D6307"/>
    <w:rsid w:val="001D6966"/>
    <w:rsid w:val="001F335D"/>
    <w:rsid w:val="00203D7E"/>
    <w:rsid w:val="00204481"/>
    <w:rsid w:val="00206E6E"/>
    <w:rsid w:val="0023115D"/>
    <w:rsid w:val="002339C1"/>
    <w:rsid w:val="002412DB"/>
    <w:rsid w:val="00254409"/>
    <w:rsid w:val="00254D9A"/>
    <w:rsid w:val="00262155"/>
    <w:rsid w:val="00277AE9"/>
    <w:rsid w:val="002A25AA"/>
    <w:rsid w:val="002B6BBF"/>
    <w:rsid w:val="002C0774"/>
    <w:rsid w:val="002C46C5"/>
    <w:rsid w:val="002C6BB7"/>
    <w:rsid w:val="002E6113"/>
    <w:rsid w:val="002F03D5"/>
    <w:rsid w:val="002F0E22"/>
    <w:rsid w:val="002F720B"/>
    <w:rsid w:val="00311798"/>
    <w:rsid w:val="00313A54"/>
    <w:rsid w:val="00320DA3"/>
    <w:rsid w:val="00334303"/>
    <w:rsid w:val="003402C4"/>
    <w:rsid w:val="00340E1B"/>
    <w:rsid w:val="00341AC5"/>
    <w:rsid w:val="003502BB"/>
    <w:rsid w:val="00352D6D"/>
    <w:rsid w:val="00355742"/>
    <w:rsid w:val="00357B7A"/>
    <w:rsid w:val="0039542A"/>
    <w:rsid w:val="003A37FE"/>
    <w:rsid w:val="003A3E83"/>
    <w:rsid w:val="003B38E2"/>
    <w:rsid w:val="003B3C8B"/>
    <w:rsid w:val="003C2416"/>
    <w:rsid w:val="003C4E27"/>
    <w:rsid w:val="003E4F8E"/>
    <w:rsid w:val="003E507B"/>
    <w:rsid w:val="003F0044"/>
    <w:rsid w:val="003F35EB"/>
    <w:rsid w:val="003F7E8F"/>
    <w:rsid w:val="004028ED"/>
    <w:rsid w:val="00403E6D"/>
    <w:rsid w:val="004124E8"/>
    <w:rsid w:val="00423AFA"/>
    <w:rsid w:val="0042631D"/>
    <w:rsid w:val="00454068"/>
    <w:rsid w:val="004717FF"/>
    <w:rsid w:val="00480975"/>
    <w:rsid w:val="004B422E"/>
    <w:rsid w:val="004B62A3"/>
    <w:rsid w:val="004D373A"/>
    <w:rsid w:val="004F33F5"/>
    <w:rsid w:val="00511172"/>
    <w:rsid w:val="00517D0F"/>
    <w:rsid w:val="005223B7"/>
    <w:rsid w:val="00530C3A"/>
    <w:rsid w:val="00532A8E"/>
    <w:rsid w:val="00550AC8"/>
    <w:rsid w:val="005717A0"/>
    <w:rsid w:val="005A5E6A"/>
    <w:rsid w:val="005C38DC"/>
    <w:rsid w:val="005C403D"/>
    <w:rsid w:val="005D116B"/>
    <w:rsid w:val="005D5F2F"/>
    <w:rsid w:val="005F1D75"/>
    <w:rsid w:val="005F725E"/>
    <w:rsid w:val="00612471"/>
    <w:rsid w:val="00614B00"/>
    <w:rsid w:val="00615992"/>
    <w:rsid w:val="00624E09"/>
    <w:rsid w:val="0063050D"/>
    <w:rsid w:val="00633D51"/>
    <w:rsid w:val="00634062"/>
    <w:rsid w:val="00682899"/>
    <w:rsid w:val="00682C3C"/>
    <w:rsid w:val="006A7AED"/>
    <w:rsid w:val="006D06D6"/>
    <w:rsid w:val="007010AC"/>
    <w:rsid w:val="007046C6"/>
    <w:rsid w:val="00712274"/>
    <w:rsid w:val="00712415"/>
    <w:rsid w:val="00720AD8"/>
    <w:rsid w:val="00735AB3"/>
    <w:rsid w:val="00741C28"/>
    <w:rsid w:val="00742D00"/>
    <w:rsid w:val="007635FA"/>
    <w:rsid w:val="00763830"/>
    <w:rsid w:val="00770B78"/>
    <w:rsid w:val="00792389"/>
    <w:rsid w:val="007B0F27"/>
    <w:rsid w:val="007D15A0"/>
    <w:rsid w:val="007E7020"/>
    <w:rsid w:val="00803403"/>
    <w:rsid w:val="008132FB"/>
    <w:rsid w:val="00817FA8"/>
    <w:rsid w:val="00821B56"/>
    <w:rsid w:val="00824D04"/>
    <w:rsid w:val="00851D26"/>
    <w:rsid w:val="00861250"/>
    <w:rsid w:val="008707D3"/>
    <w:rsid w:val="008968EA"/>
    <w:rsid w:val="008D5E6F"/>
    <w:rsid w:val="008D711D"/>
    <w:rsid w:val="008E1DAA"/>
    <w:rsid w:val="008E4D7C"/>
    <w:rsid w:val="008E5F56"/>
    <w:rsid w:val="008F3193"/>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3148D"/>
    <w:rsid w:val="00A3423D"/>
    <w:rsid w:val="00A467CA"/>
    <w:rsid w:val="00A520B3"/>
    <w:rsid w:val="00A85362"/>
    <w:rsid w:val="00A86E47"/>
    <w:rsid w:val="00A94982"/>
    <w:rsid w:val="00AA05C2"/>
    <w:rsid w:val="00AA19E5"/>
    <w:rsid w:val="00AA1AD2"/>
    <w:rsid w:val="00AB4D34"/>
    <w:rsid w:val="00AC6516"/>
    <w:rsid w:val="00AD0566"/>
    <w:rsid w:val="00AD7B16"/>
    <w:rsid w:val="00AE3ED6"/>
    <w:rsid w:val="00AF4879"/>
    <w:rsid w:val="00B00073"/>
    <w:rsid w:val="00B04326"/>
    <w:rsid w:val="00B502C4"/>
    <w:rsid w:val="00B50B06"/>
    <w:rsid w:val="00B60D8B"/>
    <w:rsid w:val="00B760BD"/>
    <w:rsid w:val="00B92758"/>
    <w:rsid w:val="00BC79A2"/>
    <w:rsid w:val="00BD3B4B"/>
    <w:rsid w:val="00BD67DF"/>
    <w:rsid w:val="00BE3A88"/>
    <w:rsid w:val="00C02779"/>
    <w:rsid w:val="00C300AF"/>
    <w:rsid w:val="00C32F2B"/>
    <w:rsid w:val="00C5025D"/>
    <w:rsid w:val="00C5070C"/>
    <w:rsid w:val="00C735CA"/>
    <w:rsid w:val="00C817B3"/>
    <w:rsid w:val="00C90498"/>
    <w:rsid w:val="00C921AB"/>
    <w:rsid w:val="00CA530C"/>
    <w:rsid w:val="00CA53CE"/>
    <w:rsid w:val="00CB1FB5"/>
    <w:rsid w:val="00CB49CF"/>
    <w:rsid w:val="00CC1E53"/>
    <w:rsid w:val="00CE6D02"/>
    <w:rsid w:val="00CF2AE7"/>
    <w:rsid w:val="00CF3964"/>
    <w:rsid w:val="00CF6AE3"/>
    <w:rsid w:val="00D01945"/>
    <w:rsid w:val="00D07B98"/>
    <w:rsid w:val="00D1617A"/>
    <w:rsid w:val="00D54C0A"/>
    <w:rsid w:val="00D76980"/>
    <w:rsid w:val="00D81BCB"/>
    <w:rsid w:val="00DA37E9"/>
    <w:rsid w:val="00DB64C1"/>
    <w:rsid w:val="00DB77E4"/>
    <w:rsid w:val="00DC6365"/>
    <w:rsid w:val="00DE0C6D"/>
    <w:rsid w:val="00E0130B"/>
    <w:rsid w:val="00E023C4"/>
    <w:rsid w:val="00E05510"/>
    <w:rsid w:val="00E05D93"/>
    <w:rsid w:val="00E30D0A"/>
    <w:rsid w:val="00E64F46"/>
    <w:rsid w:val="00E70BF8"/>
    <w:rsid w:val="00E735FB"/>
    <w:rsid w:val="00E95BC9"/>
    <w:rsid w:val="00EA2275"/>
    <w:rsid w:val="00EA606F"/>
    <w:rsid w:val="00EA65EF"/>
    <w:rsid w:val="00EB0C58"/>
    <w:rsid w:val="00EB0E4C"/>
    <w:rsid w:val="00ED6AC5"/>
    <w:rsid w:val="00EE7C53"/>
    <w:rsid w:val="00EF3278"/>
    <w:rsid w:val="00EF7574"/>
    <w:rsid w:val="00F0254E"/>
    <w:rsid w:val="00F06E17"/>
    <w:rsid w:val="00F11069"/>
    <w:rsid w:val="00F27918"/>
    <w:rsid w:val="00F74D1D"/>
    <w:rsid w:val="00F914E2"/>
    <w:rsid w:val="00F94AEF"/>
    <w:rsid w:val="00F94C5D"/>
    <w:rsid w:val="00FA095C"/>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4FBBB2"/>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AF0F-8EB3-458D-9891-0C5C70BB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838</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12</cp:revision>
  <cp:lastPrinted>2014-04-22T03:39:00Z</cp:lastPrinted>
  <dcterms:created xsi:type="dcterms:W3CDTF">2017-11-08T22:22:00Z</dcterms:created>
  <dcterms:modified xsi:type="dcterms:W3CDTF">2018-06-22T03:11:00Z</dcterms:modified>
</cp:coreProperties>
</file>