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E2" w:rsidRPr="00C26AA1" w:rsidRDefault="003B38E2" w:rsidP="00DB64C1">
      <w:pPr>
        <w:keepNext/>
        <w:pBdr>
          <w:bottom w:val="single" w:sz="12" w:space="6" w:color="auto"/>
        </w:pBdr>
        <w:spacing w:after="120"/>
        <w:jc w:val="center"/>
        <w:outlineLvl w:val="0"/>
        <w:rPr>
          <w:rFonts w:ascii="Arial" w:hAnsi="Arial"/>
          <w:b/>
          <w:bCs/>
          <w:kern w:val="32"/>
          <w:sz w:val="32"/>
          <w:szCs w:val="32"/>
        </w:rPr>
      </w:pPr>
      <w:r w:rsidRPr="00C26AA1">
        <w:rPr>
          <w:rFonts w:ascii="Arial" w:hAnsi="Arial"/>
          <w:b/>
          <w:bCs/>
          <w:kern w:val="32"/>
          <w:sz w:val="32"/>
          <w:szCs w:val="32"/>
        </w:rPr>
        <w:t>Reasons for Decision</w:t>
      </w:r>
    </w:p>
    <w:p w:rsidR="00DB64C1" w:rsidRPr="005F725E" w:rsidRDefault="00DB64C1" w:rsidP="003B38E2">
      <w:pPr>
        <w:overflowPunct w:val="0"/>
        <w:autoSpaceDE w:val="0"/>
        <w:autoSpaceDN w:val="0"/>
        <w:adjustRightInd w:val="0"/>
        <w:spacing w:after="200"/>
        <w:ind w:left="2835" w:hanging="2835"/>
        <w:outlineLvl w:val="0"/>
        <w:rPr>
          <w:rFonts w:ascii="Arial" w:hAnsi="Arial"/>
          <w:szCs w:val="20"/>
        </w:rPr>
      </w:pPr>
      <w:r>
        <w:rPr>
          <w:rFonts w:ascii="Arial" w:hAnsi="Arial"/>
          <w:b/>
          <w:szCs w:val="20"/>
        </w:rPr>
        <w:t>Complainant:</w:t>
      </w:r>
      <w:r>
        <w:rPr>
          <w:rFonts w:ascii="Arial" w:hAnsi="Arial"/>
          <w:b/>
          <w:szCs w:val="20"/>
        </w:rPr>
        <w:tab/>
      </w:r>
      <w:r w:rsidR="006D7F14">
        <w:rPr>
          <w:rFonts w:ascii="Arial" w:hAnsi="Arial"/>
          <w:szCs w:val="20"/>
        </w:rPr>
        <w:t xml:space="preserve">Mr </w:t>
      </w:r>
      <w:r w:rsidR="00E556A7">
        <w:rPr>
          <w:rFonts w:ascii="Arial" w:hAnsi="Arial"/>
          <w:szCs w:val="20"/>
        </w:rPr>
        <w:t>T</w:t>
      </w:r>
    </w:p>
    <w:p w:rsidR="003B38E2" w:rsidRPr="005F725E" w:rsidRDefault="003B38E2" w:rsidP="003B38E2">
      <w:pPr>
        <w:overflowPunct w:val="0"/>
        <w:autoSpaceDE w:val="0"/>
        <w:autoSpaceDN w:val="0"/>
        <w:adjustRightInd w:val="0"/>
        <w:spacing w:after="200"/>
        <w:ind w:left="2835" w:hanging="2835"/>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r w:rsidR="006D7F14">
        <w:rPr>
          <w:rFonts w:ascii="Arial" w:hAnsi="Arial" w:cs="Arial"/>
          <w:lang w:val="en-GB"/>
        </w:rPr>
        <w:t>Sportsbet Pty Ltd</w:t>
      </w:r>
    </w:p>
    <w:p w:rsidR="003B38E2" w:rsidRPr="00DB64C1" w:rsidRDefault="003B38E2" w:rsidP="003B38E2">
      <w:pPr>
        <w:spacing w:after="200"/>
        <w:ind w:left="2835" w:hanging="2835"/>
        <w:rPr>
          <w:rFonts w:ascii="Arial" w:hAnsi="Arial" w:cs="Arial"/>
          <w:lang w:val="en-GB"/>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sidR="005F725E" w:rsidRPr="005463CA">
        <w:rPr>
          <w:rFonts w:ascii="Arial" w:hAnsi="Arial" w:cs="Arial"/>
        </w:rPr>
        <w:t>Pursu</w:t>
      </w:r>
      <w:r w:rsidR="005F725E">
        <w:rPr>
          <w:rFonts w:ascii="Arial" w:hAnsi="Arial" w:cs="Arial"/>
        </w:rPr>
        <w:t>ant t</w:t>
      </w:r>
      <w:r w:rsidR="005F725E" w:rsidRPr="005463CA">
        <w:rPr>
          <w:rFonts w:ascii="Arial" w:hAnsi="Arial" w:cs="Arial"/>
        </w:rPr>
        <w:t xml:space="preserve">o Section 85(4) </w:t>
      </w:r>
      <w:r w:rsidR="005F725E">
        <w:rPr>
          <w:rFonts w:ascii="Arial" w:hAnsi="Arial" w:cs="Arial"/>
        </w:rPr>
        <w:t>o</w:t>
      </w:r>
      <w:r w:rsidR="005F725E" w:rsidRPr="005463CA">
        <w:rPr>
          <w:rFonts w:ascii="Arial" w:hAnsi="Arial" w:cs="Arial"/>
        </w:rPr>
        <w:t xml:space="preserve">f </w:t>
      </w:r>
      <w:r w:rsidR="005F725E">
        <w:rPr>
          <w:rFonts w:ascii="Arial" w:hAnsi="Arial" w:cs="Arial"/>
        </w:rPr>
        <w:t>t</w:t>
      </w:r>
      <w:r w:rsidR="005F725E" w:rsidRPr="005463CA">
        <w:rPr>
          <w:rFonts w:ascii="Arial" w:hAnsi="Arial" w:cs="Arial"/>
        </w:rPr>
        <w:t xml:space="preserve">he </w:t>
      </w:r>
      <w:r w:rsidR="005F725E" w:rsidRPr="005463CA">
        <w:rPr>
          <w:rFonts w:ascii="Arial" w:hAnsi="Arial" w:cs="Arial"/>
          <w:i/>
        </w:rPr>
        <w:t xml:space="preserve">Racing </w:t>
      </w:r>
      <w:proofErr w:type="gramStart"/>
      <w:r w:rsidR="005F725E" w:rsidRPr="005463CA">
        <w:rPr>
          <w:rFonts w:ascii="Arial" w:hAnsi="Arial" w:cs="Arial"/>
          <w:i/>
        </w:rPr>
        <w:t>And</w:t>
      </w:r>
      <w:proofErr w:type="gramEnd"/>
      <w:r w:rsidR="005F725E" w:rsidRPr="005463CA">
        <w:rPr>
          <w:rFonts w:ascii="Arial" w:hAnsi="Arial" w:cs="Arial"/>
          <w:i/>
        </w:rPr>
        <w:t xml:space="preserve"> Betting </w:t>
      </w:r>
      <w:r w:rsidR="005F725E">
        <w:rPr>
          <w:rFonts w:ascii="Arial" w:hAnsi="Arial" w:cs="Arial"/>
          <w:i/>
        </w:rPr>
        <w:t>Act</w:t>
      </w:r>
      <w:r w:rsidR="005F725E" w:rsidRPr="005463CA">
        <w:rPr>
          <w:rFonts w:ascii="Arial" w:hAnsi="Arial" w:cs="Arial"/>
        </w:rPr>
        <w:t xml:space="preserve"> – Referral </w:t>
      </w:r>
      <w:r w:rsidR="005F725E">
        <w:rPr>
          <w:rFonts w:ascii="Arial" w:hAnsi="Arial" w:cs="Arial"/>
        </w:rPr>
        <w:t>o</w:t>
      </w:r>
      <w:r w:rsidR="005F725E" w:rsidRPr="005463CA">
        <w:rPr>
          <w:rFonts w:ascii="Arial" w:hAnsi="Arial" w:cs="Arial"/>
        </w:rPr>
        <w:t xml:space="preserve">f Dispute </w:t>
      </w:r>
      <w:r w:rsidR="005F725E">
        <w:rPr>
          <w:rFonts w:ascii="Arial" w:hAnsi="Arial" w:cs="Arial"/>
        </w:rPr>
        <w:t>t</w:t>
      </w:r>
      <w:r w:rsidR="005F725E" w:rsidRPr="005463CA">
        <w:rPr>
          <w:rFonts w:ascii="Arial" w:hAnsi="Arial" w:cs="Arial"/>
        </w:rPr>
        <w:t xml:space="preserve">o Racing Commission </w:t>
      </w:r>
      <w:r w:rsidR="005F725E">
        <w:rPr>
          <w:rFonts w:ascii="Arial" w:hAnsi="Arial" w:cs="Arial"/>
        </w:rPr>
        <w:t>f</w:t>
      </w:r>
      <w:r w:rsidR="005F725E" w:rsidRPr="005463CA">
        <w:rPr>
          <w:rFonts w:ascii="Arial" w:hAnsi="Arial" w:cs="Arial"/>
        </w:rPr>
        <w:t>or Determin</w:t>
      </w:r>
      <w:r w:rsidR="005F725E">
        <w:rPr>
          <w:rFonts w:ascii="Arial" w:hAnsi="Arial" w:cs="Arial"/>
        </w:rPr>
        <w:t>a</w:t>
      </w:r>
      <w:r w:rsidR="005F725E" w:rsidRPr="005463CA">
        <w:rPr>
          <w:rFonts w:ascii="Arial" w:hAnsi="Arial" w:cs="Arial"/>
        </w:rPr>
        <w:t>tion</w:t>
      </w:r>
    </w:p>
    <w:p w:rsidR="003B38E2" w:rsidRDefault="003B38E2" w:rsidP="005F725E">
      <w:pPr>
        <w:spacing w:after="120"/>
        <w:ind w:left="2835" w:hanging="2835"/>
        <w:rPr>
          <w:rFonts w:ascii="Arial" w:hAnsi="Arial" w:cs="Arial"/>
          <w:lang w:val="en-GB"/>
        </w:rPr>
      </w:pPr>
      <w:r>
        <w:rPr>
          <w:rFonts w:ascii="Arial" w:hAnsi="Arial"/>
          <w:b/>
          <w:szCs w:val="20"/>
        </w:rPr>
        <w:t>Heard Before</w:t>
      </w:r>
      <w:r w:rsidRPr="00C05A58">
        <w:rPr>
          <w:rFonts w:ascii="Arial" w:hAnsi="Arial" w:cs="Arial"/>
          <w:b/>
          <w:lang w:val="en-GB"/>
        </w:rPr>
        <w:t>:</w:t>
      </w:r>
      <w:r w:rsidRPr="00C05A58">
        <w:rPr>
          <w:rFonts w:ascii="Arial" w:hAnsi="Arial" w:cs="Arial"/>
          <w:b/>
          <w:lang w:val="en-GB"/>
        </w:rPr>
        <w:tab/>
      </w:r>
      <w:r w:rsidR="006D7F14" w:rsidRPr="006D7F14">
        <w:rPr>
          <w:rFonts w:ascii="Arial" w:hAnsi="Arial" w:cs="Arial"/>
          <w:lang w:val="en-GB"/>
        </w:rPr>
        <w:t xml:space="preserve">Mr </w:t>
      </w:r>
      <w:r w:rsidR="006D7F14">
        <w:rPr>
          <w:rFonts w:ascii="Arial" w:hAnsi="Arial" w:cs="Arial"/>
          <w:lang w:val="en-GB"/>
        </w:rPr>
        <w:t xml:space="preserve">John </w:t>
      </w:r>
      <w:proofErr w:type="spellStart"/>
      <w:r w:rsidR="006D7F14">
        <w:rPr>
          <w:rFonts w:ascii="Arial" w:hAnsi="Arial" w:cs="Arial"/>
          <w:lang w:val="en-GB"/>
        </w:rPr>
        <w:t>Boneham</w:t>
      </w:r>
      <w:proofErr w:type="spellEnd"/>
      <w:r w:rsidR="006D7F14">
        <w:rPr>
          <w:rFonts w:ascii="Arial" w:hAnsi="Arial" w:cs="Arial"/>
          <w:lang w:val="en-GB"/>
        </w:rPr>
        <w:t xml:space="preserve"> (Presiding Member)</w:t>
      </w:r>
    </w:p>
    <w:p w:rsidR="00DB64C1" w:rsidRDefault="00DB64C1" w:rsidP="005F725E">
      <w:pPr>
        <w:spacing w:after="120"/>
        <w:ind w:left="2835" w:hanging="2835"/>
        <w:rPr>
          <w:rFonts w:ascii="Arial" w:hAnsi="Arial" w:cs="Arial"/>
        </w:rPr>
      </w:pPr>
      <w:r w:rsidRPr="005F725E">
        <w:rPr>
          <w:rFonts w:ascii="Arial" w:hAnsi="Arial" w:cs="Arial"/>
          <w:b/>
        </w:rPr>
        <w:t>(</w:t>
      </w:r>
      <w:proofErr w:type="gramStart"/>
      <w:r w:rsidRPr="005F725E">
        <w:rPr>
          <w:rFonts w:ascii="Arial" w:hAnsi="Arial" w:cs="Arial"/>
          <w:b/>
        </w:rPr>
        <w:t>on</w:t>
      </w:r>
      <w:proofErr w:type="gramEnd"/>
      <w:r w:rsidRPr="005F725E">
        <w:rPr>
          <w:rFonts w:ascii="Arial" w:hAnsi="Arial" w:cs="Arial"/>
          <w:b/>
        </w:rPr>
        <w:t xml:space="preserve"> papers)</w:t>
      </w:r>
      <w:r w:rsidRPr="005F725E">
        <w:rPr>
          <w:rFonts w:ascii="Arial" w:hAnsi="Arial" w:cs="Arial"/>
          <w:b/>
        </w:rPr>
        <w:tab/>
      </w:r>
      <w:r w:rsidR="006D7F14">
        <w:rPr>
          <w:rFonts w:ascii="Arial" w:hAnsi="Arial" w:cs="Arial"/>
          <w:lang w:val="en-GB"/>
        </w:rPr>
        <w:t>Mr Jim McNally</w:t>
      </w:r>
    </w:p>
    <w:p w:rsidR="006D7F14" w:rsidRDefault="005F725E" w:rsidP="006D7F14">
      <w:pPr>
        <w:spacing w:after="120"/>
        <w:ind w:left="2835" w:hanging="2835"/>
        <w:rPr>
          <w:rFonts w:ascii="Arial" w:hAnsi="Arial" w:cs="Arial"/>
        </w:rPr>
      </w:pPr>
      <w:r w:rsidRPr="005F725E">
        <w:rPr>
          <w:rFonts w:ascii="Arial" w:hAnsi="Arial" w:cs="Arial"/>
        </w:rPr>
        <w:tab/>
      </w:r>
      <w:r w:rsidR="006D7F14">
        <w:rPr>
          <w:rFonts w:ascii="Arial" w:hAnsi="Arial" w:cs="Arial"/>
          <w:lang w:val="en-GB"/>
        </w:rPr>
        <w:t>Mr David Loy</w:t>
      </w:r>
    </w:p>
    <w:p w:rsidR="003B38E2" w:rsidRPr="005F725E" w:rsidRDefault="003B38E2" w:rsidP="003B38E2">
      <w:pPr>
        <w:spacing w:after="200"/>
        <w:ind w:left="2835" w:hanging="2835"/>
        <w:rPr>
          <w:rFonts w:ascii="Arial" w:hAnsi="Arial" w:cs="Arial"/>
        </w:rPr>
      </w:pPr>
      <w:r>
        <w:rPr>
          <w:rFonts w:ascii="Arial" w:hAnsi="Arial" w:cs="Arial"/>
          <w:b/>
        </w:rPr>
        <w:t xml:space="preserve">Date of </w:t>
      </w:r>
      <w:r w:rsidRPr="00A30195">
        <w:rPr>
          <w:rFonts w:ascii="Arial" w:hAnsi="Arial"/>
          <w:b/>
          <w:szCs w:val="20"/>
        </w:rPr>
        <w:t>Decision</w:t>
      </w:r>
      <w:r>
        <w:rPr>
          <w:rFonts w:ascii="Arial" w:hAnsi="Arial" w:cs="Arial"/>
          <w:b/>
        </w:rPr>
        <w:t>:</w:t>
      </w:r>
      <w:r>
        <w:rPr>
          <w:rFonts w:ascii="Arial" w:hAnsi="Arial" w:cs="Arial"/>
          <w:b/>
        </w:rPr>
        <w:tab/>
      </w:r>
      <w:r w:rsidR="00510B13">
        <w:rPr>
          <w:rFonts w:ascii="Arial" w:hAnsi="Arial" w:cs="Arial"/>
        </w:rPr>
        <w:t>31</w:t>
      </w:r>
      <w:r w:rsidR="00510B13" w:rsidRPr="00510B13">
        <w:rPr>
          <w:rFonts w:ascii="Arial" w:hAnsi="Arial" w:cs="Arial"/>
        </w:rPr>
        <w:t xml:space="preserve"> </w:t>
      </w:r>
      <w:bookmarkStart w:id="0" w:name="_GoBack"/>
      <w:bookmarkEnd w:id="0"/>
      <w:r w:rsidR="00510B13" w:rsidRPr="00510B13">
        <w:rPr>
          <w:rFonts w:ascii="Arial" w:hAnsi="Arial" w:cs="Arial"/>
        </w:rPr>
        <w:t>January 2017</w:t>
      </w:r>
    </w:p>
    <w:p w:rsidR="003B38E2" w:rsidRPr="00A30195" w:rsidRDefault="003B38E2" w:rsidP="003B38E2">
      <w:pPr>
        <w:pStyle w:val="BottomLine"/>
      </w:pPr>
    </w:p>
    <w:p w:rsidR="003B38E2" w:rsidRPr="00903E87" w:rsidRDefault="00DB64C1" w:rsidP="006D7F14">
      <w:pPr>
        <w:pStyle w:val="Heading2"/>
        <w:spacing w:before="0" w:line="360" w:lineRule="auto"/>
        <w:rPr>
          <w:rFonts w:cs="Arial"/>
        </w:rPr>
      </w:pPr>
      <w:r w:rsidRPr="003B38E2">
        <w:t>Background</w:t>
      </w:r>
    </w:p>
    <w:p w:rsidR="006D7F14" w:rsidRPr="006D7F14" w:rsidRDefault="006D7F14" w:rsidP="006D7F14">
      <w:pPr>
        <w:pStyle w:val="ListParagraph"/>
        <w:numPr>
          <w:ilvl w:val="0"/>
          <w:numId w:val="16"/>
        </w:numPr>
        <w:spacing w:after="240"/>
        <w:ind w:left="567" w:hanging="425"/>
        <w:jc w:val="both"/>
        <w:rPr>
          <w:rFonts w:ascii="Arial" w:hAnsi="Arial" w:cs="Arial"/>
        </w:rPr>
      </w:pPr>
      <w:r>
        <w:rPr>
          <w:rFonts w:ascii="Arial" w:hAnsi="Arial" w:cs="Arial"/>
        </w:rPr>
        <w:t xml:space="preserve">On 22 November 2016, Mr </w:t>
      </w:r>
      <w:r w:rsidR="00E556A7">
        <w:rPr>
          <w:rFonts w:ascii="Arial" w:hAnsi="Arial" w:cs="Arial"/>
        </w:rPr>
        <w:t>T</w:t>
      </w:r>
      <w:r>
        <w:rPr>
          <w:rFonts w:ascii="Arial" w:hAnsi="Arial" w:cs="Arial"/>
        </w:rPr>
        <w:t xml:space="preserve"> lodged a betting dispute in which he alleged he had asked the Bookmaker (</w:t>
      </w:r>
      <w:r w:rsidRPr="00943430">
        <w:rPr>
          <w:rFonts w:ascii="Arial" w:hAnsi="Arial" w:cs="Arial"/>
        </w:rPr>
        <w:t>Sportsbet Pty Ltd</w:t>
      </w:r>
      <w:r>
        <w:rPr>
          <w:rFonts w:ascii="Arial" w:hAnsi="Arial" w:cs="Arial"/>
        </w:rPr>
        <w:t>) to immediately close his betting account.</w:t>
      </w:r>
    </w:p>
    <w:p w:rsidR="006D7F14" w:rsidRDefault="006D7F14" w:rsidP="006D7F14">
      <w:pPr>
        <w:pStyle w:val="ListParagraph"/>
        <w:numPr>
          <w:ilvl w:val="0"/>
          <w:numId w:val="16"/>
        </w:numPr>
        <w:spacing w:after="240"/>
        <w:ind w:left="567" w:hanging="425"/>
        <w:jc w:val="both"/>
        <w:rPr>
          <w:rFonts w:ascii="Arial" w:hAnsi="Arial" w:cs="Arial"/>
        </w:rPr>
      </w:pPr>
      <w:r>
        <w:rPr>
          <w:rFonts w:ascii="Arial" w:hAnsi="Arial" w:cs="Arial"/>
        </w:rPr>
        <w:t xml:space="preserve">Mr </w:t>
      </w:r>
      <w:r w:rsidR="00E556A7">
        <w:rPr>
          <w:rFonts w:ascii="Arial" w:hAnsi="Arial" w:cs="Arial"/>
        </w:rPr>
        <w:t>T</w:t>
      </w:r>
      <w:r>
        <w:rPr>
          <w:rFonts w:ascii="Arial" w:hAnsi="Arial" w:cs="Arial"/>
        </w:rPr>
        <w:t xml:space="preserve"> alleges that he did this because he had </w:t>
      </w:r>
      <w:r w:rsidRPr="006D7F14">
        <w:rPr>
          <w:rFonts w:ascii="Arial" w:hAnsi="Arial" w:cs="Arial"/>
          <w:i/>
        </w:rPr>
        <w:t>“maxed out four credit cards and personal loans and a home loan of about $200,000 and was in deep financial trouble</w:t>
      </w:r>
      <w:r>
        <w:rPr>
          <w:rFonts w:ascii="Arial" w:hAnsi="Arial" w:cs="Arial"/>
        </w:rPr>
        <w:t>”.</w:t>
      </w:r>
    </w:p>
    <w:p w:rsidR="006D7F14" w:rsidRPr="006D7F14" w:rsidRDefault="006D7F14" w:rsidP="006D7F14">
      <w:pPr>
        <w:pStyle w:val="ListParagraph"/>
        <w:numPr>
          <w:ilvl w:val="0"/>
          <w:numId w:val="16"/>
        </w:numPr>
        <w:spacing w:after="240"/>
        <w:ind w:left="567" w:hanging="425"/>
        <w:jc w:val="both"/>
        <w:rPr>
          <w:rFonts w:ascii="Arial" w:hAnsi="Arial" w:cs="Arial"/>
        </w:rPr>
      </w:pPr>
      <w:r>
        <w:rPr>
          <w:rFonts w:ascii="Arial" w:hAnsi="Arial" w:cs="Arial"/>
        </w:rPr>
        <w:t>Subsequent to this cancellation of account request he further alleges he received two phone calls from Sportsbet and was able to access his account.</w:t>
      </w:r>
      <w:r w:rsidRPr="006D7F14">
        <w:rPr>
          <w:rFonts w:ascii="Arial" w:hAnsi="Arial" w:cs="Arial"/>
        </w:rPr>
        <w:t xml:space="preserve">                                                         </w:t>
      </w:r>
    </w:p>
    <w:p w:rsidR="006D7F14" w:rsidRPr="006D7F14" w:rsidRDefault="006D7F14" w:rsidP="006D7F14">
      <w:pPr>
        <w:pStyle w:val="ListParagraph"/>
        <w:numPr>
          <w:ilvl w:val="0"/>
          <w:numId w:val="16"/>
        </w:numPr>
        <w:spacing w:after="240"/>
        <w:ind w:left="567" w:hanging="425"/>
        <w:jc w:val="both"/>
        <w:rPr>
          <w:rFonts w:ascii="Arial" w:hAnsi="Arial" w:cs="Arial"/>
        </w:rPr>
      </w:pPr>
      <w:r>
        <w:rPr>
          <w:rFonts w:ascii="Arial" w:hAnsi="Arial" w:cs="Arial"/>
        </w:rPr>
        <w:t>As a result of his alleged ability to access his account he claims to have then proceeded to lose some $37,000 on new credit cards.</w:t>
      </w:r>
    </w:p>
    <w:p w:rsidR="006D7F14" w:rsidRDefault="006D7F14" w:rsidP="006D7F14">
      <w:pPr>
        <w:pStyle w:val="ListParagraph"/>
        <w:numPr>
          <w:ilvl w:val="0"/>
          <w:numId w:val="16"/>
        </w:numPr>
        <w:spacing w:after="240"/>
        <w:ind w:left="567" w:hanging="425"/>
        <w:jc w:val="both"/>
        <w:rPr>
          <w:rFonts w:ascii="Arial" w:hAnsi="Arial" w:cs="Arial"/>
        </w:rPr>
      </w:pPr>
      <w:r>
        <w:rPr>
          <w:rFonts w:ascii="Arial" w:hAnsi="Arial" w:cs="Arial"/>
        </w:rPr>
        <w:t xml:space="preserve">Accordingly Mr </w:t>
      </w:r>
      <w:r w:rsidR="00E556A7">
        <w:rPr>
          <w:rFonts w:ascii="Arial" w:hAnsi="Arial" w:cs="Arial"/>
        </w:rPr>
        <w:t>T</w:t>
      </w:r>
      <w:r>
        <w:rPr>
          <w:rFonts w:ascii="Arial" w:hAnsi="Arial" w:cs="Arial"/>
        </w:rPr>
        <w:t xml:space="preserve"> is seeking a return of these funds as he claims, but for the actions of the Bookmaker and their alleged illegality he would not have sustained the loss.</w:t>
      </w:r>
    </w:p>
    <w:p w:rsidR="006D7F14" w:rsidRDefault="006D7F14" w:rsidP="006D7F14">
      <w:pPr>
        <w:pStyle w:val="ListParagraph"/>
        <w:numPr>
          <w:ilvl w:val="0"/>
          <w:numId w:val="16"/>
        </w:numPr>
        <w:spacing w:after="240"/>
        <w:ind w:left="567" w:hanging="425"/>
        <w:jc w:val="both"/>
        <w:rPr>
          <w:rFonts w:ascii="Arial" w:hAnsi="Arial" w:cs="Arial"/>
        </w:rPr>
      </w:pPr>
      <w:r>
        <w:rPr>
          <w:rFonts w:ascii="Arial" w:hAnsi="Arial" w:cs="Arial"/>
        </w:rPr>
        <w:t>Sportsbet were asked by the Commission for their response to the dispute, their detailed response being received on 29 November 2016.</w:t>
      </w:r>
    </w:p>
    <w:p w:rsidR="006D7F14" w:rsidRDefault="006D7F14" w:rsidP="006D7F14">
      <w:pPr>
        <w:pStyle w:val="ListParagraph"/>
        <w:numPr>
          <w:ilvl w:val="0"/>
          <w:numId w:val="16"/>
        </w:numPr>
        <w:spacing w:after="240"/>
        <w:ind w:left="567" w:hanging="425"/>
        <w:jc w:val="both"/>
        <w:rPr>
          <w:rFonts w:ascii="Arial" w:hAnsi="Arial" w:cs="Arial"/>
        </w:rPr>
      </w:pPr>
      <w:r>
        <w:rPr>
          <w:rFonts w:ascii="Arial" w:hAnsi="Arial" w:cs="Arial"/>
        </w:rPr>
        <w:t xml:space="preserve">This response included telephone recordings of conversations between their operators and Mr </w:t>
      </w:r>
      <w:r w:rsidR="00E556A7">
        <w:rPr>
          <w:rFonts w:ascii="Arial" w:hAnsi="Arial" w:cs="Arial"/>
        </w:rPr>
        <w:t>T</w:t>
      </w:r>
      <w:r>
        <w:rPr>
          <w:rFonts w:ascii="Arial" w:hAnsi="Arial" w:cs="Arial"/>
        </w:rPr>
        <w:t xml:space="preserve"> around the telephone call of 7 June 2016, in which </w:t>
      </w:r>
      <w:r>
        <w:rPr>
          <w:rFonts w:ascii="Arial" w:hAnsi="Arial" w:cs="Arial"/>
        </w:rPr>
        <w:br/>
        <w:t xml:space="preserve">Mr </w:t>
      </w:r>
      <w:r w:rsidR="00E556A7">
        <w:rPr>
          <w:rFonts w:ascii="Arial" w:hAnsi="Arial" w:cs="Arial"/>
        </w:rPr>
        <w:t>T</w:t>
      </w:r>
      <w:r>
        <w:rPr>
          <w:rFonts w:ascii="Arial" w:hAnsi="Arial" w:cs="Arial"/>
        </w:rPr>
        <w:t xml:space="preserve"> requested closure of his account and his request to re-open his account, which occurred on 15 October 2016.</w:t>
      </w:r>
    </w:p>
    <w:p w:rsidR="007046C6" w:rsidRDefault="00DB64C1" w:rsidP="006D7F14">
      <w:pPr>
        <w:pStyle w:val="Heading2"/>
        <w:spacing w:line="360" w:lineRule="auto"/>
      </w:pPr>
      <w:r>
        <w:t>Facts of the Matter</w:t>
      </w:r>
    </w:p>
    <w:p w:rsidR="006D7F14" w:rsidRDefault="006D7F14" w:rsidP="006D7F14">
      <w:pPr>
        <w:pStyle w:val="ListParagraph"/>
        <w:numPr>
          <w:ilvl w:val="0"/>
          <w:numId w:val="16"/>
        </w:numPr>
        <w:spacing w:line="276" w:lineRule="auto"/>
        <w:ind w:left="567" w:hanging="425"/>
        <w:contextualSpacing/>
        <w:jc w:val="both"/>
        <w:rPr>
          <w:rFonts w:ascii="Arial" w:hAnsi="Arial" w:cs="Arial"/>
        </w:rPr>
      </w:pPr>
      <w:r>
        <w:rPr>
          <w:rFonts w:ascii="Arial" w:hAnsi="Arial" w:cs="Arial"/>
        </w:rPr>
        <w:t xml:space="preserve">A betting account was opened by Mr </w:t>
      </w:r>
      <w:r w:rsidR="00E556A7">
        <w:rPr>
          <w:rFonts w:ascii="Arial" w:hAnsi="Arial" w:cs="Arial"/>
        </w:rPr>
        <w:t>T</w:t>
      </w:r>
      <w:r>
        <w:rPr>
          <w:rFonts w:ascii="Arial" w:hAnsi="Arial" w:cs="Arial"/>
        </w:rPr>
        <w:t xml:space="preserve"> with Sportsbet (Account number </w:t>
      </w:r>
      <w:proofErr w:type="spellStart"/>
      <w:r w:rsidR="00E556A7">
        <w:rPr>
          <w:rFonts w:ascii="Arial" w:hAnsi="Arial" w:cs="Arial"/>
        </w:rPr>
        <w:t>XXXXXX</w:t>
      </w:r>
      <w:proofErr w:type="spellEnd"/>
      <w:r>
        <w:rPr>
          <w:rFonts w:ascii="Arial" w:hAnsi="Arial" w:cs="Arial"/>
        </w:rPr>
        <w:t>) on 2 November 2009.</w:t>
      </w:r>
    </w:p>
    <w:p w:rsidR="006D7F14" w:rsidRPr="00FC0A53" w:rsidRDefault="006D7F14" w:rsidP="006D7F14">
      <w:pPr>
        <w:ind w:left="567" w:hanging="425"/>
        <w:jc w:val="both"/>
        <w:rPr>
          <w:rFonts w:ascii="Arial" w:hAnsi="Arial" w:cs="Arial"/>
        </w:rPr>
      </w:pPr>
    </w:p>
    <w:p w:rsidR="006D7F14" w:rsidRDefault="006D7F14" w:rsidP="006D7F14">
      <w:pPr>
        <w:pStyle w:val="ListParagraph"/>
        <w:numPr>
          <w:ilvl w:val="0"/>
          <w:numId w:val="16"/>
        </w:numPr>
        <w:spacing w:line="276" w:lineRule="auto"/>
        <w:ind w:left="567" w:hanging="425"/>
        <w:contextualSpacing/>
        <w:jc w:val="both"/>
        <w:rPr>
          <w:rFonts w:ascii="Arial" w:hAnsi="Arial" w:cs="Arial"/>
        </w:rPr>
      </w:pPr>
      <w:r>
        <w:rPr>
          <w:rFonts w:ascii="Arial" w:hAnsi="Arial" w:cs="Arial"/>
        </w:rPr>
        <w:t>The Bookmaker has provided an excerpt of the clients account from opening date to 6 December 2016.</w:t>
      </w:r>
    </w:p>
    <w:p w:rsidR="006D7F14" w:rsidRDefault="006D7F14" w:rsidP="006D7F14">
      <w:pPr>
        <w:ind w:left="567" w:hanging="425"/>
        <w:jc w:val="both"/>
        <w:rPr>
          <w:rFonts w:ascii="Arial" w:hAnsi="Arial" w:cs="Arial"/>
        </w:rPr>
      </w:pPr>
    </w:p>
    <w:p w:rsidR="006D7F14" w:rsidRDefault="006D7F14" w:rsidP="006D7F14">
      <w:pPr>
        <w:pStyle w:val="ListParagraph"/>
        <w:numPr>
          <w:ilvl w:val="0"/>
          <w:numId w:val="16"/>
        </w:numPr>
        <w:spacing w:line="276" w:lineRule="auto"/>
        <w:ind w:left="567" w:hanging="425"/>
        <w:contextualSpacing/>
        <w:jc w:val="both"/>
        <w:rPr>
          <w:rFonts w:ascii="Arial" w:hAnsi="Arial" w:cs="Arial"/>
        </w:rPr>
      </w:pPr>
      <w:r>
        <w:rPr>
          <w:rFonts w:ascii="Arial" w:hAnsi="Arial" w:cs="Arial"/>
        </w:rPr>
        <w:lastRenderedPageBreak/>
        <w:t>It demonstrates a significant amount of wagering from 2 November 2009 through to May 2016.  No wagering from June 2016 until 14 October 2016 and then a significant amount of wagering from 15 October 2016 until 11 November 2016.</w:t>
      </w:r>
    </w:p>
    <w:p w:rsidR="006D7F14" w:rsidRDefault="006D7F14" w:rsidP="006D7F14">
      <w:pPr>
        <w:ind w:left="567" w:hanging="425"/>
        <w:jc w:val="both"/>
        <w:rPr>
          <w:rFonts w:ascii="Arial" w:hAnsi="Arial" w:cs="Arial"/>
          <w:b/>
        </w:rPr>
      </w:pPr>
    </w:p>
    <w:p w:rsidR="006D7F14" w:rsidRPr="006D7F14" w:rsidRDefault="006D7F14" w:rsidP="006D7F14">
      <w:pPr>
        <w:pStyle w:val="ListParagraph"/>
        <w:numPr>
          <w:ilvl w:val="0"/>
          <w:numId w:val="17"/>
        </w:numPr>
        <w:spacing w:line="276" w:lineRule="auto"/>
        <w:ind w:left="567" w:hanging="425"/>
        <w:contextualSpacing/>
        <w:jc w:val="both"/>
        <w:rPr>
          <w:rFonts w:ascii="Arial" w:hAnsi="Arial" w:cs="Arial"/>
          <w:i/>
        </w:rPr>
      </w:pPr>
      <w:r>
        <w:rPr>
          <w:rFonts w:ascii="Arial" w:hAnsi="Arial" w:cs="Arial"/>
        </w:rPr>
        <w:t xml:space="preserve">Mr </w:t>
      </w:r>
      <w:r w:rsidR="00E556A7">
        <w:rPr>
          <w:rFonts w:ascii="Arial" w:hAnsi="Arial" w:cs="Arial"/>
        </w:rPr>
        <w:t>T</w:t>
      </w:r>
      <w:r>
        <w:rPr>
          <w:rFonts w:ascii="Arial" w:hAnsi="Arial" w:cs="Arial"/>
        </w:rPr>
        <w:t xml:space="preserve"> states in his dispute </w:t>
      </w:r>
      <w:r w:rsidRPr="006D7F14">
        <w:rPr>
          <w:rFonts w:ascii="Arial" w:hAnsi="Arial" w:cs="Arial"/>
          <w:i/>
        </w:rPr>
        <w:t>“Some six months ago I contacted Sportsbet and asked to permanently cancel my Sportsbet account”.</w:t>
      </w:r>
    </w:p>
    <w:p w:rsidR="006D7F14" w:rsidRPr="00655CF4" w:rsidRDefault="006D7F14" w:rsidP="006D7F14">
      <w:pPr>
        <w:ind w:left="567" w:hanging="425"/>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Sportsbet have confirmed that on 7 June 2016</w:t>
      </w:r>
      <w:r w:rsidR="00F41F72">
        <w:rPr>
          <w:rFonts w:ascii="Arial" w:hAnsi="Arial" w:cs="Arial"/>
        </w:rPr>
        <w:t>,</w:t>
      </w:r>
      <w:r>
        <w:rPr>
          <w:rFonts w:ascii="Arial" w:hAnsi="Arial" w:cs="Arial"/>
        </w:rPr>
        <w:t xml:space="preserve"> it did indeed receive a call from </w:t>
      </w:r>
      <w:r>
        <w:rPr>
          <w:rFonts w:ascii="Arial" w:hAnsi="Arial" w:cs="Arial"/>
        </w:rPr>
        <w:br/>
        <w:t xml:space="preserve">Mr </w:t>
      </w:r>
      <w:r w:rsidR="00E556A7">
        <w:rPr>
          <w:rFonts w:ascii="Arial" w:hAnsi="Arial" w:cs="Arial"/>
        </w:rPr>
        <w:t>T</w:t>
      </w:r>
      <w:r>
        <w:rPr>
          <w:rFonts w:ascii="Arial" w:hAnsi="Arial" w:cs="Arial"/>
        </w:rPr>
        <w:t xml:space="preserve"> requesting his account be closed.</w:t>
      </w:r>
    </w:p>
    <w:p w:rsidR="006D7F14" w:rsidRDefault="006D7F14" w:rsidP="006D7F14">
      <w:pPr>
        <w:ind w:left="567" w:hanging="425"/>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 xml:space="preserve">An offer of permanent exclusion was made at that time but this was declined by </w:t>
      </w:r>
      <w:r>
        <w:rPr>
          <w:rFonts w:ascii="Arial" w:hAnsi="Arial" w:cs="Arial"/>
        </w:rPr>
        <w:br/>
        <w:t xml:space="preserve">Mr </w:t>
      </w:r>
      <w:r w:rsidR="00E556A7">
        <w:rPr>
          <w:rFonts w:ascii="Arial" w:hAnsi="Arial" w:cs="Arial"/>
        </w:rPr>
        <w:t>T</w:t>
      </w:r>
      <w:r>
        <w:rPr>
          <w:rFonts w:ascii="Arial" w:hAnsi="Arial" w:cs="Arial"/>
        </w:rPr>
        <w:t>, indeed the following excerpt from the phone conversation supports the Bookmaker’s assertion that the closure request was not a permanent one.</w:t>
      </w:r>
    </w:p>
    <w:p w:rsidR="006D7F14" w:rsidRPr="00B712A8" w:rsidRDefault="006D7F14" w:rsidP="006D7F14">
      <w:pPr>
        <w:ind w:left="567" w:hanging="425"/>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 xml:space="preserve">When asked by the Operator </w:t>
      </w:r>
      <w:r w:rsidRPr="006D7F14">
        <w:rPr>
          <w:rFonts w:ascii="Arial" w:hAnsi="Arial" w:cs="Arial"/>
          <w:i/>
        </w:rPr>
        <w:t xml:space="preserve">“Would you like me to do a permanent </w:t>
      </w:r>
      <w:r w:rsidR="00F41F72" w:rsidRPr="006D7F14">
        <w:rPr>
          <w:rFonts w:ascii="Arial" w:hAnsi="Arial" w:cs="Arial"/>
          <w:i/>
        </w:rPr>
        <w:t>self-exclusion</w:t>
      </w:r>
      <w:r w:rsidRPr="006D7F14">
        <w:rPr>
          <w:rFonts w:ascii="Arial" w:hAnsi="Arial" w:cs="Arial"/>
          <w:i/>
        </w:rPr>
        <w:t xml:space="preserve"> for you or would you just like a normal closure?”</w:t>
      </w:r>
    </w:p>
    <w:p w:rsidR="006D7F14" w:rsidRPr="002028DE" w:rsidRDefault="006D7F14" w:rsidP="006D7F14">
      <w:pPr>
        <w:ind w:left="567" w:hanging="425"/>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 xml:space="preserve">Mr </w:t>
      </w:r>
      <w:r w:rsidR="00E556A7">
        <w:rPr>
          <w:rFonts w:ascii="Arial" w:hAnsi="Arial" w:cs="Arial"/>
        </w:rPr>
        <w:t>T</w:t>
      </w:r>
      <w:r>
        <w:rPr>
          <w:rFonts w:ascii="Arial" w:hAnsi="Arial" w:cs="Arial"/>
        </w:rPr>
        <w:t xml:space="preserve"> is heard to reply</w:t>
      </w:r>
      <w:r w:rsidRPr="006D7F14">
        <w:rPr>
          <w:rFonts w:ascii="Arial" w:hAnsi="Arial" w:cs="Arial"/>
          <w:i/>
        </w:rPr>
        <w:t xml:space="preserve"> “Just a normal one mate, you never know in the future I might re-instate it but not for now”.</w:t>
      </w:r>
    </w:p>
    <w:p w:rsidR="006D7F14" w:rsidRDefault="006D7F14" w:rsidP="006D7F14">
      <w:pPr>
        <w:ind w:left="567" w:hanging="425"/>
        <w:jc w:val="both"/>
        <w:rPr>
          <w:rFonts w:ascii="Arial" w:hAnsi="Arial" w:cs="Arial"/>
        </w:rPr>
      </w:pPr>
    </w:p>
    <w:p w:rsidR="006D7F14" w:rsidRPr="006D0C89"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 xml:space="preserve">Additionally, at no time during the conversation does Mr </w:t>
      </w:r>
      <w:r w:rsidR="00E556A7">
        <w:rPr>
          <w:rFonts w:ascii="Arial" w:hAnsi="Arial" w:cs="Arial"/>
        </w:rPr>
        <w:t>T</w:t>
      </w:r>
      <w:r>
        <w:rPr>
          <w:rFonts w:ascii="Arial" w:hAnsi="Arial" w:cs="Arial"/>
        </w:rPr>
        <w:t xml:space="preserve"> indicate that he has a problem with his gambling patterns.</w:t>
      </w:r>
    </w:p>
    <w:p w:rsidR="006D7F14" w:rsidRPr="00485982" w:rsidRDefault="006D7F14" w:rsidP="006D7F14">
      <w:pPr>
        <w:ind w:left="567" w:hanging="425"/>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 xml:space="preserve">Mr </w:t>
      </w:r>
      <w:r w:rsidR="00E556A7">
        <w:rPr>
          <w:rFonts w:ascii="Arial" w:hAnsi="Arial" w:cs="Arial"/>
        </w:rPr>
        <w:t>T</w:t>
      </w:r>
      <w:r>
        <w:rPr>
          <w:rFonts w:ascii="Arial" w:hAnsi="Arial" w:cs="Arial"/>
        </w:rPr>
        <w:t xml:space="preserve"> alleges that subsequent to the account closure on 7 June 2016</w:t>
      </w:r>
      <w:r w:rsidR="00F41F72">
        <w:rPr>
          <w:rFonts w:ascii="Arial" w:hAnsi="Arial" w:cs="Arial"/>
        </w:rPr>
        <w:t>,</w:t>
      </w:r>
      <w:r>
        <w:rPr>
          <w:rFonts w:ascii="Arial" w:hAnsi="Arial" w:cs="Arial"/>
        </w:rPr>
        <w:t xml:space="preserve"> he received two follow up calls from the Bookmaker. The first being in August 2016.</w:t>
      </w:r>
    </w:p>
    <w:p w:rsidR="006D7F14" w:rsidRPr="00485982" w:rsidRDefault="006D7F14" w:rsidP="006D7F14">
      <w:pPr>
        <w:ind w:left="567" w:hanging="425"/>
        <w:jc w:val="both"/>
        <w:rPr>
          <w:rFonts w:ascii="Arial" w:hAnsi="Arial" w:cs="Arial"/>
        </w:rPr>
      </w:pPr>
    </w:p>
    <w:p w:rsidR="006D7F14" w:rsidRPr="009B6392" w:rsidRDefault="006D7F14" w:rsidP="006D7F14">
      <w:pPr>
        <w:pStyle w:val="ListParagraph"/>
        <w:numPr>
          <w:ilvl w:val="0"/>
          <w:numId w:val="17"/>
        </w:numPr>
        <w:spacing w:line="276" w:lineRule="auto"/>
        <w:ind w:left="567" w:hanging="425"/>
        <w:contextualSpacing/>
        <w:jc w:val="both"/>
        <w:rPr>
          <w:rFonts w:ascii="Arial" w:hAnsi="Arial" w:cs="Arial"/>
          <w:i/>
        </w:rPr>
      </w:pPr>
      <w:r>
        <w:rPr>
          <w:rFonts w:ascii="Arial" w:hAnsi="Arial" w:cs="Arial"/>
        </w:rPr>
        <w:t>He claims that during this call “</w:t>
      </w:r>
      <w:r w:rsidRPr="009B6392">
        <w:rPr>
          <w:rFonts w:ascii="Arial" w:hAnsi="Arial" w:cs="Arial"/>
          <w:i/>
        </w:rPr>
        <w:t>I was asked why I quit and if there was any service that could be offered to me</w:t>
      </w:r>
      <w:r w:rsidR="009B6392" w:rsidRPr="009B6392">
        <w:rPr>
          <w:rFonts w:ascii="Arial" w:hAnsi="Arial" w:cs="Arial"/>
          <w:i/>
        </w:rPr>
        <w:t>”</w:t>
      </w:r>
      <w:r>
        <w:rPr>
          <w:rFonts w:ascii="Arial" w:hAnsi="Arial" w:cs="Arial"/>
        </w:rPr>
        <w:t xml:space="preserve">.  He advised the Commission that he was </w:t>
      </w:r>
      <w:r w:rsidRPr="009B6392">
        <w:rPr>
          <w:rFonts w:ascii="Arial" w:hAnsi="Arial" w:cs="Arial"/>
          <w:i/>
        </w:rPr>
        <w:t xml:space="preserve">“Gobsmacked to get this call.  I told the </w:t>
      </w:r>
      <w:r w:rsidR="00F41F72" w:rsidRPr="009B6392">
        <w:rPr>
          <w:rFonts w:ascii="Arial" w:hAnsi="Arial" w:cs="Arial"/>
          <w:i/>
        </w:rPr>
        <w:t>gentleman;</w:t>
      </w:r>
      <w:r w:rsidRPr="009B6392">
        <w:rPr>
          <w:rFonts w:ascii="Arial" w:hAnsi="Arial" w:cs="Arial"/>
          <w:i/>
        </w:rPr>
        <w:t xml:space="preserve"> no I have lost a lot of money”. </w:t>
      </w:r>
    </w:p>
    <w:p w:rsidR="006D7F14" w:rsidRPr="00797300" w:rsidRDefault="006D7F14" w:rsidP="006D7F14">
      <w:pPr>
        <w:ind w:left="567" w:hanging="425"/>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 xml:space="preserve">The Bookmaker has confirmed the August 2016 call was made, stating that it was made as a request for feedback as to the reason for closure.  It again reiterated that at no time was any mention made by Mr </w:t>
      </w:r>
      <w:r w:rsidR="00E556A7">
        <w:rPr>
          <w:rFonts w:ascii="Arial" w:hAnsi="Arial" w:cs="Arial"/>
        </w:rPr>
        <w:t>T</w:t>
      </w:r>
      <w:r>
        <w:rPr>
          <w:rFonts w:ascii="Arial" w:hAnsi="Arial" w:cs="Arial"/>
        </w:rPr>
        <w:t xml:space="preserve"> of him having a gambling problem, no</w:t>
      </w:r>
      <w:r w:rsidR="00F41F72">
        <w:rPr>
          <w:rFonts w:ascii="Arial" w:hAnsi="Arial" w:cs="Arial"/>
        </w:rPr>
        <w:t>r</w:t>
      </w:r>
      <w:r>
        <w:rPr>
          <w:rFonts w:ascii="Arial" w:hAnsi="Arial" w:cs="Arial"/>
        </w:rPr>
        <w:t xml:space="preserve"> did he mention wishing to have his account closed permanently.</w:t>
      </w:r>
    </w:p>
    <w:p w:rsidR="006D7F14" w:rsidRPr="001A1780" w:rsidRDefault="006D7F14" w:rsidP="006D7F14">
      <w:pPr>
        <w:ind w:left="567" w:hanging="425"/>
        <w:jc w:val="both"/>
        <w:rPr>
          <w:rFonts w:ascii="Arial" w:hAnsi="Arial" w:cs="Arial"/>
        </w:rPr>
      </w:pPr>
    </w:p>
    <w:p w:rsidR="006D7F14" w:rsidRPr="00E452E0"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This call was not recorded due to it being taken on a mobile device and not Sportsbet’s normal landline, due to premises renovations.</w:t>
      </w:r>
    </w:p>
    <w:p w:rsidR="006D7F14" w:rsidRPr="00143A52" w:rsidRDefault="006D7F14" w:rsidP="006D7F14">
      <w:pPr>
        <w:ind w:left="567" w:hanging="425"/>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Whilst not best practise, Sportsbet did not breach Condition 20 of its licence conditions, as this case was in relation to feedback about account closure and not about a wager, complaint or dispute.</w:t>
      </w:r>
    </w:p>
    <w:p w:rsidR="006D7F14" w:rsidRDefault="006D7F14" w:rsidP="006D7F14">
      <w:pPr>
        <w:ind w:left="360"/>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Condition 20 of Sportsbet’s Licence states:</w:t>
      </w:r>
    </w:p>
    <w:p w:rsidR="006D7F14" w:rsidRPr="006D7F14" w:rsidRDefault="006D7F14" w:rsidP="006D7F14">
      <w:pPr>
        <w:pStyle w:val="ListParagraph"/>
        <w:rPr>
          <w:rFonts w:ascii="Arial" w:hAnsi="Arial" w:cs="Arial"/>
        </w:rPr>
      </w:pPr>
    </w:p>
    <w:p w:rsidR="006D7F14" w:rsidRPr="00065C22" w:rsidRDefault="006D7F14" w:rsidP="00065C22">
      <w:pPr>
        <w:ind w:left="851"/>
        <w:jc w:val="both"/>
        <w:rPr>
          <w:rFonts w:ascii="Arial" w:hAnsi="Arial" w:cs="Arial"/>
          <w:i/>
        </w:rPr>
      </w:pPr>
      <w:r w:rsidRPr="00065C22">
        <w:rPr>
          <w:rFonts w:ascii="Arial" w:hAnsi="Arial" w:cs="Arial"/>
          <w:i/>
        </w:rPr>
        <w:t>The sports Bookmaker will ensure that all conversations with customers involving discussions relating to wagers, complaints or disputes, regardless of medium, are recorded on approved recording equipment.</w:t>
      </w:r>
    </w:p>
    <w:p w:rsidR="009B6392" w:rsidRDefault="009B6392" w:rsidP="006D7F14">
      <w:pPr>
        <w:ind w:left="567"/>
        <w:jc w:val="both"/>
        <w:rPr>
          <w:rFonts w:ascii="Arial" w:hAnsi="Arial" w:cs="Arial"/>
          <w:i/>
        </w:rPr>
      </w:pPr>
    </w:p>
    <w:p w:rsidR="006D7F14" w:rsidRPr="009B6392" w:rsidRDefault="006D7F14" w:rsidP="006D7F14">
      <w:pPr>
        <w:pStyle w:val="ListParagraph"/>
        <w:numPr>
          <w:ilvl w:val="0"/>
          <w:numId w:val="17"/>
        </w:numPr>
        <w:spacing w:line="276" w:lineRule="auto"/>
        <w:ind w:left="567" w:hanging="425"/>
        <w:contextualSpacing/>
        <w:jc w:val="both"/>
        <w:rPr>
          <w:rFonts w:ascii="Arial" w:hAnsi="Arial" w:cs="Arial"/>
          <w:i/>
        </w:rPr>
      </w:pPr>
      <w:r>
        <w:rPr>
          <w:rFonts w:ascii="Arial" w:hAnsi="Arial" w:cs="Arial"/>
        </w:rPr>
        <w:t xml:space="preserve">The second phone call Mr </w:t>
      </w:r>
      <w:r w:rsidR="00E556A7">
        <w:rPr>
          <w:rFonts w:ascii="Arial" w:hAnsi="Arial" w:cs="Arial"/>
        </w:rPr>
        <w:t>T</w:t>
      </w:r>
      <w:r>
        <w:rPr>
          <w:rFonts w:ascii="Arial" w:hAnsi="Arial" w:cs="Arial"/>
        </w:rPr>
        <w:t xml:space="preserve"> alleges to have received was </w:t>
      </w:r>
      <w:r w:rsidRPr="009B6392">
        <w:rPr>
          <w:rFonts w:ascii="Arial" w:hAnsi="Arial" w:cs="Arial"/>
          <w:i/>
        </w:rPr>
        <w:t>“A few months down the track”</w:t>
      </w:r>
      <w:r>
        <w:rPr>
          <w:rFonts w:ascii="Arial" w:hAnsi="Arial" w:cs="Arial"/>
        </w:rPr>
        <w:t xml:space="preserve">.  In this call he claims that the Sportsbet Operator asked him if there was anything they could do for him.  Mr </w:t>
      </w:r>
      <w:r w:rsidR="00E556A7">
        <w:rPr>
          <w:rFonts w:ascii="Arial" w:hAnsi="Arial" w:cs="Arial"/>
        </w:rPr>
        <w:t>T</w:t>
      </w:r>
      <w:r>
        <w:rPr>
          <w:rFonts w:ascii="Arial" w:hAnsi="Arial" w:cs="Arial"/>
        </w:rPr>
        <w:t xml:space="preserve"> goes on to advise that following this call he </w:t>
      </w:r>
      <w:r w:rsidRPr="009B6392">
        <w:rPr>
          <w:rFonts w:ascii="Arial" w:hAnsi="Arial" w:cs="Arial"/>
          <w:i/>
        </w:rPr>
        <w:t xml:space="preserve">“Jumped online to see if I had access to my account, lo and behold I did.  I then re-opened my account and started betting again. I lost some </w:t>
      </w:r>
      <w:r w:rsidRPr="009B6392">
        <w:rPr>
          <w:rFonts w:ascii="Arial" w:hAnsi="Arial" w:cs="Arial"/>
          <w:i/>
        </w:rPr>
        <w:br/>
        <w:t>$37, 000 in less than two months on new credit cards”.</w:t>
      </w:r>
    </w:p>
    <w:p w:rsidR="006D7F14" w:rsidRPr="00BB19F2" w:rsidRDefault="006D7F14" w:rsidP="006D7F14">
      <w:pPr>
        <w:ind w:left="567" w:hanging="425"/>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 xml:space="preserve">In response to this purported second phone call to Mr </w:t>
      </w:r>
      <w:r w:rsidR="00E556A7">
        <w:rPr>
          <w:rFonts w:ascii="Arial" w:hAnsi="Arial" w:cs="Arial"/>
        </w:rPr>
        <w:t>T</w:t>
      </w:r>
      <w:r>
        <w:rPr>
          <w:rFonts w:ascii="Arial" w:hAnsi="Arial" w:cs="Arial"/>
        </w:rPr>
        <w:t>, Sportsbet has advised that they have no record of a second call and contended that it was their belief that it did not occur.</w:t>
      </w:r>
    </w:p>
    <w:p w:rsidR="006D7F14" w:rsidRDefault="006D7F14" w:rsidP="006D7F14">
      <w:pPr>
        <w:ind w:left="567" w:hanging="425"/>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 xml:space="preserve">In response to Mr </w:t>
      </w:r>
      <w:r w:rsidR="00E556A7">
        <w:rPr>
          <w:rFonts w:ascii="Arial" w:hAnsi="Arial" w:cs="Arial"/>
        </w:rPr>
        <w:t>T</w:t>
      </w:r>
      <w:r>
        <w:rPr>
          <w:rFonts w:ascii="Arial" w:hAnsi="Arial" w:cs="Arial"/>
        </w:rPr>
        <w:t>’</w:t>
      </w:r>
      <w:r w:rsidR="00E556A7">
        <w:rPr>
          <w:rFonts w:ascii="Arial" w:hAnsi="Arial" w:cs="Arial"/>
        </w:rPr>
        <w:t>s</w:t>
      </w:r>
      <w:r>
        <w:rPr>
          <w:rFonts w:ascii="Arial" w:hAnsi="Arial" w:cs="Arial"/>
        </w:rPr>
        <w:t xml:space="preserve"> statement of being able to access his online account, Sportsbet advised the following:</w:t>
      </w:r>
      <w:r w:rsidRPr="009B6392">
        <w:rPr>
          <w:rFonts w:ascii="Arial" w:hAnsi="Arial" w:cs="Arial"/>
          <w:i/>
        </w:rPr>
        <w:t xml:space="preserve">  “Sportsbet can categorically state that this is not the case.  Mr </w:t>
      </w:r>
      <w:r w:rsidR="00E556A7">
        <w:rPr>
          <w:rFonts w:ascii="Arial" w:hAnsi="Arial" w:cs="Arial"/>
          <w:i/>
        </w:rPr>
        <w:t>T</w:t>
      </w:r>
      <w:r w:rsidRPr="009B6392">
        <w:rPr>
          <w:rFonts w:ascii="Arial" w:hAnsi="Arial" w:cs="Arial"/>
          <w:i/>
        </w:rPr>
        <w:t>’</w:t>
      </w:r>
      <w:r w:rsidR="00E556A7">
        <w:rPr>
          <w:rFonts w:ascii="Arial" w:hAnsi="Arial" w:cs="Arial"/>
          <w:i/>
        </w:rPr>
        <w:t>s</w:t>
      </w:r>
      <w:r w:rsidRPr="009B6392">
        <w:rPr>
          <w:rFonts w:ascii="Arial" w:hAnsi="Arial" w:cs="Arial"/>
          <w:i/>
        </w:rPr>
        <w:t xml:space="preserve"> Sportsbet account was closed inclusively from 7 June 2016 until 15 October 2016.  The account was only re-op</w:t>
      </w:r>
      <w:r w:rsidR="009B6392" w:rsidRPr="009B6392">
        <w:rPr>
          <w:rFonts w:ascii="Arial" w:hAnsi="Arial" w:cs="Arial"/>
          <w:i/>
        </w:rPr>
        <w:t xml:space="preserve">ened on 15 October 2016 due to </w:t>
      </w:r>
      <w:r w:rsidRPr="009B6392">
        <w:rPr>
          <w:rFonts w:ascii="Arial" w:hAnsi="Arial" w:cs="Arial"/>
          <w:i/>
        </w:rPr>
        <w:t xml:space="preserve">Mr </w:t>
      </w:r>
      <w:r w:rsidR="00E556A7">
        <w:rPr>
          <w:rFonts w:ascii="Arial" w:hAnsi="Arial" w:cs="Arial"/>
          <w:i/>
        </w:rPr>
        <w:t>T</w:t>
      </w:r>
      <w:r w:rsidRPr="009B6392">
        <w:rPr>
          <w:rFonts w:ascii="Arial" w:hAnsi="Arial" w:cs="Arial"/>
          <w:i/>
        </w:rPr>
        <w:t xml:space="preserve"> phoning Sportsbet and making a personal request for the account to be opened”.</w:t>
      </w:r>
    </w:p>
    <w:p w:rsidR="006D7F14" w:rsidRDefault="006D7F14" w:rsidP="006D7F14">
      <w:pPr>
        <w:ind w:left="567" w:hanging="425"/>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sidRPr="00DC116D">
        <w:rPr>
          <w:rFonts w:ascii="Arial" w:hAnsi="Arial" w:cs="Arial"/>
        </w:rPr>
        <w:t>From telephone recordings in the Commission’s possession</w:t>
      </w:r>
      <w:r>
        <w:rPr>
          <w:rFonts w:ascii="Arial" w:hAnsi="Arial" w:cs="Arial"/>
        </w:rPr>
        <w:t>,</w:t>
      </w:r>
      <w:r w:rsidRPr="00DC116D">
        <w:rPr>
          <w:rFonts w:ascii="Arial" w:hAnsi="Arial" w:cs="Arial"/>
        </w:rPr>
        <w:t xml:space="preserve"> the following facts are cl</w:t>
      </w:r>
      <w:r>
        <w:rPr>
          <w:rFonts w:ascii="Arial" w:hAnsi="Arial" w:cs="Arial"/>
        </w:rPr>
        <w:t>e</w:t>
      </w:r>
      <w:r w:rsidRPr="00DC116D">
        <w:rPr>
          <w:rFonts w:ascii="Arial" w:hAnsi="Arial" w:cs="Arial"/>
        </w:rPr>
        <w:t>ar:</w:t>
      </w:r>
    </w:p>
    <w:p w:rsidR="006D7F14" w:rsidRPr="006D7F14" w:rsidRDefault="006D7F14" w:rsidP="006D7F14">
      <w:pPr>
        <w:ind w:left="567"/>
        <w:jc w:val="both"/>
        <w:rPr>
          <w:rFonts w:ascii="Arial" w:hAnsi="Arial" w:cs="Arial"/>
          <w:i/>
        </w:rPr>
      </w:pPr>
    </w:p>
    <w:p w:rsidR="006D7F14" w:rsidRDefault="006D7F14" w:rsidP="006D7F14">
      <w:pPr>
        <w:pStyle w:val="ListParagraph"/>
        <w:numPr>
          <w:ilvl w:val="0"/>
          <w:numId w:val="28"/>
        </w:numPr>
        <w:spacing w:line="276" w:lineRule="auto"/>
        <w:ind w:left="1134"/>
        <w:contextualSpacing/>
        <w:jc w:val="both"/>
        <w:rPr>
          <w:rFonts w:ascii="Arial" w:hAnsi="Arial" w:cs="Arial"/>
        </w:rPr>
      </w:pPr>
      <w:r>
        <w:rPr>
          <w:rFonts w:ascii="Arial" w:hAnsi="Arial" w:cs="Arial"/>
        </w:rPr>
        <w:t>the Operator confirms the account is closed;</w:t>
      </w:r>
    </w:p>
    <w:p w:rsidR="006D7F14" w:rsidRDefault="006D7F14" w:rsidP="006D7F14">
      <w:pPr>
        <w:pStyle w:val="ListParagraph"/>
        <w:numPr>
          <w:ilvl w:val="0"/>
          <w:numId w:val="28"/>
        </w:numPr>
        <w:spacing w:line="276" w:lineRule="auto"/>
        <w:ind w:left="1134"/>
        <w:contextualSpacing/>
        <w:jc w:val="both"/>
        <w:rPr>
          <w:rFonts w:ascii="Arial" w:hAnsi="Arial" w:cs="Arial"/>
        </w:rPr>
      </w:pPr>
      <w:r>
        <w:rPr>
          <w:rFonts w:ascii="Arial" w:hAnsi="Arial" w:cs="Arial"/>
        </w:rPr>
        <w:t>she confirms that it can be re-opened as it was not permanently closed or excluded;</w:t>
      </w:r>
    </w:p>
    <w:p w:rsidR="006D7F14" w:rsidRDefault="006D7F14" w:rsidP="006D7F14">
      <w:pPr>
        <w:pStyle w:val="ListParagraph"/>
        <w:numPr>
          <w:ilvl w:val="0"/>
          <w:numId w:val="28"/>
        </w:numPr>
        <w:spacing w:line="276" w:lineRule="auto"/>
        <w:ind w:left="1134"/>
        <w:contextualSpacing/>
        <w:jc w:val="both"/>
        <w:rPr>
          <w:rFonts w:ascii="Arial" w:hAnsi="Arial" w:cs="Arial"/>
        </w:rPr>
      </w:pPr>
      <w:proofErr w:type="gramStart"/>
      <w:r>
        <w:rPr>
          <w:rFonts w:ascii="Arial" w:hAnsi="Arial" w:cs="Arial"/>
        </w:rPr>
        <w:t>she</w:t>
      </w:r>
      <w:proofErr w:type="gramEnd"/>
      <w:r>
        <w:rPr>
          <w:rFonts w:ascii="Arial" w:hAnsi="Arial" w:cs="Arial"/>
        </w:rPr>
        <w:t xml:space="preserve"> offers to re-open it, to which Mr </w:t>
      </w:r>
      <w:r w:rsidR="00E556A7">
        <w:rPr>
          <w:rFonts w:ascii="Arial" w:hAnsi="Arial" w:cs="Arial"/>
        </w:rPr>
        <w:t>T</w:t>
      </w:r>
      <w:r w:rsidR="009B6392">
        <w:rPr>
          <w:rFonts w:ascii="Arial" w:hAnsi="Arial" w:cs="Arial"/>
        </w:rPr>
        <w:t xml:space="preserve"> agrees with the words </w:t>
      </w:r>
      <w:r w:rsidR="009B6392" w:rsidRPr="009B6392">
        <w:rPr>
          <w:rFonts w:ascii="Arial" w:hAnsi="Arial" w:cs="Arial"/>
          <w:i/>
        </w:rPr>
        <w:t>“</w:t>
      </w:r>
      <w:r w:rsidRPr="009B6392">
        <w:rPr>
          <w:rFonts w:ascii="Arial" w:hAnsi="Arial" w:cs="Arial"/>
          <w:i/>
        </w:rPr>
        <w:t>Okay perfect, so that’s back open now?”</w:t>
      </w:r>
      <w:r>
        <w:rPr>
          <w:rFonts w:ascii="Arial" w:hAnsi="Arial" w:cs="Arial"/>
        </w:rPr>
        <w:t>;</w:t>
      </w:r>
    </w:p>
    <w:p w:rsidR="006D7F14" w:rsidRPr="00DC116D" w:rsidRDefault="006D7F14" w:rsidP="006D7F14">
      <w:pPr>
        <w:pStyle w:val="ListParagraph"/>
        <w:numPr>
          <w:ilvl w:val="0"/>
          <w:numId w:val="28"/>
        </w:numPr>
        <w:spacing w:line="276" w:lineRule="auto"/>
        <w:ind w:left="1134"/>
        <w:contextualSpacing/>
        <w:jc w:val="both"/>
        <w:rPr>
          <w:rFonts w:ascii="Arial" w:hAnsi="Arial" w:cs="Arial"/>
        </w:rPr>
      </w:pPr>
      <w:proofErr w:type="gramStart"/>
      <w:r>
        <w:rPr>
          <w:rFonts w:ascii="Arial" w:hAnsi="Arial" w:cs="Arial"/>
        </w:rPr>
        <w:t>at</w:t>
      </w:r>
      <w:proofErr w:type="gramEnd"/>
      <w:r>
        <w:rPr>
          <w:rFonts w:ascii="Arial" w:hAnsi="Arial" w:cs="Arial"/>
        </w:rPr>
        <w:t xml:space="preserve"> no time does Mr </w:t>
      </w:r>
      <w:r w:rsidR="00E556A7">
        <w:rPr>
          <w:rFonts w:ascii="Arial" w:hAnsi="Arial" w:cs="Arial"/>
        </w:rPr>
        <w:t>T</w:t>
      </w:r>
      <w:r>
        <w:rPr>
          <w:rFonts w:ascii="Arial" w:hAnsi="Arial" w:cs="Arial"/>
        </w:rPr>
        <w:t xml:space="preserve"> make any mention of any past problem gambling issues.</w:t>
      </w:r>
    </w:p>
    <w:p w:rsidR="006D7F14" w:rsidRDefault="006D7F14" w:rsidP="006D7F14">
      <w:pPr>
        <w:pStyle w:val="ListParagraph"/>
        <w:spacing w:line="276" w:lineRule="auto"/>
        <w:ind w:left="567"/>
        <w:contextualSpacing/>
        <w:jc w:val="both"/>
        <w:rPr>
          <w:rFonts w:ascii="Arial" w:hAnsi="Arial" w:cs="Arial"/>
        </w:rPr>
      </w:pPr>
    </w:p>
    <w:p w:rsidR="000048F3" w:rsidRDefault="00DB64C1" w:rsidP="00035446">
      <w:pPr>
        <w:pStyle w:val="Heading2"/>
      </w:pPr>
      <w:r>
        <w:t>Consideration of the Issues</w:t>
      </w:r>
    </w:p>
    <w:p w:rsidR="006D7F14" w:rsidRPr="00B93759"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 xml:space="preserve">The primary area of complaint by Mr </w:t>
      </w:r>
      <w:r w:rsidR="00E556A7">
        <w:rPr>
          <w:rFonts w:ascii="Arial" w:hAnsi="Arial" w:cs="Arial"/>
        </w:rPr>
        <w:t>T</w:t>
      </w:r>
      <w:r>
        <w:rPr>
          <w:rFonts w:ascii="Arial" w:hAnsi="Arial" w:cs="Arial"/>
        </w:rPr>
        <w:t xml:space="preserve"> is around his claim that the Bookmaker failed to close his account when requested in June 2016, allowing him to subsequently continue to place wagers, which saw him lose some $37,000.</w:t>
      </w:r>
    </w:p>
    <w:p w:rsidR="006D7F14" w:rsidRDefault="006D7F14" w:rsidP="006D7F14">
      <w:pPr>
        <w:ind w:left="567" w:hanging="425"/>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The evidence from the recordings supplied by the Bookmaker confirms that this was not the case with the account being closed when requested.</w:t>
      </w:r>
    </w:p>
    <w:p w:rsidR="006D7F14" w:rsidRPr="00EA69ED" w:rsidRDefault="006D7F14" w:rsidP="006D7F14">
      <w:pPr>
        <w:ind w:left="567" w:hanging="425"/>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 xml:space="preserve">The Commission also looked closely at the assertion by Mr </w:t>
      </w:r>
      <w:r w:rsidR="00E556A7">
        <w:rPr>
          <w:rFonts w:ascii="Arial" w:hAnsi="Arial" w:cs="Arial"/>
        </w:rPr>
        <w:t>T</w:t>
      </w:r>
      <w:r>
        <w:rPr>
          <w:rFonts w:ascii="Arial" w:hAnsi="Arial" w:cs="Arial"/>
        </w:rPr>
        <w:t xml:space="preserve"> that the Bookmaker allowed him to gamble after he declared himself a problem gambler.</w:t>
      </w:r>
    </w:p>
    <w:p w:rsidR="006D7F14" w:rsidRDefault="006D7F14" w:rsidP="006D7F14">
      <w:pPr>
        <w:ind w:left="567" w:hanging="425"/>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 xml:space="preserve">Once again from recordings of conversations it is clear that at no time did </w:t>
      </w:r>
      <w:r w:rsidR="00F41F72">
        <w:rPr>
          <w:rFonts w:ascii="Arial" w:hAnsi="Arial" w:cs="Arial"/>
        </w:rPr>
        <w:br/>
      </w:r>
      <w:r>
        <w:rPr>
          <w:rFonts w:ascii="Arial" w:hAnsi="Arial" w:cs="Arial"/>
        </w:rPr>
        <w:t xml:space="preserve">Mr </w:t>
      </w:r>
      <w:r w:rsidR="00E556A7">
        <w:rPr>
          <w:rFonts w:ascii="Arial" w:hAnsi="Arial" w:cs="Arial"/>
        </w:rPr>
        <w:t>T</w:t>
      </w:r>
      <w:r>
        <w:rPr>
          <w:rFonts w:ascii="Arial" w:hAnsi="Arial" w:cs="Arial"/>
        </w:rPr>
        <w:t xml:space="preserve"> indicate he had issues around problem gambling.  In fact given the </w:t>
      </w:r>
      <w:r>
        <w:rPr>
          <w:rFonts w:ascii="Arial" w:hAnsi="Arial" w:cs="Arial"/>
        </w:rPr>
        <w:lastRenderedPageBreak/>
        <w:t>opportunity to permanently exclude himself in June 2016, he did not, merely stating that he was tired of losing and wanted to take a break.</w:t>
      </w:r>
    </w:p>
    <w:p w:rsidR="006D7F14" w:rsidRDefault="006D7F14" w:rsidP="006D7F14">
      <w:pPr>
        <w:ind w:left="567" w:hanging="425"/>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 xml:space="preserve">A secondary consideration is the follow up calls from the Bookmaker to </w:t>
      </w:r>
      <w:r w:rsidR="005F6A33">
        <w:rPr>
          <w:rFonts w:ascii="Arial" w:hAnsi="Arial" w:cs="Arial"/>
        </w:rPr>
        <w:br/>
      </w:r>
      <w:r>
        <w:rPr>
          <w:rFonts w:ascii="Arial" w:hAnsi="Arial" w:cs="Arial"/>
        </w:rPr>
        <w:t xml:space="preserve">Mr </w:t>
      </w:r>
      <w:r w:rsidR="00E556A7">
        <w:rPr>
          <w:rFonts w:ascii="Arial" w:hAnsi="Arial" w:cs="Arial"/>
        </w:rPr>
        <w:t>T</w:t>
      </w:r>
      <w:r>
        <w:rPr>
          <w:rFonts w:ascii="Arial" w:hAnsi="Arial" w:cs="Arial"/>
        </w:rPr>
        <w:t>, which he claims, were inducing him to re-open his account and continue gambling.</w:t>
      </w:r>
    </w:p>
    <w:p w:rsidR="006D7F14" w:rsidRDefault="006D7F14" w:rsidP="006D7F14">
      <w:pPr>
        <w:ind w:left="567" w:hanging="425"/>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There is no evidence to support this claim. From information supplied by the Bookmaker, we are satisfied that the call was requesting feedback around the account closure request of 7 June 2016.</w:t>
      </w:r>
    </w:p>
    <w:p w:rsidR="002C6BB7" w:rsidRPr="002C6BB7" w:rsidRDefault="00DB64C1" w:rsidP="00035446">
      <w:pPr>
        <w:pStyle w:val="Heading2"/>
      </w:pPr>
      <w:r>
        <w:t>Decision</w:t>
      </w:r>
    </w:p>
    <w:p w:rsidR="006D7F14" w:rsidRPr="00B069EC" w:rsidRDefault="006D7F14" w:rsidP="006D7F14">
      <w:pPr>
        <w:jc w:val="both"/>
        <w:rPr>
          <w:rFonts w:ascii="Arial" w:hAnsi="Arial" w:cs="Arial"/>
        </w:rPr>
      </w:pPr>
    </w:p>
    <w:p w:rsidR="006D7F14" w:rsidRPr="00B069EC"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 xml:space="preserve">The Commission is satisfied that the Bookmaker acted appropriately in its dealings with Mr </w:t>
      </w:r>
      <w:r w:rsidR="00E556A7">
        <w:rPr>
          <w:rFonts w:ascii="Arial" w:hAnsi="Arial" w:cs="Arial"/>
        </w:rPr>
        <w:t>T</w:t>
      </w:r>
      <w:r>
        <w:rPr>
          <w:rFonts w:ascii="Arial" w:hAnsi="Arial" w:cs="Arial"/>
        </w:rPr>
        <w:t>.</w:t>
      </w:r>
    </w:p>
    <w:p w:rsidR="006D7F14" w:rsidRDefault="006D7F14" w:rsidP="006D7F14">
      <w:pPr>
        <w:ind w:left="567" w:hanging="425"/>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At no time until 11 November 2016</w:t>
      </w:r>
      <w:r w:rsidR="005F6A33">
        <w:rPr>
          <w:rFonts w:ascii="Arial" w:hAnsi="Arial" w:cs="Arial"/>
        </w:rPr>
        <w:t>,</w:t>
      </w:r>
      <w:r>
        <w:rPr>
          <w:rFonts w:ascii="Arial" w:hAnsi="Arial" w:cs="Arial"/>
        </w:rPr>
        <w:t xml:space="preserve"> did Mr </w:t>
      </w:r>
      <w:r w:rsidR="00E556A7">
        <w:rPr>
          <w:rFonts w:ascii="Arial" w:hAnsi="Arial" w:cs="Arial"/>
        </w:rPr>
        <w:t>T</w:t>
      </w:r>
      <w:r>
        <w:rPr>
          <w:rFonts w:ascii="Arial" w:hAnsi="Arial" w:cs="Arial"/>
        </w:rPr>
        <w:t xml:space="preserve"> give any indication to the Bookmaker that he had problematic gambling issues. Upon being advised that this was indeed the case, the Bookmaker took the appropriate steps and closed the account.</w:t>
      </w:r>
    </w:p>
    <w:p w:rsidR="006D7F14" w:rsidRDefault="006D7F14" w:rsidP="006D7F14">
      <w:pPr>
        <w:ind w:left="567" w:hanging="425"/>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 xml:space="preserve">With regard to the follow up calls seeking feedback made by the Bookmaker’s staff, we are satisfied the first one was in order and handled appropriately, the second does not appear on the record and without substantiative evidence being provided by My </w:t>
      </w:r>
      <w:r w:rsidR="00E556A7">
        <w:rPr>
          <w:rFonts w:ascii="Arial" w:hAnsi="Arial" w:cs="Arial"/>
        </w:rPr>
        <w:t>T</w:t>
      </w:r>
      <w:r>
        <w:rPr>
          <w:rFonts w:ascii="Arial" w:hAnsi="Arial" w:cs="Arial"/>
        </w:rPr>
        <w:t>, the Commission cannot even be certain that it occurred.</w:t>
      </w:r>
    </w:p>
    <w:p w:rsidR="006D7F14" w:rsidRDefault="006D7F14" w:rsidP="006D7F14">
      <w:pPr>
        <w:ind w:left="567" w:hanging="425"/>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 xml:space="preserve">In conclusion, we find that the Bookmaker acted appropriately in its dealings with </w:t>
      </w:r>
      <w:r>
        <w:rPr>
          <w:rFonts w:ascii="Arial" w:hAnsi="Arial" w:cs="Arial"/>
        </w:rPr>
        <w:br/>
        <w:t xml:space="preserve">Mr </w:t>
      </w:r>
      <w:r w:rsidR="00E556A7">
        <w:rPr>
          <w:rFonts w:ascii="Arial" w:hAnsi="Arial" w:cs="Arial"/>
        </w:rPr>
        <w:t>T</w:t>
      </w:r>
      <w:r>
        <w:rPr>
          <w:rFonts w:ascii="Arial" w:hAnsi="Arial" w:cs="Arial"/>
        </w:rPr>
        <w:t>.  This assertion is supported by written evidence and telephone voice recordings provided by the Bookmaker.</w:t>
      </w:r>
    </w:p>
    <w:p w:rsidR="006D7F14" w:rsidRDefault="006D7F14" w:rsidP="006D7F14">
      <w:pPr>
        <w:ind w:left="567" w:hanging="425"/>
        <w:jc w:val="both"/>
        <w:rPr>
          <w:rFonts w:ascii="Arial" w:hAnsi="Arial" w:cs="Arial"/>
        </w:rPr>
      </w:pPr>
    </w:p>
    <w:p w:rsidR="006D7F14" w:rsidRDefault="006D7F14" w:rsidP="006D7F14">
      <w:pPr>
        <w:pStyle w:val="ListParagraph"/>
        <w:numPr>
          <w:ilvl w:val="0"/>
          <w:numId w:val="17"/>
        </w:numPr>
        <w:spacing w:line="276" w:lineRule="auto"/>
        <w:ind w:left="567" w:hanging="425"/>
        <w:contextualSpacing/>
        <w:jc w:val="both"/>
        <w:rPr>
          <w:rFonts w:ascii="Arial" w:hAnsi="Arial" w:cs="Arial"/>
        </w:rPr>
      </w:pPr>
      <w:r>
        <w:rPr>
          <w:rFonts w:ascii="Arial" w:hAnsi="Arial" w:cs="Arial"/>
        </w:rPr>
        <w:t xml:space="preserve">Accordingly, we find Mr </w:t>
      </w:r>
      <w:r w:rsidR="00E556A7">
        <w:rPr>
          <w:rFonts w:ascii="Arial" w:hAnsi="Arial" w:cs="Arial"/>
        </w:rPr>
        <w:t>T</w:t>
      </w:r>
      <w:r>
        <w:rPr>
          <w:rFonts w:ascii="Arial" w:hAnsi="Arial" w:cs="Arial"/>
        </w:rPr>
        <w:t>’</w:t>
      </w:r>
      <w:r w:rsidR="00E556A7">
        <w:rPr>
          <w:rFonts w:ascii="Arial" w:hAnsi="Arial" w:cs="Arial"/>
        </w:rPr>
        <w:t>s</w:t>
      </w:r>
      <w:r>
        <w:rPr>
          <w:rFonts w:ascii="Arial" w:hAnsi="Arial" w:cs="Arial"/>
        </w:rPr>
        <w:t xml:space="preserve"> dispute is not proven and we find in favour of the Bookmaker in all aspects of the dispute.</w:t>
      </w:r>
    </w:p>
    <w:p w:rsidR="002C6BB7" w:rsidRPr="006D7F14" w:rsidRDefault="006D7F14" w:rsidP="00614B00">
      <w:pPr>
        <w:spacing w:before="1440" w:line="240" w:lineRule="atLeast"/>
        <w:ind w:left="426" w:hanging="426"/>
        <w:jc w:val="both"/>
        <w:rPr>
          <w:rFonts w:ascii="Arial" w:hAnsi="Arial" w:cs="Arial"/>
          <w:b/>
        </w:rPr>
      </w:pPr>
      <w:r w:rsidRPr="006D7F14">
        <w:rPr>
          <w:rFonts w:ascii="Arial" w:hAnsi="Arial" w:cs="Arial"/>
          <w:b/>
        </w:rPr>
        <w:t xml:space="preserve">John </w:t>
      </w:r>
      <w:proofErr w:type="spellStart"/>
      <w:r w:rsidRPr="006D7F14">
        <w:rPr>
          <w:rFonts w:ascii="Arial" w:hAnsi="Arial" w:cs="Arial"/>
          <w:b/>
        </w:rPr>
        <w:t>Boneham</w:t>
      </w:r>
      <w:proofErr w:type="spellEnd"/>
    </w:p>
    <w:p w:rsidR="002C6BB7" w:rsidRDefault="00550AC8" w:rsidP="003B38E2">
      <w:pPr>
        <w:spacing w:after="240" w:line="240" w:lineRule="atLeast"/>
        <w:ind w:left="426" w:hanging="426"/>
        <w:jc w:val="both"/>
        <w:rPr>
          <w:rFonts w:ascii="Arial" w:hAnsi="Arial" w:cs="Arial"/>
        </w:rPr>
      </w:pPr>
      <w:r>
        <w:rPr>
          <w:rFonts w:ascii="Arial" w:hAnsi="Arial" w:cs="Arial"/>
        </w:rPr>
        <w:t>Presiding Member</w:t>
      </w:r>
    </w:p>
    <w:p w:rsidR="008707D3" w:rsidRDefault="00510B13" w:rsidP="00510B13">
      <w:pPr>
        <w:spacing w:after="240" w:line="240" w:lineRule="atLeast"/>
        <w:ind w:left="426" w:hanging="426"/>
        <w:jc w:val="both"/>
        <w:rPr>
          <w:rFonts w:ascii="Arial" w:hAnsi="Arial" w:cs="Arial"/>
        </w:rPr>
      </w:pPr>
      <w:r>
        <w:rPr>
          <w:rFonts w:ascii="Arial" w:hAnsi="Arial" w:cs="Arial"/>
        </w:rPr>
        <w:t>31</w:t>
      </w:r>
      <w:r w:rsidRPr="00510B13">
        <w:rPr>
          <w:rFonts w:ascii="Arial" w:hAnsi="Arial" w:cs="Arial"/>
        </w:rPr>
        <w:t xml:space="preserve"> January 2017</w:t>
      </w:r>
    </w:p>
    <w:sectPr w:rsidR="008707D3" w:rsidSect="00614B00">
      <w:headerReference w:type="even" r:id="rId9"/>
      <w:headerReference w:type="default" r:id="rId10"/>
      <w:footerReference w:type="even" r:id="rId11"/>
      <w:footerReference w:type="default" r:id="rId12"/>
      <w:headerReference w:type="first" r:id="rId13"/>
      <w:footerReference w:type="first" r:id="rId14"/>
      <w:pgSz w:w="11906" w:h="16838" w:code="9"/>
      <w:pgMar w:top="1440"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F84" w:rsidRDefault="00EE5F84">
      <w:r>
        <w:separator/>
      </w:r>
    </w:p>
  </w:endnote>
  <w:endnote w:type="continuationSeparator" w:id="0">
    <w:p w:rsidR="00EE5F84" w:rsidRDefault="00EE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B00" w:rsidRDefault="00614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B00" w:rsidRDefault="00614B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B00" w:rsidRDefault="00614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F84" w:rsidRDefault="00EE5F84">
      <w:r>
        <w:separator/>
      </w:r>
    </w:p>
  </w:footnote>
  <w:footnote w:type="continuationSeparator" w:id="0">
    <w:p w:rsidR="00EE5F84" w:rsidRDefault="00EE5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932062"/>
      <w:docPartObj>
        <w:docPartGallery w:val="Page Numbers (Top of Page)"/>
        <w:docPartUnique/>
      </w:docPartObj>
    </w:sdtPr>
    <w:sdtEndPr>
      <w:rPr>
        <w:noProof/>
      </w:rPr>
    </w:sdtEndPr>
    <w:sdtContent>
      <w:p w:rsidR="00614B00" w:rsidRDefault="00614B00">
        <w:pPr>
          <w:pStyle w:val="Header"/>
          <w:jc w:val="right"/>
        </w:pPr>
        <w:r w:rsidRPr="00614B00">
          <w:rPr>
            <w:rFonts w:ascii="Arial" w:hAnsi="Arial" w:cs="Arial"/>
          </w:rPr>
          <w:fldChar w:fldCharType="begin"/>
        </w:r>
        <w:r w:rsidRPr="00614B00">
          <w:rPr>
            <w:rFonts w:ascii="Arial" w:hAnsi="Arial" w:cs="Arial"/>
          </w:rPr>
          <w:instrText xml:space="preserve"> PAGE   \* MERGEFORMAT </w:instrText>
        </w:r>
        <w:r w:rsidRPr="00614B00">
          <w:rPr>
            <w:rFonts w:ascii="Arial" w:hAnsi="Arial" w:cs="Arial"/>
          </w:rPr>
          <w:fldChar w:fldCharType="separate"/>
        </w:r>
        <w:r w:rsidR="00510B13">
          <w:rPr>
            <w:rFonts w:ascii="Arial" w:hAnsi="Arial" w:cs="Arial"/>
            <w:noProof/>
          </w:rPr>
          <w:t>4</w:t>
        </w:r>
        <w:r w:rsidRPr="00614B00">
          <w:rPr>
            <w:rFonts w:ascii="Arial" w:hAnsi="Arial" w:cs="Arial"/>
            <w:noProof/>
          </w:rPr>
          <w:fldChar w:fldCharType="end"/>
        </w:r>
      </w:p>
    </w:sdtContent>
  </w:sdt>
  <w:p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E2" w:rsidRDefault="003B38E2" w:rsidP="003B38E2">
    <w:pPr>
      <w:jc w:val="center"/>
    </w:pPr>
    <w:r w:rsidRPr="00C26AA1">
      <w:rPr>
        <w:rFonts w:ascii="Arial" w:hAnsi="Arial"/>
        <w:b/>
        <w:sz w:val="32"/>
      </w:rPr>
      <w:t xml:space="preserve">NORTHERN TERRITORY </w:t>
    </w:r>
    <w:r w:rsidR="003F0044">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D3259AA"/>
    <w:multiLevelType w:val="hybridMultilevel"/>
    <w:tmpl w:val="6458E7C2"/>
    <w:lvl w:ilvl="0" w:tplc="5300AB70">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5B95C67"/>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F2505B"/>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2">
    <w:nsid w:val="3BC83A9D"/>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424B019D"/>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9623FC"/>
    <w:multiLevelType w:val="hybridMultilevel"/>
    <w:tmpl w:val="1652B2DE"/>
    <w:lvl w:ilvl="0" w:tplc="E2E62EEA">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18A2BF6"/>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41219F4"/>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7">
    <w:nsid w:val="7A6D7104"/>
    <w:multiLevelType w:val="hybridMultilevel"/>
    <w:tmpl w:val="2E8AF216"/>
    <w:lvl w:ilvl="0" w:tplc="BC7A1628">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F496980"/>
    <w:multiLevelType w:val="hybridMultilevel"/>
    <w:tmpl w:val="5024D4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3"/>
  </w:num>
  <w:num w:numId="2">
    <w:abstractNumId w:val="11"/>
  </w:num>
  <w:num w:numId="3">
    <w:abstractNumId w:val="7"/>
  </w:num>
  <w:num w:numId="4">
    <w:abstractNumId w:val="6"/>
  </w:num>
  <w:num w:numId="5">
    <w:abstractNumId w:val="20"/>
  </w:num>
  <w:num w:numId="6">
    <w:abstractNumId w:val="24"/>
  </w:num>
  <w:num w:numId="7">
    <w:abstractNumId w:val="17"/>
  </w:num>
  <w:num w:numId="8">
    <w:abstractNumId w:val="0"/>
  </w:num>
  <w:num w:numId="9">
    <w:abstractNumId w:val="26"/>
  </w:num>
  <w:num w:numId="10">
    <w:abstractNumId w:val="16"/>
  </w:num>
  <w:num w:numId="11">
    <w:abstractNumId w:val="2"/>
  </w:num>
  <w:num w:numId="12">
    <w:abstractNumId w:val="3"/>
  </w:num>
  <w:num w:numId="13">
    <w:abstractNumId w:val="15"/>
  </w:num>
  <w:num w:numId="14">
    <w:abstractNumId w:val="18"/>
  </w:num>
  <w:num w:numId="15">
    <w:abstractNumId w:val="1"/>
  </w:num>
  <w:num w:numId="16">
    <w:abstractNumId w:val="12"/>
  </w:num>
  <w:num w:numId="17">
    <w:abstractNumId w:val="4"/>
  </w:num>
  <w:num w:numId="18">
    <w:abstractNumId w:val="5"/>
  </w:num>
  <w:num w:numId="19">
    <w:abstractNumId w:val="19"/>
  </w:num>
  <w:num w:numId="20">
    <w:abstractNumId w:val="23"/>
  </w:num>
  <w:num w:numId="21">
    <w:abstractNumId w:val="9"/>
  </w:num>
  <w:num w:numId="22">
    <w:abstractNumId w:val="28"/>
  </w:num>
  <w:num w:numId="23">
    <w:abstractNumId w:val="27"/>
  </w:num>
  <w:num w:numId="24">
    <w:abstractNumId w:val="25"/>
  </w:num>
  <w:num w:numId="25">
    <w:abstractNumId w:val="14"/>
  </w:num>
  <w:num w:numId="26">
    <w:abstractNumId w:val="10"/>
  </w:num>
  <w:num w:numId="27">
    <w:abstractNumId w:val="22"/>
  </w:num>
  <w:num w:numId="28">
    <w:abstractNumId w:val="29"/>
  </w:num>
  <w:num w:numId="29">
    <w:abstractNumId w:val="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5E"/>
    <w:rsid w:val="00000D37"/>
    <w:rsid w:val="000020F8"/>
    <w:rsid w:val="000048F3"/>
    <w:rsid w:val="00035446"/>
    <w:rsid w:val="00060698"/>
    <w:rsid w:val="00065C22"/>
    <w:rsid w:val="0006656F"/>
    <w:rsid w:val="000808B9"/>
    <w:rsid w:val="00082CE5"/>
    <w:rsid w:val="00091732"/>
    <w:rsid w:val="000A71E5"/>
    <w:rsid w:val="000E1540"/>
    <w:rsid w:val="00102517"/>
    <w:rsid w:val="00126EF4"/>
    <w:rsid w:val="0012714B"/>
    <w:rsid w:val="001304C4"/>
    <w:rsid w:val="00140933"/>
    <w:rsid w:val="001444A8"/>
    <w:rsid w:val="00180CE5"/>
    <w:rsid w:val="00184F2E"/>
    <w:rsid w:val="00192903"/>
    <w:rsid w:val="001C03C0"/>
    <w:rsid w:val="001D6307"/>
    <w:rsid w:val="001D6966"/>
    <w:rsid w:val="001F335D"/>
    <w:rsid w:val="00204481"/>
    <w:rsid w:val="00206E6E"/>
    <w:rsid w:val="002339C1"/>
    <w:rsid w:val="00262155"/>
    <w:rsid w:val="00277AE9"/>
    <w:rsid w:val="002A25AA"/>
    <w:rsid w:val="002B6BBF"/>
    <w:rsid w:val="002C0774"/>
    <w:rsid w:val="002C46C5"/>
    <w:rsid w:val="002C6BB7"/>
    <w:rsid w:val="002D5461"/>
    <w:rsid w:val="002E6113"/>
    <w:rsid w:val="002F03D5"/>
    <w:rsid w:val="002F0E22"/>
    <w:rsid w:val="002F720B"/>
    <w:rsid w:val="00311798"/>
    <w:rsid w:val="00320DA3"/>
    <w:rsid w:val="00334303"/>
    <w:rsid w:val="00340E1B"/>
    <w:rsid w:val="00341AC5"/>
    <w:rsid w:val="003502BB"/>
    <w:rsid w:val="00352D6D"/>
    <w:rsid w:val="00357B7A"/>
    <w:rsid w:val="0039542A"/>
    <w:rsid w:val="003A37FE"/>
    <w:rsid w:val="003A3E83"/>
    <w:rsid w:val="003B38E2"/>
    <w:rsid w:val="003B3C8B"/>
    <w:rsid w:val="003C2416"/>
    <w:rsid w:val="003C4E27"/>
    <w:rsid w:val="003E507B"/>
    <w:rsid w:val="003F0044"/>
    <w:rsid w:val="003F35EB"/>
    <w:rsid w:val="003F7E8F"/>
    <w:rsid w:val="00403E6D"/>
    <w:rsid w:val="004124E8"/>
    <w:rsid w:val="00423AFA"/>
    <w:rsid w:val="0042631D"/>
    <w:rsid w:val="00454068"/>
    <w:rsid w:val="004717FF"/>
    <w:rsid w:val="00480975"/>
    <w:rsid w:val="004B422E"/>
    <w:rsid w:val="004D373A"/>
    <w:rsid w:val="004F33F5"/>
    <w:rsid w:val="00510B13"/>
    <w:rsid w:val="00511172"/>
    <w:rsid w:val="00517D0F"/>
    <w:rsid w:val="005223B7"/>
    <w:rsid w:val="00532A8E"/>
    <w:rsid w:val="00550AC8"/>
    <w:rsid w:val="00572BD7"/>
    <w:rsid w:val="005A5E6A"/>
    <w:rsid w:val="005C38DC"/>
    <w:rsid w:val="005C403D"/>
    <w:rsid w:val="005D116B"/>
    <w:rsid w:val="005F1D75"/>
    <w:rsid w:val="005F6A33"/>
    <w:rsid w:val="005F725E"/>
    <w:rsid w:val="00612471"/>
    <w:rsid w:val="00614B00"/>
    <w:rsid w:val="00615992"/>
    <w:rsid w:val="00624E09"/>
    <w:rsid w:val="0063050D"/>
    <w:rsid w:val="00634062"/>
    <w:rsid w:val="00682899"/>
    <w:rsid w:val="00682C3C"/>
    <w:rsid w:val="006A7AED"/>
    <w:rsid w:val="006D06D6"/>
    <w:rsid w:val="006D7F14"/>
    <w:rsid w:val="007010AC"/>
    <w:rsid w:val="007046C6"/>
    <w:rsid w:val="00712274"/>
    <w:rsid w:val="00712415"/>
    <w:rsid w:val="00720AD8"/>
    <w:rsid w:val="00735AB3"/>
    <w:rsid w:val="00741C28"/>
    <w:rsid w:val="00742D00"/>
    <w:rsid w:val="007635FA"/>
    <w:rsid w:val="00763830"/>
    <w:rsid w:val="00792389"/>
    <w:rsid w:val="007B0F27"/>
    <w:rsid w:val="007D15A0"/>
    <w:rsid w:val="007E7020"/>
    <w:rsid w:val="008132FB"/>
    <w:rsid w:val="00817FA8"/>
    <w:rsid w:val="00821B56"/>
    <w:rsid w:val="00824D04"/>
    <w:rsid w:val="00851D26"/>
    <w:rsid w:val="008531C9"/>
    <w:rsid w:val="00861250"/>
    <w:rsid w:val="008707D3"/>
    <w:rsid w:val="008968EA"/>
    <w:rsid w:val="008D5E6F"/>
    <w:rsid w:val="008D711D"/>
    <w:rsid w:val="008E1DAA"/>
    <w:rsid w:val="008E4D7C"/>
    <w:rsid w:val="00903E87"/>
    <w:rsid w:val="00933C41"/>
    <w:rsid w:val="00956916"/>
    <w:rsid w:val="00961A91"/>
    <w:rsid w:val="00974EEC"/>
    <w:rsid w:val="00990D5A"/>
    <w:rsid w:val="00992F18"/>
    <w:rsid w:val="00993B76"/>
    <w:rsid w:val="009A20E6"/>
    <w:rsid w:val="009A2184"/>
    <w:rsid w:val="009A6124"/>
    <w:rsid w:val="009B6392"/>
    <w:rsid w:val="009E2C01"/>
    <w:rsid w:val="009E7B70"/>
    <w:rsid w:val="00A07D57"/>
    <w:rsid w:val="00A10C4F"/>
    <w:rsid w:val="00A179CF"/>
    <w:rsid w:val="00A300E9"/>
    <w:rsid w:val="00A467CA"/>
    <w:rsid w:val="00A520B3"/>
    <w:rsid w:val="00A85362"/>
    <w:rsid w:val="00A94982"/>
    <w:rsid w:val="00AA05C2"/>
    <w:rsid w:val="00AA1AD2"/>
    <w:rsid w:val="00AB4D34"/>
    <w:rsid w:val="00AD0566"/>
    <w:rsid w:val="00AD7B16"/>
    <w:rsid w:val="00AE3ED6"/>
    <w:rsid w:val="00AF4879"/>
    <w:rsid w:val="00B00073"/>
    <w:rsid w:val="00B04326"/>
    <w:rsid w:val="00B50B06"/>
    <w:rsid w:val="00B60D8B"/>
    <w:rsid w:val="00B760BD"/>
    <w:rsid w:val="00B92758"/>
    <w:rsid w:val="00BC79A2"/>
    <w:rsid w:val="00BD3B4B"/>
    <w:rsid w:val="00BD67DF"/>
    <w:rsid w:val="00BE3A88"/>
    <w:rsid w:val="00C02779"/>
    <w:rsid w:val="00C32F2B"/>
    <w:rsid w:val="00C5025D"/>
    <w:rsid w:val="00C5070C"/>
    <w:rsid w:val="00C735CA"/>
    <w:rsid w:val="00C817B3"/>
    <w:rsid w:val="00C921AB"/>
    <w:rsid w:val="00CA530C"/>
    <w:rsid w:val="00CA53CE"/>
    <w:rsid w:val="00CB49CF"/>
    <w:rsid w:val="00CC1E53"/>
    <w:rsid w:val="00CE6D02"/>
    <w:rsid w:val="00CF2AE7"/>
    <w:rsid w:val="00CF3964"/>
    <w:rsid w:val="00D07B98"/>
    <w:rsid w:val="00D1617A"/>
    <w:rsid w:val="00D54C0A"/>
    <w:rsid w:val="00D76980"/>
    <w:rsid w:val="00DA37E9"/>
    <w:rsid w:val="00DB64C1"/>
    <w:rsid w:val="00DB77E4"/>
    <w:rsid w:val="00DC6365"/>
    <w:rsid w:val="00DE0C6D"/>
    <w:rsid w:val="00E0130B"/>
    <w:rsid w:val="00E023C4"/>
    <w:rsid w:val="00E05D93"/>
    <w:rsid w:val="00E30D0A"/>
    <w:rsid w:val="00E556A7"/>
    <w:rsid w:val="00E64F46"/>
    <w:rsid w:val="00E65904"/>
    <w:rsid w:val="00E735FB"/>
    <w:rsid w:val="00E95BC9"/>
    <w:rsid w:val="00EA2275"/>
    <w:rsid w:val="00EA65EF"/>
    <w:rsid w:val="00EB0E4C"/>
    <w:rsid w:val="00EE5F84"/>
    <w:rsid w:val="00EF3278"/>
    <w:rsid w:val="00EF7574"/>
    <w:rsid w:val="00F0254E"/>
    <w:rsid w:val="00F06E17"/>
    <w:rsid w:val="00F11069"/>
    <w:rsid w:val="00F27918"/>
    <w:rsid w:val="00F41F72"/>
    <w:rsid w:val="00F74D1D"/>
    <w:rsid w:val="00F914E2"/>
    <w:rsid w:val="00F94C5D"/>
    <w:rsid w:val="00FA095C"/>
    <w:rsid w:val="00FA3B90"/>
    <w:rsid w:val="00FB7BF2"/>
    <w:rsid w:val="00FC22BE"/>
    <w:rsid w:val="00FC33D6"/>
    <w:rsid w:val="00FD1314"/>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93E3B-E0C9-432B-841E-79C54F9D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1371</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TSmart</dc:creator>
  <cp:lastModifiedBy>Louise Ranger</cp:lastModifiedBy>
  <cp:revision>4</cp:revision>
  <cp:lastPrinted>2017-01-31T00:16:00Z</cp:lastPrinted>
  <dcterms:created xsi:type="dcterms:W3CDTF">2017-01-24T01:11:00Z</dcterms:created>
  <dcterms:modified xsi:type="dcterms:W3CDTF">2017-01-31T00:19:00Z</dcterms:modified>
</cp:coreProperties>
</file>