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300A1F" w14:textId="77777777" w:rsidR="008D468C" w:rsidRDefault="008D468C" w:rsidP="00C758F1">
      <w:pPr>
        <w:jc w:val="both"/>
        <w:rPr>
          <w:b/>
          <w:lang w:val="en-AU"/>
        </w:rPr>
      </w:pPr>
    </w:p>
    <w:p w14:paraId="06861D0E" w14:textId="3F5E214B" w:rsidR="00C040F9" w:rsidRPr="00C31388" w:rsidRDefault="00302765" w:rsidP="00C758F1">
      <w:pPr>
        <w:jc w:val="both"/>
        <w:rPr>
          <w:b/>
          <w:lang w:val="en-AU"/>
        </w:rPr>
      </w:pPr>
      <w:r w:rsidRPr="00C31388">
        <w:rPr>
          <w:b/>
          <w:lang w:val="en-AU"/>
        </w:rPr>
        <w:t>IN THE MATTER OF A DISCIPLINARY</w:t>
      </w:r>
    </w:p>
    <w:p w14:paraId="621544C7" w14:textId="77777777" w:rsidR="00302765" w:rsidRPr="00C31388" w:rsidRDefault="00302765" w:rsidP="00C758F1">
      <w:pPr>
        <w:jc w:val="both"/>
        <w:rPr>
          <w:b/>
          <w:lang w:val="en-AU"/>
        </w:rPr>
      </w:pPr>
      <w:r w:rsidRPr="00C31388">
        <w:rPr>
          <w:b/>
          <w:lang w:val="en-AU"/>
        </w:rPr>
        <w:t xml:space="preserve">INQUIRY PURSUANT TO THE </w:t>
      </w:r>
    </w:p>
    <w:p w14:paraId="64FC63F4" w14:textId="18F577F4" w:rsidR="00302765" w:rsidRPr="00C31388" w:rsidRDefault="00302765" w:rsidP="00C758F1">
      <w:pPr>
        <w:jc w:val="both"/>
        <w:rPr>
          <w:b/>
          <w:lang w:val="en-AU"/>
        </w:rPr>
      </w:pPr>
      <w:r w:rsidRPr="00A70B8F">
        <w:rPr>
          <w:b/>
          <w:i/>
          <w:lang w:val="en-AU"/>
        </w:rPr>
        <w:t>AGENTS LICENSING ACT</w:t>
      </w:r>
      <w:r w:rsidR="00A70B8F" w:rsidRPr="00A70B8F">
        <w:rPr>
          <w:b/>
          <w:i/>
          <w:lang w:val="en-AU"/>
        </w:rPr>
        <w:t xml:space="preserve"> 1979</w:t>
      </w:r>
      <w:r w:rsidR="000D09E1">
        <w:rPr>
          <w:b/>
          <w:lang w:val="en-AU"/>
        </w:rPr>
        <w:t>,</w:t>
      </w:r>
      <w:r w:rsidRPr="00C31388">
        <w:rPr>
          <w:b/>
          <w:lang w:val="en-AU"/>
        </w:rPr>
        <w:t xml:space="preserve"> NT </w:t>
      </w:r>
    </w:p>
    <w:p w14:paraId="4193636E" w14:textId="77777777" w:rsidR="00302765" w:rsidRPr="00C31388" w:rsidRDefault="00302765" w:rsidP="00C758F1">
      <w:pPr>
        <w:jc w:val="both"/>
        <w:rPr>
          <w:b/>
          <w:lang w:val="en-AU"/>
        </w:rPr>
      </w:pPr>
    </w:p>
    <w:p w14:paraId="4E5A39FE" w14:textId="77777777" w:rsidR="00302765" w:rsidRDefault="00302765" w:rsidP="00C758F1">
      <w:pPr>
        <w:jc w:val="both"/>
        <w:rPr>
          <w:lang w:val="en-AU"/>
        </w:rPr>
      </w:pPr>
    </w:p>
    <w:p w14:paraId="171540DD" w14:textId="39AAF886" w:rsidR="00302765" w:rsidRPr="00C31388" w:rsidRDefault="00302765" w:rsidP="00C758F1">
      <w:pPr>
        <w:jc w:val="both"/>
        <w:rPr>
          <w:b/>
          <w:lang w:val="en-AU"/>
        </w:rPr>
      </w:pPr>
      <w:r w:rsidRPr="00C31388">
        <w:rPr>
          <w:b/>
          <w:lang w:val="en-AU"/>
        </w:rPr>
        <w:t>BETWEEN:</w:t>
      </w:r>
      <w:r w:rsidR="00A70B8F">
        <w:rPr>
          <w:b/>
          <w:lang w:val="en-AU"/>
        </w:rPr>
        <w:tab/>
      </w:r>
      <w:r w:rsidR="00A70B8F">
        <w:rPr>
          <w:b/>
          <w:lang w:val="en-AU"/>
        </w:rPr>
        <w:tab/>
      </w:r>
      <w:r w:rsidR="00A70B8F">
        <w:rPr>
          <w:b/>
          <w:lang w:val="en-AU"/>
        </w:rPr>
        <w:tab/>
      </w:r>
      <w:r w:rsidR="00A70B8F">
        <w:rPr>
          <w:b/>
          <w:lang w:val="en-AU"/>
        </w:rPr>
        <w:tab/>
      </w:r>
      <w:r w:rsidR="00A70B8F">
        <w:rPr>
          <w:b/>
          <w:lang w:val="en-AU"/>
        </w:rPr>
        <w:tab/>
      </w:r>
      <w:r w:rsidR="00726FCE">
        <w:rPr>
          <w:b/>
          <w:lang w:val="en-AU"/>
        </w:rPr>
        <w:t>ISABEL ORDOGH, DANI DELEV &amp; TODE DELEV</w:t>
      </w:r>
    </w:p>
    <w:p w14:paraId="25661330" w14:textId="77777777" w:rsidR="00302765" w:rsidRDefault="00302765" w:rsidP="00C758F1">
      <w:pPr>
        <w:jc w:val="both"/>
        <w:rPr>
          <w:lang w:val="en-AU"/>
        </w:rPr>
      </w:pPr>
    </w:p>
    <w:p w14:paraId="57FAD50E" w14:textId="7D6EAE67" w:rsidR="00302765" w:rsidRDefault="00A70B8F" w:rsidP="00C758F1">
      <w:pPr>
        <w:jc w:val="both"/>
        <w:rPr>
          <w:lang w:val="en-AU"/>
        </w:rPr>
      </w:pPr>
      <w:r>
        <w:rPr>
          <w:lang w:val="en-AU"/>
        </w:rPr>
        <w:tab/>
      </w:r>
      <w:r>
        <w:rPr>
          <w:lang w:val="en-AU"/>
        </w:rPr>
        <w:tab/>
      </w:r>
      <w:r>
        <w:rPr>
          <w:lang w:val="en-AU"/>
        </w:rPr>
        <w:tab/>
      </w:r>
      <w:r>
        <w:rPr>
          <w:lang w:val="en-AU"/>
        </w:rPr>
        <w:tab/>
      </w:r>
      <w:r>
        <w:rPr>
          <w:lang w:val="en-AU"/>
        </w:rPr>
        <w:tab/>
      </w:r>
      <w:r>
        <w:rPr>
          <w:lang w:val="en-AU"/>
        </w:rPr>
        <w:tab/>
      </w:r>
      <w:r w:rsidR="00302765">
        <w:rPr>
          <w:lang w:val="en-AU"/>
        </w:rPr>
        <w:t>Applicant</w:t>
      </w:r>
    </w:p>
    <w:p w14:paraId="4CCC51E7" w14:textId="77777777" w:rsidR="00302765" w:rsidRDefault="00302765" w:rsidP="00C758F1">
      <w:pPr>
        <w:jc w:val="both"/>
        <w:rPr>
          <w:lang w:val="en-AU"/>
        </w:rPr>
      </w:pPr>
    </w:p>
    <w:p w14:paraId="0212773A" w14:textId="63D20095" w:rsidR="00302765" w:rsidRPr="00C31388" w:rsidRDefault="00302765" w:rsidP="00C758F1">
      <w:pPr>
        <w:ind w:left="4320" w:hanging="4320"/>
        <w:jc w:val="both"/>
        <w:rPr>
          <w:b/>
          <w:lang w:val="en-AU"/>
        </w:rPr>
      </w:pPr>
      <w:r w:rsidRPr="00C31388">
        <w:rPr>
          <w:b/>
          <w:lang w:val="en-AU"/>
        </w:rPr>
        <w:t>AND:</w:t>
      </w:r>
      <w:r w:rsidRPr="00C31388">
        <w:rPr>
          <w:b/>
          <w:lang w:val="en-AU"/>
        </w:rPr>
        <w:tab/>
      </w:r>
      <w:r w:rsidR="00726FCE">
        <w:rPr>
          <w:b/>
          <w:lang w:val="en-AU"/>
        </w:rPr>
        <w:t>WHITTLES BODY CORPORATE MANAGEMENT PTY LTD</w:t>
      </w:r>
    </w:p>
    <w:p w14:paraId="1974A4F2" w14:textId="77777777" w:rsidR="00302765" w:rsidRDefault="00302765" w:rsidP="00C758F1">
      <w:pPr>
        <w:jc w:val="both"/>
        <w:rPr>
          <w:lang w:val="en-AU"/>
        </w:rPr>
      </w:pPr>
    </w:p>
    <w:p w14:paraId="2AE88639" w14:textId="6B9CAF9F" w:rsidR="00302765" w:rsidRDefault="00302765" w:rsidP="00C758F1">
      <w:pPr>
        <w:jc w:val="both"/>
        <w:rPr>
          <w:lang w:val="en-AU"/>
        </w:rPr>
      </w:pPr>
      <w:r>
        <w:rPr>
          <w:lang w:val="en-AU"/>
        </w:rPr>
        <w:tab/>
      </w:r>
      <w:r>
        <w:rPr>
          <w:lang w:val="en-AU"/>
        </w:rPr>
        <w:tab/>
      </w:r>
      <w:r>
        <w:rPr>
          <w:lang w:val="en-AU"/>
        </w:rPr>
        <w:tab/>
      </w:r>
      <w:r>
        <w:rPr>
          <w:lang w:val="en-AU"/>
        </w:rPr>
        <w:tab/>
      </w:r>
      <w:r>
        <w:rPr>
          <w:lang w:val="en-AU"/>
        </w:rPr>
        <w:tab/>
      </w:r>
      <w:r>
        <w:rPr>
          <w:lang w:val="en-AU"/>
        </w:rPr>
        <w:tab/>
        <w:t>Respondent</w:t>
      </w:r>
    </w:p>
    <w:p w14:paraId="1AF114A8" w14:textId="77777777" w:rsidR="00C12C5D" w:rsidRDefault="00C12C5D" w:rsidP="00C758F1">
      <w:pPr>
        <w:jc w:val="both"/>
        <w:rPr>
          <w:lang w:val="en-AU"/>
        </w:rPr>
      </w:pPr>
    </w:p>
    <w:p w14:paraId="2DB23358" w14:textId="77777777" w:rsidR="00C12C5D" w:rsidRDefault="00C12C5D" w:rsidP="00C758F1">
      <w:pPr>
        <w:jc w:val="both"/>
        <w:rPr>
          <w:lang w:val="en-AU"/>
        </w:rPr>
      </w:pPr>
    </w:p>
    <w:p w14:paraId="2868874B" w14:textId="1D9970F3" w:rsidR="00C12C5D" w:rsidRDefault="004C3076" w:rsidP="00C758F1">
      <w:pPr>
        <w:jc w:val="both"/>
        <w:rPr>
          <w:lang w:val="en-AU"/>
        </w:rPr>
      </w:pPr>
      <w:r w:rsidRPr="00A70B8F">
        <w:rPr>
          <w:lang w:val="en-AU"/>
        </w:rPr>
        <w:t>Date of Hearing:</w:t>
      </w:r>
      <w:r w:rsidR="00C12C5D">
        <w:rPr>
          <w:lang w:val="en-AU"/>
        </w:rPr>
        <w:tab/>
      </w:r>
      <w:r w:rsidR="00C12C5D">
        <w:rPr>
          <w:lang w:val="en-AU"/>
        </w:rPr>
        <w:tab/>
      </w:r>
      <w:r w:rsidR="00C12C5D">
        <w:rPr>
          <w:lang w:val="en-AU"/>
        </w:rPr>
        <w:tab/>
      </w:r>
      <w:r w:rsidR="00A70B8F">
        <w:rPr>
          <w:lang w:val="en-AU"/>
        </w:rPr>
        <w:tab/>
      </w:r>
      <w:r w:rsidR="002166EC" w:rsidRPr="00A70B8F">
        <w:rPr>
          <w:b/>
          <w:lang w:val="en-AU"/>
        </w:rPr>
        <w:t>1</w:t>
      </w:r>
      <w:r w:rsidR="00726FCE">
        <w:rPr>
          <w:b/>
          <w:lang w:val="en-AU"/>
        </w:rPr>
        <w:t>2 December 2019</w:t>
      </w:r>
    </w:p>
    <w:p w14:paraId="3758CE7D" w14:textId="77777777" w:rsidR="00A70B8F" w:rsidRDefault="00A70B8F" w:rsidP="00C758F1">
      <w:pPr>
        <w:jc w:val="both"/>
        <w:rPr>
          <w:lang w:val="en-AU"/>
        </w:rPr>
      </w:pPr>
    </w:p>
    <w:p w14:paraId="2178D787" w14:textId="48962DC2" w:rsidR="00C12C5D" w:rsidRDefault="004C3076" w:rsidP="00C758F1">
      <w:pPr>
        <w:jc w:val="both"/>
        <w:rPr>
          <w:lang w:val="en-AU"/>
        </w:rPr>
      </w:pPr>
      <w:r>
        <w:rPr>
          <w:lang w:val="en-AU"/>
        </w:rPr>
        <w:t>Chairperson</w:t>
      </w:r>
      <w:r w:rsidR="00C12C5D">
        <w:rPr>
          <w:lang w:val="en-AU"/>
        </w:rPr>
        <w:t xml:space="preserve">: </w:t>
      </w:r>
      <w:r w:rsidR="00C12C5D">
        <w:rPr>
          <w:lang w:val="en-AU"/>
        </w:rPr>
        <w:tab/>
      </w:r>
      <w:r w:rsidR="00C12C5D">
        <w:rPr>
          <w:lang w:val="en-AU"/>
        </w:rPr>
        <w:tab/>
      </w:r>
      <w:r w:rsidR="00734A86">
        <w:rPr>
          <w:lang w:val="en-AU"/>
        </w:rPr>
        <w:tab/>
      </w:r>
      <w:r w:rsidR="00734A86">
        <w:rPr>
          <w:lang w:val="en-AU"/>
        </w:rPr>
        <w:tab/>
      </w:r>
      <w:r>
        <w:rPr>
          <w:lang w:val="en-AU"/>
        </w:rPr>
        <w:tab/>
        <w:t>Mark Thomas</w:t>
      </w:r>
    </w:p>
    <w:p w14:paraId="714E6D6C" w14:textId="28197E67" w:rsidR="004C3076" w:rsidRDefault="004C3076" w:rsidP="00C758F1">
      <w:pPr>
        <w:jc w:val="both"/>
        <w:rPr>
          <w:lang w:val="en-AU"/>
        </w:rPr>
      </w:pPr>
      <w:r>
        <w:rPr>
          <w:lang w:val="en-AU"/>
        </w:rPr>
        <w:t>Consumer Representa</w:t>
      </w:r>
      <w:r w:rsidR="00734A86">
        <w:rPr>
          <w:lang w:val="en-AU"/>
        </w:rPr>
        <w:t>tive:</w:t>
      </w:r>
      <w:r w:rsidR="00734A86">
        <w:rPr>
          <w:lang w:val="en-AU"/>
        </w:rPr>
        <w:tab/>
      </w:r>
      <w:r w:rsidR="00734A86">
        <w:rPr>
          <w:lang w:val="en-AU"/>
        </w:rPr>
        <w:tab/>
      </w:r>
      <w:r w:rsidR="00A70B8F">
        <w:rPr>
          <w:lang w:val="en-AU"/>
        </w:rPr>
        <w:tab/>
      </w:r>
      <w:r>
        <w:rPr>
          <w:lang w:val="en-AU"/>
        </w:rPr>
        <w:t>Lea Aitken</w:t>
      </w:r>
    </w:p>
    <w:p w14:paraId="76180C8A" w14:textId="4CB07AD4" w:rsidR="004C3076" w:rsidRDefault="004C3076" w:rsidP="00C758F1">
      <w:pPr>
        <w:jc w:val="both"/>
        <w:rPr>
          <w:lang w:val="en-AU"/>
        </w:rPr>
      </w:pPr>
      <w:r>
        <w:rPr>
          <w:lang w:val="en-AU"/>
        </w:rPr>
        <w:t xml:space="preserve">Industry Representative: </w:t>
      </w:r>
      <w:r>
        <w:rPr>
          <w:lang w:val="en-AU"/>
        </w:rPr>
        <w:tab/>
      </w:r>
      <w:r>
        <w:rPr>
          <w:lang w:val="en-AU"/>
        </w:rPr>
        <w:tab/>
      </w:r>
      <w:r>
        <w:rPr>
          <w:lang w:val="en-AU"/>
        </w:rPr>
        <w:tab/>
        <w:t>Carol Need</w:t>
      </w:r>
    </w:p>
    <w:p w14:paraId="7E8B569D" w14:textId="0B8CA6AF" w:rsidR="004C3076" w:rsidRDefault="004C3076" w:rsidP="00C758F1">
      <w:pPr>
        <w:jc w:val="both"/>
        <w:rPr>
          <w:lang w:val="en-AU"/>
        </w:rPr>
      </w:pPr>
      <w:r>
        <w:rPr>
          <w:lang w:val="en-AU"/>
        </w:rPr>
        <w:t xml:space="preserve">Departmental Representative: </w:t>
      </w:r>
      <w:r>
        <w:rPr>
          <w:lang w:val="en-AU"/>
        </w:rPr>
        <w:tab/>
      </w:r>
      <w:r>
        <w:rPr>
          <w:lang w:val="en-AU"/>
        </w:rPr>
        <w:tab/>
      </w:r>
      <w:r w:rsidR="00726FCE">
        <w:rPr>
          <w:lang w:val="en-AU"/>
        </w:rPr>
        <w:t>Hannah Clee</w:t>
      </w:r>
    </w:p>
    <w:p w14:paraId="48C7D5A2" w14:textId="77777777" w:rsidR="004C3076" w:rsidRDefault="004C3076" w:rsidP="00C758F1">
      <w:pPr>
        <w:jc w:val="both"/>
        <w:rPr>
          <w:lang w:val="en-AU"/>
        </w:rPr>
      </w:pPr>
    </w:p>
    <w:p w14:paraId="10D368C3" w14:textId="16901D09" w:rsidR="004C3076" w:rsidRPr="00A70B8F" w:rsidRDefault="004C3076" w:rsidP="00C758F1">
      <w:pPr>
        <w:jc w:val="both"/>
        <w:rPr>
          <w:b/>
          <w:lang w:val="en-AU"/>
        </w:rPr>
      </w:pPr>
      <w:r w:rsidRPr="00A70B8F">
        <w:rPr>
          <w:b/>
          <w:lang w:val="en-AU"/>
        </w:rPr>
        <w:t>Appearances:</w:t>
      </w:r>
    </w:p>
    <w:p w14:paraId="7F1E45AB" w14:textId="77777777" w:rsidR="00A70B8F" w:rsidRDefault="00A70B8F" w:rsidP="00C758F1">
      <w:pPr>
        <w:jc w:val="both"/>
        <w:rPr>
          <w:lang w:val="en-AU"/>
        </w:rPr>
      </w:pPr>
    </w:p>
    <w:p w14:paraId="1966C494" w14:textId="35F47AF8" w:rsidR="004C3076" w:rsidRDefault="004C3076" w:rsidP="00C758F1">
      <w:pPr>
        <w:jc w:val="both"/>
        <w:rPr>
          <w:lang w:val="en-AU"/>
        </w:rPr>
      </w:pPr>
      <w:r>
        <w:rPr>
          <w:lang w:val="en-AU"/>
        </w:rPr>
        <w:t>Counsel Assisting the Board:</w:t>
      </w:r>
      <w:r>
        <w:rPr>
          <w:lang w:val="en-AU"/>
        </w:rPr>
        <w:tab/>
      </w:r>
      <w:r w:rsidR="00A70B8F">
        <w:rPr>
          <w:lang w:val="en-AU"/>
        </w:rPr>
        <w:tab/>
      </w:r>
      <w:r w:rsidR="00A70B8F">
        <w:rPr>
          <w:lang w:val="en-AU"/>
        </w:rPr>
        <w:tab/>
      </w:r>
      <w:r>
        <w:rPr>
          <w:lang w:val="en-AU"/>
        </w:rPr>
        <w:t>Tass Liveris</w:t>
      </w:r>
    </w:p>
    <w:p w14:paraId="31B6AFBF" w14:textId="56FC279F" w:rsidR="004C3076" w:rsidRDefault="00BD5FCA" w:rsidP="00C758F1">
      <w:pPr>
        <w:jc w:val="both"/>
        <w:rPr>
          <w:lang w:val="en-AU"/>
        </w:rPr>
      </w:pPr>
      <w:r>
        <w:rPr>
          <w:lang w:val="en-AU"/>
        </w:rPr>
        <w:t>Counsel for the Respondent:</w:t>
      </w:r>
      <w:r>
        <w:rPr>
          <w:lang w:val="en-AU"/>
        </w:rPr>
        <w:tab/>
      </w:r>
      <w:r>
        <w:rPr>
          <w:lang w:val="en-AU"/>
        </w:rPr>
        <w:tab/>
      </w:r>
      <w:r>
        <w:rPr>
          <w:lang w:val="en-AU"/>
        </w:rPr>
        <w:tab/>
        <w:t>Paul Maher</w:t>
      </w:r>
    </w:p>
    <w:p w14:paraId="6A98EC01" w14:textId="77777777" w:rsidR="004C3076" w:rsidRDefault="004C3076" w:rsidP="00C758F1">
      <w:pPr>
        <w:jc w:val="both"/>
        <w:rPr>
          <w:lang w:val="en-AU"/>
        </w:rPr>
      </w:pPr>
    </w:p>
    <w:p w14:paraId="40ED2627" w14:textId="77777777" w:rsidR="00C12C5D" w:rsidRDefault="00C12C5D" w:rsidP="00C758F1">
      <w:pPr>
        <w:jc w:val="both"/>
        <w:rPr>
          <w:lang w:val="en-AU"/>
        </w:rPr>
      </w:pPr>
    </w:p>
    <w:p w14:paraId="35720CED" w14:textId="77777777" w:rsidR="00302765" w:rsidRDefault="00302765" w:rsidP="00C758F1">
      <w:pPr>
        <w:jc w:val="both"/>
        <w:rPr>
          <w:lang w:val="en-AU"/>
        </w:rPr>
      </w:pPr>
    </w:p>
    <w:p w14:paraId="7366C03A" w14:textId="77777777" w:rsidR="00302765" w:rsidRDefault="00302765" w:rsidP="00C758F1">
      <w:pPr>
        <w:jc w:val="both"/>
        <w:rPr>
          <w:lang w:val="en-AU"/>
        </w:rPr>
      </w:pPr>
    </w:p>
    <w:p w14:paraId="47E972FF" w14:textId="69565F97" w:rsidR="00302765" w:rsidRPr="00C31388" w:rsidRDefault="00302765" w:rsidP="00C758F1">
      <w:pPr>
        <w:jc w:val="both"/>
        <w:rPr>
          <w:b/>
          <w:lang w:val="en-AU"/>
        </w:rPr>
      </w:pPr>
      <w:r>
        <w:rPr>
          <w:lang w:val="en-AU"/>
        </w:rPr>
        <w:tab/>
      </w:r>
      <w:r>
        <w:rPr>
          <w:lang w:val="en-AU"/>
        </w:rPr>
        <w:tab/>
      </w:r>
      <w:r>
        <w:rPr>
          <w:lang w:val="en-AU"/>
        </w:rPr>
        <w:tab/>
      </w:r>
      <w:r>
        <w:rPr>
          <w:lang w:val="en-AU"/>
        </w:rPr>
        <w:tab/>
      </w:r>
      <w:r w:rsidR="00C12C5D" w:rsidRPr="00C31388">
        <w:rPr>
          <w:b/>
          <w:lang w:val="en-AU"/>
        </w:rPr>
        <w:t>STATEMENT OF REASONS FOR DECISION</w:t>
      </w:r>
    </w:p>
    <w:p w14:paraId="49A472A1" w14:textId="77777777" w:rsidR="004733AA" w:rsidRPr="00C31388" w:rsidRDefault="004733AA" w:rsidP="00C758F1">
      <w:pPr>
        <w:jc w:val="both"/>
        <w:rPr>
          <w:b/>
          <w:lang w:val="en-AU"/>
        </w:rPr>
      </w:pPr>
    </w:p>
    <w:p w14:paraId="44CE5CAF" w14:textId="77777777" w:rsidR="004733AA" w:rsidRDefault="004733AA" w:rsidP="00C758F1">
      <w:pPr>
        <w:jc w:val="both"/>
        <w:rPr>
          <w:lang w:val="en-AU"/>
        </w:rPr>
      </w:pPr>
    </w:p>
    <w:p w14:paraId="135443F3" w14:textId="46E1CCB8" w:rsidR="00C9616B" w:rsidRDefault="00F25C7F" w:rsidP="00C758F1">
      <w:pPr>
        <w:pStyle w:val="ListParagraph"/>
        <w:numPr>
          <w:ilvl w:val="0"/>
          <w:numId w:val="1"/>
        </w:numPr>
        <w:jc w:val="both"/>
        <w:rPr>
          <w:lang w:val="en-AU"/>
        </w:rPr>
      </w:pPr>
      <w:r>
        <w:rPr>
          <w:lang w:val="en-AU"/>
        </w:rPr>
        <w:t xml:space="preserve">On </w:t>
      </w:r>
      <w:r w:rsidR="00726FCE">
        <w:rPr>
          <w:lang w:val="en-AU"/>
        </w:rPr>
        <w:t>12 December</w:t>
      </w:r>
      <w:r w:rsidR="00595CF2">
        <w:rPr>
          <w:lang w:val="en-AU"/>
        </w:rPr>
        <w:t xml:space="preserve"> 201</w:t>
      </w:r>
      <w:r w:rsidR="002F2D7E">
        <w:rPr>
          <w:lang w:val="en-AU"/>
        </w:rPr>
        <w:t xml:space="preserve">9 </w:t>
      </w:r>
      <w:r>
        <w:rPr>
          <w:lang w:val="en-AU"/>
        </w:rPr>
        <w:t xml:space="preserve">the Agents Licensing Board </w:t>
      </w:r>
      <w:r w:rsidR="00591874">
        <w:rPr>
          <w:lang w:val="en-AU"/>
        </w:rPr>
        <w:t xml:space="preserve">(the Board) </w:t>
      </w:r>
      <w:r>
        <w:rPr>
          <w:lang w:val="en-AU"/>
        </w:rPr>
        <w:t>met to hold a Disciplinary Inquiry into an application</w:t>
      </w:r>
      <w:r w:rsidR="000D39F9">
        <w:rPr>
          <w:lang w:val="en-AU"/>
        </w:rPr>
        <w:t xml:space="preserve"> made by</w:t>
      </w:r>
      <w:r w:rsidR="00726FCE">
        <w:rPr>
          <w:lang w:val="en-AU"/>
        </w:rPr>
        <w:t xml:space="preserve"> Isabel Ordogh, Dani Delev and Tode Delev </w:t>
      </w:r>
      <w:r w:rsidR="00A70B8F">
        <w:rPr>
          <w:lang w:val="en-AU"/>
        </w:rPr>
        <w:t xml:space="preserve">(the </w:t>
      </w:r>
      <w:r w:rsidR="00726FCE">
        <w:rPr>
          <w:lang w:val="en-AU"/>
        </w:rPr>
        <w:t>Applicants</w:t>
      </w:r>
      <w:r w:rsidR="00A70B8F">
        <w:rPr>
          <w:lang w:val="en-AU"/>
        </w:rPr>
        <w:t>)</w:t>
      </w:r>
      <w:r w:rsidR="000D39F9">
        <w:rPr>
          <w:lang w:val="en-AU"/>
        </w:rPr>
        <w:t>, pursuant to s</w:t>
      </w:r>
      <w:r w:rsidR="00A70B8F">
        <w:rPr>
          <w:lang w:val="en-AU"/>
        </w:rPr>
        <w:t>ection</w:t>
      </w:r>
      <w:r w:rsidR="000D39F9">
        <w:rPr>
          <w:lang w:val="en-AU"/>
        </w:rPr>
        <w:t xml:space="preserve"> </w:t>
      </w:r>
      <w:r w:rsidR="00BD5FCA" w:rsidRPr="00BD5FCA">
        <w:rPr>
          <w:lang w:val="en-AU"/>
        </w:rPr>
        <w:t>77</w:t>
      </w:r>
      <w:r w:rsidR="000D39F9">
        <w:rPr>
          <w:lang w:val="en-AU"/>
        </w:rPr>
        <w:t xml:space="preserve"> of the </w:t>
      </w:r>
      <w:r w:rsidR="000D39F9" w:rsidRPr="00A70B8F">
        <w:rPr>
          <w:i/>
          <w:lang w:val="en-AU"/>
        </w:rPr>
        <w:t xml:space="preserve">Agents Licensing Act </w:t>
      </w:r>
      <w:r w:rsidR="00591874" w:rsidRPr="00A70B8F">
        <w:rPr>
          <w:i/>
          <w:lang w:val="en-AU"/>
        </w:rPr>
        <w:t>1979</w:t>
      </w:r>
      <w:r w:rsidR="00591874">
        <w:rPr>
          <w:lang w:val="en-AU"/>
        </w:rPr>
        <w:t xml:space="preserve"> (the Act) </w:t>
      </w:r>
      <w:r w:rsidR="000D39F9">
        <w:rPr>
          <w:lang w:val="en-AU"/>
        </w:rPr>
        <w:t xml:space="preserve">for disciplinary action to be taken against licensed real estate agent </w:t>
      </w:r>
      <w:r w:rsidR="00726FCE">
        <w:rPr>
          <w:lang w:val="en-AU"/>
        </w:rPr>
        <w:t>Whittles Body Corporate Management</w:t>
      </w:r>
      <w:r w:rsidR="000D39F9">
        <w:rPr>
          <w:lang w:val="en-AU"/>
        </w:rPr>
        <w:t xml:space="preserve"> (the Respondent).</w:t>
      </w:r>
    </w:p>
    <w:p w14:paraId="319E1346" w14:textId="77777777" w:rsidR="00C31388" w:rsidRDefault="00C31388" w:rsidP="00C758F1">
      <w:pPr>
        <w:pStyle w:val="ListParagraph"/>
        <w:ind w:left="1080"/>
        <w:jc w:val="both"/>
        <w:rPr>
          <w:lang w:val="en-AU"/>
        </w:rPr>
      </w:pPr>
    </w:p>
    <w:p w14:paraId="086D262A" w14:textId="3FDDCB84" w:rsidR="00C47514" w:rsidRPr="00F67643" w:rsidRDefault="00BD5FCA" w:rsidP="00EE5C30">
      <w:pPr>
        <w:pStyle w:val="ListParagraph"/>
        <w:numPr>
          <w:ilvl w:val="0"/>
          <w:numId w:val="1"/>
        </w:numPr>
        <w:jc w:val="both"/>
        <w:rPr>
          <w:lang w:val="en-AU"/>
        </w:rPr>
      </w:pPr>
      <w:r>
        <w:rPr>
          <w:lang w:val="en-AU"/>
        </w:rPr>
        <w:t>T</w:t>
      </w:r>
      <w:r w:rsidR="004A7D4D">
        <w:rPr>
          <w:lang w:val="en-AU"/>
        </w:rPr>
        <w:t xml:space="preserve">he Board </w:t>
      </w:r>
      <w:r>
        <w:rPr>
          <w:lang w:val="en-AU"/>
        </w:rPr>
        <w:t>has determined that in relation to Allegation 1 that</w:t>
      </w:r>
      <w:r w:rsidR="00F67643">
        <w:rPr>
          <w:lang w:val="en-AU"/>
        </w:rPr>
        <w:t xml:space="preserve"> </w:t>
      </w:r>
      <w:r w:rsidR="00C47514" w:rsidRPr="00F67643">
        <w:rPr>
          <w:lang w:val="en-AU"/>
        </w:rPr>
        <w:t xml:space="preserve">the Respondent failed to perform duties to its principal in the course of conducting business as an agent </w:t>
      </w:r>
      <w:r w:rsidR="006F5E11">
        <w:rPr>
          <w:lang w:val="en-AU"/>
        </w:rPr>
        <w:t xml:space="preserve">and failed to exercise due, skill care or diligence in carrying out its duties on behalf of the principal; </w:t>
      </w:r>
      <w:r w:rsidR="00C47514" w:rsidRPr="00F67643">
        <w:rPr>
          <w:lang w:val="en-AU"/>
        </w:rPr>
        <w:t>and</w:t>
      </w:r>
      <w:r w:rsidR="00F67643" w:rsidRPr="00F67643">
        <w:rPr>
          <w:lang w:val="en-AU"/>
        </w:rPr>
        <w:t xml:space="preserve"> </w:t>
      </w:r>
      <w:r w:rsidR="006F5E11">
        <w:rPr>
          <w:lang w:val="en-AU"/>
        </w:rPr>
        <w:t>thereby committed</w:t>
      </w:r>
      <w:r w:rsidR="00C47514" w:rsidRPr="00F67643">
        <w:rPr>
          <w:lang w:val="en-AU"/>
        </w:rPr>
        <w:t xml:space="preserve"> a breach </w:t>
      </w:r>
      <w:r w:rsidR="006F5E11">
        <w:rPr>
          <w:lang w:val="en-AU"/>
        </w:rPr>
        <w:t xml:space="preserve">of </w:t>
      </w:r>
      <w:r w:rsidR="00F67643">
        <w:rPr>
          <w:lang w:val="en-AU"/>
        </w:rPr>
        <w:t xml:space="preserve">the rules </w:t>
      </w:r>
      <w:r w:rsidR="00C47514" w:rsidRPr="00F67643">
        <w:rPr>
          <w:lang w:val="en-AU"/>
        </w:rPr>
        <w:t>of conduct for an agent.</w:t>
      </w:r>
    </w:p>
    <w:p w14:paraId="5DBA2DE6" w14:textId="77777777" w:rsidR="00BD5FCA" w:rsidRPr="00BD5FCA" w:rsidRDefault="00BD5FCA" w:rsidP="00C758F1">
      <w:pPr>
        <w:pStyle w:val="ListParagraph"/>
        <w:jc w:val="both"/>
        <w:rPr>
          <w:lang w:val="en-AU"/>
        </w:rPr>
      </w:pPr>
    </w:p>
    <w:p w14:paraId="7E06AE01" w14:textId="2A5B23E8" w:rsidR="00F67643" w:rsidRPr="00F67643" w:rsidRDefault="00BD5FCA" w:rsidP="00F67643">
      <w:pPr>
        <w:pStyle w:val="ListParagraph"/>
        <w:numPr>
          <w:ilvl w:val="0"/>
          <w:numId w:val="1"/>
        </w:numPr>
        <w:jc w:val="both"/>
        <w:rPr>
          <w:lang w:val="en-AU"/>
        </w:rPr>
      </w:pPr>
      <w:r w:rsidRPr="00353DFC">
        <w:rPr>
          <w:lang w:val="en-AU"/>
        </w:rPr>
        <w:lastRenderedPageBreak/>
        <w:t>The Board has further determined that i</w:t>
      </w:r>
      <w:r w:rsidR="00353DFC" w:rsidRPr="00353DFC">
        <w:rPr>
          <w:lang w:val="en-AU"/>
        </w:rPr>
        <w:t>n relation to Allegation 2 that</w:t>
      </w:r>
      <w:r w:rsidR="00353DFC">
        <w:rPr>
          <w:lang w:val="en-AU"/>
        </w:rPr>
        <w:t xml:space="preserve"> </w:t>
      </w:r>
      <w:r w:rsidR="00353DFC" w:rsidRPr="00353DFC">
        <w:rPr>
          <w:lang w:val="en-AU"/>
        </w:rPr>
        <w:t xml:space="preserve">the conduct of the Respondent </w:t>
      </w:r>
      <w:r w:rsidR="00666216" w:rsidRPr="00353DFC">
        <w:rPr>
          <w:lang w:val="en-AU"/>
        </w:rPr>
        <w:t>constitute</w:t>
      </w:r>
      <w:r w:rsidR="00666216">
        <w:rPr>
          <w:lang w:val="en-AU"/>
        </w:rPr>
        <w:t xml:space="preserve">d </w:t>
      </w:r>
      <w:r w:rsidR="00666216" w:rsidRPr="00353DFC">
        <w:rPr>
          <w:lang w:val="en-AU"/>
        </w:rPr>
        <w:t>a</w:t>
      </w:r>
      <w:r w:rsidR="00353DFC" w:rsidRPr="00353DFC">
        <w:rPr>
          <w:lang w:val="en-AU"/>
        </w:rPr>
        <w:t xml:space="preserve"> failure to</w:t>
      </w:r>
      <w:r w:rsidR="00F67643">
        <w:rPr>
          <w:lang w:val="en-AU"/>
        </w:rPr>
        <w:t xml:space="preserve"> exercise due skill, care or diligence in carrying out its duties on behalf of the principal and </w:t>
      </w:r>
      <w:r w:rsidR="006F5E11">
        <w:rPr>
          <w:lang w:val="en-AU"/>
        </w:rPr>
        <w:t xml:space="preserve">thereby </w:t>
      </w:r>
      <w:r w:rsidR="00666216">
        <w:rPr>
          <w:lang w:val="en-AU"/>
        </w:rPr>
        <w:t>committed a</w:t>
      </w:r>
      <w:r w:rsidR="00F67643">
        <w:rPr>
          <w:lang w:val="en-AU"/>
        </w:rPr>
        <w:t xml:space="preserve"> breach of the rule of conduct for an agent.</w:t>
      </w:r>
    </w:p>
    <w:p w14:paraId="2649E9D3" w14:textId="77777777" w:rsidR="007F63BB" w:rsidRPr="007F63BB" w:rsidRDefault="007F63BB" w:rsidP="00C758F1">
      <w:pPr>
        <w:jc w:val="both"/>
        <w:rPr>
          <w:lang w:val="en-AU"/>
        </w:rPr>
      </w:pPr>
    </w:p>
    <w:p w14:paraId="3DDE17F6" w14:textId="5BD34D6A" w:rsidR="00C31388" w:rsidRDefault="00C31388" w:rsidP="00C758F1">
      <w:pPr>
        <w:pStyle w:val="ListParagraph"/>
        <w:numPr>
          <w:ilvl w:val="0"/>
          <w:numId w:val="1"/>
        </w:numPr>
        <w:jc w:val="both"/>
        <w:rPr>
          <w:lang w:val="en-AU"/>
        </w:rPr>
      </w:pPr>
      <w:r>
        <w:rPr>
          <w:lang w:val="en-AU"/>
        </w:rPr>
        <w:t>These are the reasons for the Board’s decision.</w:t>
      </w:r>
    </w:p>
    <w:p w14:paraId="697E8456" w14:textId="5EC6DF59" w:rsidR="00556DEB" w:rsidRDefault="00556DEB" w:rsidP="00C758F1">
      <w:pPr>
        <w:pStyle w:val="ListParagraph"/>
        <w:ind w:left="1080"/>
        <w:jc w:val="both"/>
        <w:rPr>
          <w:b/>
          <w:lang w:val="en-AU"/>
        </w:rPr>
      </w:pPr>
    </w:p>
    <w:p w14:paraId="3A9E635B" w14:textId="3D33061E" w:rsidR="00C31388" w:rsidRDefault="00556DEB" w:rsidP="00C758F1">
      <w:pPr>
        <w:pStyle w:val="ListParagraph"/>
        <w:ind w:left="1080"/>
        <w:jc w:val="both"/>
        <w:rPr>
          <w:b/>
          <w:lang w:val="en-AU"/>
        </w:rPr>
      </w:pPr>
      <w:r>
        <w:rPr>
          <w:b/>
          <w:lang w:val="en-AU"/>
        </w:rPr>
        <w:t>Part A: INTRODUCTION</w:t>
      </w:r>
    </w:p>
    <w:p w14:paraId="53657A78" w14:textId="77777777" w:rsidR="00EB6C3F" w:rsidRDefault="00EB6C3F" w:rsidP="00C758F1">
      <w:pPr>
        <w:pStyle w:val="ListParagraph"/>
        <w:ind w:left="1080"/>
        <w:jc w:val="both"/>
        <w:rPr>
          <w:b/>
          <w:lang w:val="en-AU"/>
        </w:rPr>
      </w:pPr>
    </w:p>
    <w:p w14:paraId="47A294ED" w14:textId="4279181A" w:rsidR="00C31388" w:rsidRPr="00C31388" w:rsidRDefault="00C31388" w:rsidP="00C758F1">
      <w:pPr>
        <w:pStyle w:val="ListParagraph"/>
        <w:ind w:left="1080"/>
        <w:jc w:val="both"/>
        <w:rPr>
          <w:b/>
          <w:lang w:val="en-AU"/>
        </w:rPr>
      </w:pPr>
      <w:r w:rsidRPr="00C31388">
        <w:rPr>
          <w:b/>
          <w:lang w:val="en-AU"/>
        </w:rPr>
        <w:t>Particulars of Allegations against the Respondent</w:t>
      </w:r>
    </w:p>
    <w:p w14:paraId="0D81AA90" w14:textId="77777777" w:rsidR="00C31388" w:rsidRPr="00C31388" w:rsidRDefault="00C31388" w:rsidP="00C758F1">
      <w:pPr>
        <w:pStyle w:val="ListParagraph"/>
        <w:ind w:left="1080"/>
        <w:jc w:val="both"/>
        <w:rPr>
          <w:lang w:val="en-AU"/>
        </w:rPr>
      </w:pPr>
    </w:p>
    <w:p w14:paraId="31D48A39" w14:textId="6F1999CD" w:rsidR="00BD5FCA" w:rsidRDefault="00BD5FCA" w:rsidP="00C758F1">
      <w:pPr>
        <w:pStyle w:val="ListParagraph"/>
        <w:numPr>
          <w:ilvl w:val="0"/>
          <w:numId w:val="1"/>
        </w:numPr>
        <w:jc w:val="both"/>
        <w:rPr>
          <w:lang w:val="en-AU"/>
        </w:rPr>
      </w:pPr>
      <w:r>
        <w:rPr>
          <w:lang w:val="en-AU"/>
        </w:rPr>
        <w:t>At all material times it is alleged that</w:t>
      </w:r>
      <w:r w:rsidR="008744FD">
        <w:rPr>
          <w:lang w:val="en-AU"/>
        </w:rPr>
        <w:t>:</w:t>
      </w:r>
    </w:p>
    <w:p w14:paraId="442E4BA8" w14:textId="77777777" w:rsidR="005B0F1A" w:rsidRDefault="005B0F1A" w:rsidP="00C758F1">
      <w:pPr>
        <w:pStyle w:val="ListParagraph"/>
        <w:ind w:left="1080"/>
        <w:jc w:val="both"/>
        <w:rPr>
          <w:lang w:val="en-AU"/>
        </w:rPr>
      </w:pPr>
    </w:p>
    <w:p w14:paraId="72A50DCE" w14:textId="0677FEBF" w:rsidR="008744FD" w:rsidRDefault="008744FD" w:rsidP="00C758F1">
      <w:pPr>
        <w:pStyle w:val="ListParagraph"/>
        <w:numPr>
          <w:ilvl w:val="1"/>
          <w:numId w:val="1"/>
        </w:numPr>
        <w:jc w:val="both"/>
        <w:rPr>
          <w:lang w:val="en-AU"/>
        </w:rPr>
      </w:pPr>
      <w:r>
        <w:rPr>
          <w:lang w:val="en-AU"/>
        </w:rPr>
        <w:t>The complainant, Isabel Ordogh, was the registered proprietor of unit 1/15</w:t>
      </w:r>
      <w:r w:rsidR="00666216">
        <w:rPr>
          <w:lang w:val="en-AU"/>
        </w:rPr>
        <w:t> </w:t>
      </w:r>
      <w:r>
        <w:rPr>
          <w:lang w:val="en-AU"/>
        </w:rPr>
        <w:t>Reynolds Court, Coconut Grove in the Northern Territory and a member of Unit Plan 85/39, the body corporate constituted by the unit owners locate</w:t>
      </w:r>
      <w:r w:rsidR="00756DA9">
        <w:rPr>
          <w:lang w:val="en-AU"/>
        </w:rPr>
        <w:t>d</w:t>
      </w:r>
      <w:r>
        <w:rPr>
          <w:lang w:val="en-AU"/>
        </w:rPr>
        <w:t xml:space="preserve"> at 15 Reynold</w:t>
      </w:r>
      <w:r w:rsidR="005A6766">
        <w:rPr>
          <w:lang w:val="en-AU"/>
        </w:rPr>
        <w:t>s</w:t>
      </w:r>
      <w:r>
        <w:rPr>
          <w:lang w:val="en-AU"/>
        </w:rPr>
        <w:t xml:space="preserve"> Court, Coconut Grove (the Corporation);</w:t>
      </w:r>
    </w:p>
    <w:p w14:paraId="4E0CCDDF" w14:textId="0213068A" w:rsidR="008744FD" w:rsidRDefault="008744FD" w:rsidP="00C758F1">
      <w:pPr>
        <w:pStyle w:val="ListParagraph"/>
        <w:numPr>
          <w:ilvl w:val="1"/>
          <w:numId w:val="1"/>
        </w:numPr>
        <w:jc w:val="both"/>
        <w:rPr>
          <w:lang w:val="en-AU"/>
        </w:rPr>
      </w:pPr>
      <w:r>
        <w:rPr>
          <w:lang w:val="en-AU"/>
        </w:rPr>
        <w:t xml:space="preserve">The complainants Dani and Tode </w:t>
      </w:r>
      <w:r w:rsidR="004822B0">
        <w:rPr>
          <w:lang w:val="en-AU"/>
        </w:rPr>
        <w:t>Delev were</w:t>
      </w:r>
      <w:r w:rsidR="005E7A51">
        <w:rPr>
          <w:lang w:val="en-AU"/>
        </w:rPr>
        <w:t xml:space="preserve"> the registered proprietors of U</w:t>
      </w:r>
      <w:r>
        <w:rPr>
          <w:lang w:val="en-AU"/>
        </w:rPr>
        <w:t>ni</w:t>
      </w:r>
      <w:r w:rsidR="005B0F1A">
        <w:rPr>
          <w:lang w:val="en-AU"/>
        </w:rPr>
        <w:t>t</w:t>
      </w:r>
      <w:r>
        <w:rPr>
          <w:lang w:val="en-AU"/>
        </w:rPr>
        <w:t xml:space="preserve"> 4/15 Reynolds Court, Coconut Grove and a member of the Corporation; </w:t>
      </w:r>
    </w:p>
    <w:p w14:paraId="6954306A" w14:textId="7D9530EB" w:rsidR="008744FD" w:rsidRDefault="008744FD" w:rsidP="00C758F1">
      <w:pPr>
        <w:pStyle w:val="ListParagraph"/>
        <w:numPr>
          <w:ilvl w:val="1"/>
          <w:numId w:val="1"/>
        </w:numPr>
        <w:jc w:val="both"/>
        <w:rPr>
          <w:lang w:val="en-AU"/>
        </w:rPr>
      </w:pPr>
      <w:r>
        <w:rPr>
          <w:lang w:val="en-AU"/>
        </w:rPr>
        <w:t>The respondent, Whittles Body Corporate management Pty Ltd (“Whittles”)</w:t>
      </w:r>
      <w:r w:rsidR="0046784A">
        <w:rPr>
          <w:lang w:val="en-AU"/>
        </w:rPr>
        <w:t>,</w:t>
      </w:r>
      <w:r>
        <w:rPr>
          <w:lang w:val="en-AU"/>
        </w:rPr>
        <w:t xml:space="preserve"> was licensed to carry on business as a real estate agent and body corporate manager under the </w:t>
      </w:r>
      <w:r w:rsidRPr="008744FD">
        <w:rPr>
          <w:i/>
          <w:lang w:val="en-AU"/>
        </w:rPr>
        <w:t>Agents Licensing Act</w:t>
      </w:r>
      <w:r>
        <w:rPr>
          <w:i/>
          <w:lang w:val="en-AU"/>
        </w:rPr>
        <w:t xml:space="preserve"> </w:t>
      </w:r>
      <w:r w:rsidRPr="008744FD">
        <w:rPr>
          <w:i/>
          <w:lang w:val="en-AU"/>
        </w:rPr>
        <w:t>1</w:t>
      </w:r>
      <w:r>
        <w:rPr>
          <w:i/>
          <w:lang w:val="en-AU"/>
        </w:rPr>
        <w:t>9</w:t>
      </w:r>
      <w:r w:rsidRPr="008744FD">
        <w:rPr>
          <w:i/>
          <w:lang w:val="en-AU"/>
        </w:rPr>
        <w:t>79</w:t>
      </w:r>
      <w:r>
        <w:rPr>
          <w:lang w:val="en-AU"/>
        </w:rPr>
        <w:t xml:space="preserve">, the </w:t>
      </w:r>
      <w:r w:rsidRPr="008744FD">
        <w:rPr>
          <w:i/>
          <w:lang w:val="en-AU"/>
        </w:rPr>
        <w:t>Unit Titles Schemes Act 2009</w:t>
      </w:r>
      <w:r>
        <w:rPr>
          <w:lang w:val="en-AU"/>
        </w:rPr>
        <w:t xml:space="preserve"> and the </w:t>
      </w:r>
      <w:r w:rsidRPr="008744FD">
        <w:rPr>
          <w:i/>
          <w:lang w:val="en-AU"/>
        </w:rPr>
        <w:t>Unit Titles Act 1975</w:t>
      </w:r>
      <w:r>
        <w:rPr>
          <w:lang w:val="en-AU"/>
        </w:rPr>
        <w:t>; and</w:t>
      </w:r>
    </w:p>
    <w:p w14:paraId="443DC31E" w14:textId="09F27DBA" w:rsidR="008744FD" w:rsidRDefault="008744FD" w:rsidP="00C758F1">
      <w:pPr>
        <w:pStyle w:val="ListParagraph"/>
        <w:numPr>
          <w:ilvl w:val="1"/>
          <w:numId w:val="1"/>
        </w:numPr>
        <w:jc w:val="both"/>
        <w:rPr>
          <w:lang w:val="en-AU"/>
        </w:rPr>
      </w:pPr>
      <w:r>
        <w:rPr>
          <w:lang w:val="en-AU"/>
        </w:rPr>
        <w:t xml:space="preserve">Whittles was the body corporate manager of the Corporation. </w:t>
      </w:r>
    </w:p>
    <w:p w14:paraId="2A5DE708" w14:textId="77777777" w:rsidR="008744FD" w:rsidRDefault="008744FD" w:rsidP="00C758F1">
      <w:pPr>
        <w:pStyle w:val="ListParagraph"/>
        <w:ind w:left="1080"/>
        <w:jc w:val="both"/>
        <w:rPr>
          <w:lang w:val="en-AU"/>
        </w:rPr>
      </w:pPr>
    </w:p>
    <w:p w14:paraId="50EC2D0F" w14:textId="75F6D685" w:rsidR="007E1AF4" w:rsidRDefault="007E1AF4" w:rsidP="00C758F1">
      <w:pPr>
        <w:pStyle w:val="ListParagraph"/>
        <w:numPr>
          <w:ilvl w:val="0"/>
          <w:numId w:val="1"/>
        </w:numPr>
        <w:jc w:val="both"/>
        <w:rPr>
          <w:lang w:val="en-AU"/>
        </w:rPr>
      </w:pPr>
      <w:r>
        <w:rPr>
          <w:lang w:val="en-AU"/>
        </w:rPr>
        <w:t xml:space="preserve">The matters inquired into </w:t>
      </w:r>
      <w:r w:rsidR="005B0F1A">
        <w:rPr>
          <w:lang w:val="en-AU"/>
        </w:rPr>
        <w:t xml:space="preserve">were set out by way of letter dated 13 November 2019 from the Chairperson </w:t>
      </w:r>
      <w:r w:rsidR="00344CDE">
        <w:rPr>
          <w:lang w:val="en-AU"/>
        </w:rPr>
        <w:t xml:space="preserve">of the Board </w:t>
      </w:r>
      <w:r w:rsidR="00AA60B3">
        <w:rPr>
          <w:lang w:val="en-AU"/>
        </w:rPr>
        <w:t>to the parties.</w:t>
      </w:r>
      <w:r w:rsidR="005824E8">
        <w:rPr>
          <w:lang w:val="en-AU"/>
        </w:rPr>
        <w:t xml:space="preserve"> The alleged breaches of conduct were in relation to the rules of conduct </w:t>
      </w:r>
      <w:r w:rsidR="00D160EA">
        <w:rPr>
          <w:lang w:val="en-AU"/>
        </w:rPr>
        <w:t>in s</w:t>
      </w:r>
      <w:r w:rsidR="0046784A">
        <w:rPr>
          <w:lang w:val="en-AU"/>
        </w:rPr>
        <w:t xml:space="preserve">ection </w:t>
      </w:r>
      <w:r w:rsidR="00D160EA">
        <w:rPr>
          <w:lang w:val="en-AU"/>
        </w:rPr>
        <w:t xml:space="preserve">65 of the Act </w:t>
      </w:r>
      <w:r w:rsidR="005824E8">
        <w:rPr>
          <w:lang w:val="en-AU"/>
        </w:rPr>
        <w:t>in force at the relevant time</w:t>
      </w:r>
      <w:r w:rsidR="00D160EA">
        <w:rPr>
          <w:lang w:val="en-AU"/>
        </w:rPr>
        <w:t>s</w:t>
      </w:r>
      <w:r w:rsidR="0075702B">
        <w:rPr>
          <w:lang w:val="en-AU"/>
        </w:rPr>
        <w:t>.</w:t>
      </w:r>
      <w:r w:rsidR="005824E8">
        <w:rPr>
          <w:rStyle w:val="FootnoteReference"/>
          <w:lang w:val="en-AU"/>
        </w:rPr>
        <w:footnoteReference w:id="1"/>
      </w:r>
    </w:p>
    <w:p w14:paraId="02BA3004" w14:textId="77777777" w:rsidR="007E1AF4" w:rsidRDefault="007E1AF4" w:rsidP="00C758F1">
      <w:pPr>
        <w:ind w:left="1080"/>
        <w:jc w:val="both"/>
        <w:rPr>
          <w:lang w:val="en-AU"/>
        </w:rPr>
      </w:pPr>
    </w:p>
    <w:p w14:paraId="681BEA49" w14:textId="7EC918A5" w:rsidR="007E1AF4" w:rsidRDefault="007E1AF4" w:rsidP="00C758F1">
      <w:pPr>
        <w:ind w:left="1080"/>
        <w:jc w:val="both"/>
        <w:rPr>
          <w:b/>
          <w:lang w:val="en-AU"/>
        </w:rPr>
      </w:pPr>
      <w:r w:rsidRPr="005B0F1A">
        <w:rPr>
          <w:b/>
          <w:lang w:val="en-AU"/>
        </w:rPr>
        <w:t>Allegation 1</w:t>
      </w:r>
    </w:p>
    <w:p w14:paraId="03C36DF4" w14:textId="77777777" w:rsidR="005B0F1A" w:rsidRPr="005B0F1A" w:rsidRDefault="005B0F1A" w:rsidP="00C758F1">
      <w:pPr>
        <w:ind w:left="1080"/>
        <w:jc w:val="both"/>
        <w:rPr>
          <w:b/>
          <w:lang w:val="en-AU"/>
        </w:rPr>
      </w:pPr>
    </w:p>
    <w:p w14:paraId="25E76703" w14:textId="0471E4FD" w:rsidR="005B0F1A" w:rsidRDefault="005B0F1A" w:rsidP="00C758F1">
      <w:pPr>
        <w:pStyle w:val="ListParagraph"/>
        <w:numPr>
          <w:ilvl w:val="0"/>
          <w:numId w:val="1"/>
        </w:numPr>
        <w:jc w:val="both"/>
        <w:rPr>
          <w:lang w:val="en-AU"/>
        </w:rPr>
      </w:pPr>
      <w:r w:rsidRPr="00AA60B3">
        <w:rPr>
          <w:lang w:val="en-AU"/>
        </w:rPr>
        <w:t>It is alleged that between 25 January 2018 and 30 March 2018</w:t>
      </w:r>
      <w:r w:rsidR="00AA60B3">
        <w:rPr>
          <w:lang w:val="en-AU"/>
        </w:rPr>
        <w:t xml:space="preserve"> </w:t>
      </w:r>
      <w:r w:rsidR="007E1AF4" w:rsidRPr="00AA60B3">
        <w:rPr>
          <w:lang w:val="en-AU"/>
        </w:rPr>
        <w:t>Whittles failed to perform duties to its principal and/or failed to exercise due skill, care or diligence in carrying out duties on behalf of its principal and/or failed to exercise due skill, car</w:t>
      </w:r>
      <w:r w:rsidRPr="00AA60B3">
        <w:rPr>
          <w:lang w:val="en-AU"/>
        </w:rPr>
        <w:t>e</w:t>
      </w:r>
      <w:r w:rsidR="007E1AF4" w:rsidRPr="00AA60B3">
        <w:rPr>
          <w:lang w:val="en-AU"/>
        </w:rPr>
        <w:t xml:space="preserve"> or diligence when dealing with any person in the course of conducting business as an agent</w:t>
      </w:r>
      <w:r w:rsidR="00AA60B3">
        <w:rPr>
          <w:lang w:val="en-AU"/>
        </w:rPr>
        <w:t>.</w:t>
      </w:r>
    </w:p>
    <w:p w14:paraId="206A8146" w14:textId="77777777" w:rsidR="00AA60B3" w:rsidRDefault="00AA60B3" w:rsidP="00C758F1">
      <w:pPr>
        <w:pStyle w:val="ListParagraph"/>
        <w:ind w:left="1080"/>
        <w:jc w:val="both"/>
        <w:rPr>
          <w:lang w:val="en-AU"/>
        </w:rPr>
      </w:pPr>
    </w:p>
    <w:p w14:paraId="1D9D94B3" w14:textId="7F676030" w:rsidR="00AA60B3" w:rsidRDefault="00AA60B3" w:rsidP="00C758F1">
      <w:pPr>
        <w:pStyle w:val="ListParagraph"/>
        <w:numPr>
          <w:ilvl w:val="0"/>
          <w:numId w:val="1"/>
        </w:numPr>
        <w:jc w:val="both"/>
        <w:rPr>
          <w:lang w:val="en-AU"/>
        </w:rPr>
      </w:pPr>
      <w:r>
        <w:rPr>
          <w:lang w:val="en-AU"/>
        </w:rPr>
        <w:t>The particulars of Allegation 1 are that:</w:t>
      </w:r>
    </w:p>
    <w:p w14:paraId="4FD9C39D" w14:textId="77777777" w:rsidR="00AA60B3" w:rsidRPr="00AA60B3" w:rsidRDefault="00AA60B3" w:rsidP="00C758F1">
      <w:pPr>
        <w:pStyle w:val="ListParagraph"/>
        <w:jc w:val="both"/>
        <w:rPr>
          <w:lang w:val="en-AU"/>
        </w:rPr>
      </w:pPr>
    </w:p>
    <w:p w14:paraId="46D7D5D0" w14:textId="647783C5" w:rsidR="00AA60B3" w:rsidRPr="00AA60B3" w:rsidRDefault="00AA60B3" w:rsidP="00C758F1">
      <w:pPr>
        <w:pStyle w:val="ListParagraph"/>
        <w:numPr>
          <w:ilvl w:val="1"/>
          <w:numId w:val="1"/>
        </w:numPr>
        <w:jc w:val="both"/>
        <w:rPr>
          <w:lang w:val="en-AU"/>
        </w:rPr>
      </w:pPr>
      <w:r w:rsidRPr="00AA60B3">
        <w:rPr>
          <w:lang w:val="en-AU"/>
        </w:rPr>
        <w:t>By e-mail dated 25 January 2018, Whittles</w:t>
      </w:r>
      <w:r w:rsidR="00CC4300">
        <w:rPr>
          <w:lang w:val="en-AU"/>
        </w:rPr>
        <w:t>’</w:t>
      </w:r>
      <w:r w:rsidRPr="00AA60B3">
        <w:rPr>
          <w:lang w:val="en-AU"/>
        </w:rPr>
        <w:t xml:space="preserve"> strata manager Hayley Maher </w:t>
      </w:r>
      <w:r w:rsidR="00221280">
        <w:rPr>
          <w:lang w:val="en-AU"/>
        </w:rPr>
        <w:t>(</w:t>
      </w:r>
      <w:r w:rsidR="00122ACC">
        <w:rPr>
          <w:lang w:val="en-AU"/>
        </w:rPr>
        <w:t xml:space="preserve">Ms </w:t>
      </w:r>
      <w:r w:rsidR="00221280">
        <w:rPr>
          <w:lang w:val="en-AU"/>
        </w:rPr>
        <w:t xml:space="preserve">Maher) </w:t>
      </w:r>
      <w:r w:rsidRPr="00AA60B3">
        <w:rPr>
          <w:lang w:val="en-AU"/>
        </w:rPr>
        <w:t xml:space="preserve">notified the complainants that a Pet Application form made by </w:t>
      </w:r>
      <w:r w:rsidRPr="00AA60B3">
        <w:rPr>
          <w:lang w:val="en-AU"/>
        </w:rPr>
        <w:lastRenderedPageBreak/>
        <w:t xml:space="preserve">or on behalf of the registered proprietors of </w:t>
      </w:r>
      <w:r w:rsidR="00E75F53">
        <w:rPr>
          <w:lang w:val="en-AU"/>
        </w:rPr>
        <w:t>U</w:t>
      </w:r>
      <w:r w:rsidRPr="00AA60B3">
        <w:rPr>
          <w:lang w:val="en-AU"/>
        </w:rPr>
        <w:t xml:space="preserve">nit 3 </w:t>
      </w:r>
      <w:r w:rsidR="00A1602E">
        <w:rPr>
          <w:lang w:val="en-AU"/>
        </w:rPr>
        <w:t xml:space="preserve">(sic) </w:t>
      </w:r>
      <w:r w:rsidR="00A1602E">
        <w:rPr>
          <w:rStyle w:val="FootnoteReference"/>
          <w:lang w:val="en-AU"/>
        </w:rPr>
        <w:footnoteReference w:id="2"/>
      </w:r>
      <w:r w:rsidRPr="00AA60B3">
        <w:rPr>
          <w:lang w:val="en-AU"/>
        </w:rPr>
        <w:t>of the Corporation (Pet</w:t>
      </w:r>
      <w:r>
        <w:rPr>
          <w:lang w:val="en-AU"/>
        </w:rPr>
        <w:t xml:space="preserve"> </w:t>
      </w:r>
      <w:r w:rsidRPr="00AA60B3">
        <w:rPr>
          <w:lang w:val="en-AU"/>
        </w:rPr>
        <w:t>Application) had been received and had already been approved.</w:t>
      </w:r>
    </w:p>
    <w:p w14:paraId="2816E034" w14:textId="3D3E8F8E" w:rsidR="00AA60B3" w:rsidRPr="00AA60B3" w:rsidRDefault="00AA60B3" w:rsidP="00C758F1">
      <w:pPr>
        <w:pStyle w:val="ListParagraph"/>
        <w:numPr>
          <w:ilvl w:val="1"/>
          <w:numId w:val="1"/>
        </w:numPr>
        <w:jc w:val="both"/>
        <w:rPr>
          <w:lang w:val="en-AU"/>
        </w:rPr>
      </w:pPr>
      <w:r w:rsidRPr="00AA60B3">
        <w:rPr>
          <w:lang w:val="en-AU"/>
        </w:rPr>
        <w:t xml:space="preserve">Article 2(4)(f) of Schedule 1 of the </w:t>
      </w:r>
      <w:r w:rsidRPr="00E75F53">
        <w:rPr>
          <w:i/>
          <w:lang w:val="en-AU"/>
        </w:rPr>
        <w:t>Unit Titles Act 1975</w:t>
      </w:r>
      <w:r w:rsidRPr="00AA60B3">
        <w:rPr>
          <w:lang w:val="en-AU"/>
        </w:rPr>
        <w:t xml:space="preserve"> provides that a member of a corporation shall not, except in accordance with permission given by a majority resolution of the corporation, keep any animals or birds in or on his unit or the common property.</w:t>
      </w:r>
    </w:p>
    <w:p w14:paraId="7D8D572B" w14:textId="28A45DB3" w:rsidR="00AA60B3" w:rsidRPr="00AA60B3" w:rsidRDefault="00AA60B3" w:rsidP="00C758F1">
      <w:pPr>
        <w:pStyle w:val="ListParagraph"/>
        <w:numPr>
          <w:ilvl w:val="1"/>
          <w:numId w:val="1"/>
        </w:numPr>
        <w:jc w:val="both"/>
        <w:rPr>
          <w:lang w:val="en-AU"/>
        </w:rPr>
      </w:pPr>
      <w:r w:rsidRPr="00AA60B3">
        <w:rPr>
          <w:lang w:val="en-AU"/>
        </w:rPr>
        <w:t>Whittles failed to promptly convene a general meeting of the Corporation</w:t>
      </w:r>
      <w:r>
        <w:rPr>
          <w:lang w:val="en-AU"/>
        </w:rPr>
        <w:t xml:space="preserve"> </w:t>
      </w:r>
      <w:r w:rsidRPr="00AA60B3">
        <w:rPr>
          <w:lang w:val="en-AU"/>
        </w:rPr>
        <w:t>upon receipt of the Pet Application.</w:t>
      </w:r>
    </w:p>
    <w:p w14:paraId="6CE1A26D" w14:textId="19BD3EDD" w:rsidR="00AA60B3" w:rsidRPr="00AA60B3" w:rsidRDefault="00AA60B3" w:rsidP="00C758F1">
      <w:pPr>
        <w:pStyle w:val="ListParagraph"/>
        <w:numPr>
          <w:ilvl w:val="1"/>
          <w:numId w:val="1"/>
        </w:numPr>
        <w:jc w:val="both"/>
        <w:rPr>
          <w:lang w:val="en-AU"/>
        </w:rPr>
      </w:pPr>
      <w:r w:rsidRPr="00AA60B3">
        <w:rPr>
          <w:lang w:val="en-AU"/>
        </w:rPr>
        <w:t>By e-mail dated 7 March 2018, Whittles gave notice of a general meeting of the Corporation in respect of the Pet Application to be held on 27 March 2018. It did so only after it had advised the Pet Application had been approved and only after objection was taken by the complainants to Whittles’ lack of due process.</w:t>
      </w:r>
    </w:p>
    <w:p w14:paraId="3D76C153" w14:textId="603CE8D4" w:rsidR="00AA60B3" w:rsidRPr="00AA60B3" w:rsidRDefault="00AA60B3" w:rsidP="00C758F1">
      <w:pPr>
        <w:pStyle w:val="ListParagraph"/>
        <w:numPr>
          <w:ilvl w:val="1"/>
          <w:numId w:val="1"/>
        </w:numPr>
        <w:jc w:val="both"/>
        <w:rPr>
          <w:lang w:val="en-AU"/>
        </w:rPr>
      </w:pPr>
      <w:r w:rsidRPr="00AA60B3">
        <w:rPr>
          <w:lang w:val="en-AU"/>
        </w:rPr>
        <w:t>Whittles failed to provide members of the Corporation with relevant documents to the Pet Application for the purpose of the general meeting in a timely fashion or at all, including, inter alia, the lease agreement for unit 3</w:t>
      </w:r>
      <w:r w:rsidR="00B36B9C">
        <w:rPr>
          <w:lang w:val="en-AU"/>
        </w:rPr>
        <w:t xml:space="preserve"> (sic) </w:t>
      </w:r>
      <w:r w:rsidR="00B36B9C">
        <w:rPr>
          <w:rStyle w:val="FootnoteReference"/>
          <w:lang w:val="en-AU"/>
        </w:rPr>
        <w:footnoteReference w:id="3"/>
      </w:r>
      <w:r w:rsidRPr="00AA60B3">
        <w:rPr>
          <w:lang w:val="en-AU"/>
        </w:rPr>
        <w:t>and a copy of the Pet Application.</w:t>
      </w:r>
    </w:p>
    <w:p w14:paraId="3B45690A" w14:textId="2984384D" w:rsidR="00AA60B3" w:rsidRPr="00AA60B3" w:rsidRDefault="00AA60B3" w:rsidP="00C758F1">
      <w:pPr>
        <w:pStyle w:val="ListParagraph"/>
        <w:numPr>
          <w:ilvl w:val="1"/>
          <w:numId w:val="1"/>
        </w:numPr>
        <w:jc w:val="both"/>
        <w:rPr>
          <w:lang w:val="en-AU"/>
        </w:rPr>
      </w:pPr>
      <w:r w:rsidRPr="00AA60B3">
        <w:rPr>
          <w:lang w:val="en-AU"/>
        </w:rPr>
        <w:t>Shortly after the making of the complaint objecting to the pet, Whittles removed Corporation documents from the Whittles online member portal and/or removed member access to Corporation documents on the Whittles online portal, in respect of the Pet Application.</w:t>
      </w:r>
    </w:p>
    <w:p w14:paraId="0539FD3D" w14:textId="77777777" w:rsidR="005B0F1A" w:rsidRDefault="005B0F1A" w:rsidP="00C758F1">
      <w:pPr>
        <w:pStyle w:val="ListParagraph"/>
        <w:ind w:left="1800"/>
        <w:jc w:val="both"/>
        <w:rPr>
          <w:lang w:val="en-AU"/>
        </w:rPr>
      </w:pPr>
    </w:p>
    <w:p w14:paraId="20C7DE3D" w14:textId="0579813B" w:rsidR="005D2B53" w:rsidRDefault="00AA60B3" w:rsidP="00C758F1">
      <w:pPr>
        <w:pStyle w:val="ListParagraph"/>
        <w:numPr>
          <w:ilvl w:val="0"/>
          <w:numId w:val="1"/>
        </w:numPr>
        <w:jc w:val="both"/>
        <w:rPr>
          <w:lang w:val="en-AU"/>
        </w:rPr>
      </w:pPr>
      <w:r w:rsidRPr="00AA60B3">
        <w:rPr>
          <w:lang w:val="en-AU"/>
        </w:rPr>
        <w:t xml:space="preserve">It </w:t>
      </w:r>
      <w:r w:rsidR="005D2B53">
        <w:rPr>
          <w:lang w:val="en-AU"/>
        </w:rPr>
        <w:t>is</w:t>
      </w:r>
      <w:r w:rsidRPr="00AA60B3">
        <w:rPr>
          <w:lang w:val="en-AU"/>
        </w:rPr>
        <w:t xml:space="preserve"> alleged that this constitute</w:t>
      </w:r>
      <w:r>
        <w:rPr>
          <w:lang w:val="en-AU"/>
        </w:rPr>
        <w:t>d</w:t>
      </w:r>
      <w:r w:rsidRPr="00AA60B3">
        <w:rPr>
          <w:lang w:val="en-AU"/>
        </w:rPr>
        <w:t xml:space="preserve"> a failure by Whittles to perform duties to its principal and/or a failure to exercise due skill, care or diligence in carrying out duties on behalf of its principal and/or a failure to exercise due skill, care or diligence when dealing with any person in the course of conducting business as an agent, for the purposes of </w:t>
      </w:r>
      <w:r w:rsidR="00792001">
        <w:rPr>
          <w:lang w:val="en-AU"/>
        </w:rPr>
        <w:t>sub</w:t>
      </w:r>
      <w:r w:rsidRPr="00AA60B3">
        <w:rPr>
          <w:lang w:val="en-AU"/>
        </w:rPr>
        <w:t>s</w:t>
      </w:r>
      <w:r w:rsidR="00792001">
        <w:rPr>
          <w:lang w:val="en-AU"/>
        </w:rPr>
        <w:t xml:space="preserve">ections </w:t>
      </w:r>
      <w:r w:rsidRPr="00AA60B3">
        <w:rPr>
          <w:lang w:val="en-AU"/>
        </w:rPr>
        <w:t>65(1)(c), 6</w:t>
      </w:r>
      <w:r w:rsidR="00666216">
        <w:rPr>
          <w:lang w:val="en-AU"/>
        </w:rPr>
        <w:t xml:space="preserve">5(1)(d) and/or 65(1)(da) of the </w:t>
      </w:r>
      <w:r w:rsidR="005B3C7B" w:rsidRPr="005B3C7B">
        <w:rPr>
          <w:lang w:val="en-AU"/>
        </w:rPr>
        <w:t>Act</w:t>
      </w:r>
      <w:r w:rsidR="005B3C7B">
        <w:rPr>
          <w:lang w:val="en-AU"/>
        </w:rPr>
        <w:t>.</w:t>
      </w:r>
      <w:r w:rsidR="0046784A">
        <w:rPr>
          <w:rStyle w:val="FootnoteReference"/>
          <w:lang w:val="en-AU"/>
        </w:rPr>
        <w:footnoteReference w:id="4"/>
      </w:r>
    </w:p>
    <w:p w14:paraId="10C878B5" w14:textId="0B6FB995" w:rsidR="005D2B53" w:rsidRDefault="005D2B53" w:rsidP="00C758F1">
      <w:pPr>
        <w:pStyle w:val="ListParagraph"/>
        <w:ind w:left="1080"/>
        <w:jc w:val="both"/>
        <w:rPr>
          <w:lang w:val="en-AU"/>
        </w:rPr>
      </w:pPr>
    </w:p>
    <w:p w14:paraId="0B4A6083" w14:textId="7B3774A6" w:rsidR="007E1AF4" w:rsidRPr="00AA60B3" w:rsidRDefault="005D2B53" w:rsidP="00C758F1">
      <w:pPr>
        <w:pStyle w:val="ListParagraph"/>
        <w:numPr>
          <w:ilvl w:val="0"/>
          <w:numId w:val="1"/>
        </w:numPr>
        <w:jc w:val="both"/>
        <w:rPr>
          <w:lang w:val="en-AU"/>
        </w:rPr>
      </w:pPr>
      <w:r>
        <w:rPr>
          <w:lang w:val="en-AU"/>
        </w:rPr>
        <w:t xml:space="preserve">If proved, the Board may take disciplinary action against </w:t>
      </w:r>
      <w:r w:rsidR="00AA60B3" w:rsidRPr="00AA60B3">
        <w:rPr>
          <w:lang w:val="en-AU"/>
        </w:rPr>
        <w:t xml:space="preserve">Whittles </w:t>
      </w:r>
      <w:r>
        <w:rPr>
          <w:lang w:val="en-AU"/>
        </w:rPr>
        <w:t>on the grounds that the licensed agent is</w:t>
      </w:r>
      <w:r w:rsidR="007E1AF4" w:rsidRPr="00AA60B3">
        <w:rPr>
          <w:lang w:val="en-AU"/>
        </w:rPr>
        <w:t xml:space="preserve"> guilty of a breach of the rules of conduct for agents.</w:t>
      </w:r>
    </w:p>
    <w:p w14:paraId="24E0C17A" w14:textId="5D9A9FB3" w:rsidR="007E1AF4" w:rsidRDefault="007E1AF4" w:rsidP="00C758F1">
      <w:pPr>
        <w:jc w:val="both"/>
        <w:rPr>
          <w:lang w:val="en-AU"/>
        </w:rPr>
      </w:pPr>
    </w:p>
    <w:p w14:paraId="0FED8620" w14:textId="089F77EA" w:rsidR="007E1AF4" w:rsidRDefault="007E1AF4" w:rsidP="00C758F1">
      <w:pPr>
        <w:ind w:left="1080"/>
        <w:jc w:val="both"/>
        <w:rPr>
          <w:b/>
          <w:lang w:val="en-AU"/>
        </w:rPr>
      </w:pPr>
      <w:r w:rsidRPr="005B0F1A">
        <w:rPr>
          <w:b/>
          <w:lang w:val="en-AU"/>
        </w:rPr>
        <w:t>Allegation 2</w:t>
      </w:r>
    </w:p>
    <w:p w14:paraId="68C7F00C" w14:textId="77777777" w:rsidR="00AA60B3" w:rsidRPr="005B0F1A" w:rsidRDefault="00AA60B3" w:rsidP="00C758F1">
      <w:pPr>
        <w:ind w:left="1080"/>
        <w:jc w:val="both"/>
        <w:rPr>
          <w:b/>
          <w:lang w:val="en-AU"/>
        </w:rPr>
      </w:pPr>
    </w:p>
    <w:p w14:paraId="2331268D" w14:textId="7D4C1E02" w:rsidR="007E1AF4" w:rsidRDefault="005B0F1A" w:rsidP="00C758F1">
      <w:pPr>
        <w:pStyle w:val="ListParagraph"/>
        <w:numPr>
          <w:ilvl w:val="0"/>
          <w:numId w:val="1"/>
        </w:numPr>
        <w:jc w:val="both"/>
        <w:rPr>
          <w:lang w:val="en-AU"/>
        </w:rPr>
      </w:pPr>
      <w:r>
        <w:rPr>
          <w:lang w:val="en-AU"/>
        </w:rPr>
        <w:t>It is further alleged t</w:t>
      </w:r>
      <w:r w:rsidR="007E1AF4">
        <w:rPr>
          <w:lang w:val="en-AU"/>
        </w:rPr>
        <w:t>hat be</w:t>
      </w:r>
      <w:r>
        <w:rPr>
          <w:lang w:val="en-AU"/>
        </w:rPr>
        <w:t xml:space="preserve">tween 5 March 2017 and 12 July </w:t>
      </w:r>
      <w:r w:rsidR="007E1AF4">
        <w:rPr>
          <w:lang w:val="en-AU"/>
        </w:rPr>
        <w:t>2017, Whittles failed to ensure the Corporation was insured and thereby failed to perform duties to its principal and/or failed to exercise due skill, care or diligence in carrying out duties on behalf of its principal and/or failed to exercise due skill, care of diligence when dealing with any person in the course of conducting business as an agent</w:t>
      </w:r>
      <w:r w:rsidR="00E25DCF">
        <w:rPr>
          <w:lang w:val="en-AU"/>
        </w:rPr>
        <w:t>.</w:t>
      </w:r>
    </w:p>
    <w:p w14:paraId="0A2A0FEB" w14:textId="2E122262" w:rsidR="007E1AF4" w:rsidRDefault="007E1AF4" w:rsidP="00C758F1">
      <w:pPr>
        <w:ind w:left="720"/>
        <w:jc w:val="both"/>
        <w:rPr>
          <w:lang w:val="en-AU"/>
        </w:rPr>
      </w:pPr>
    </w:p>
    <w:p w14:paraId="08BDC7F2" w14:textId="1F36D567" w:rsidR="00E25DCF" w:rsidRDefault="00E25DCF" w:rsidP="00C758F1">
      <w:pPr>
        <w:ind w:left="720"/>
        <w:jc w:val="both"/>
        <w:rPr>
          <w:lang w:val="en-AU"/>
        </w:rPr>
      </w:pPr>
    </w:p>
    <w:p w14:paraId="15A583D2" w14:textId="77777777" w:rsidR="00E25DCF" w:rsidRPr="007E1AF4" w:rsidRDefault="00E25DCF" w:rsidP="00C758F1">
      <w:pPr>
        <w:ind w:left="720"/>
        <w:jc w:val="both"/>
        <w:rPr>
          <w:lang w:val="en-AU"/>
        </w:rPr>
      </w:pPr>
    </w:p>
    <w:p w14:paraId="222B4308" w14:textId="69BC23E1" w:rsidR="00B0212B" w:rsidRDefault="00B0212B" w:rsidP="00C758F1">
      <w:pPr>
        <w:pStyle w:val="ListParagraph"/>
        <w:numPr>
          <w:ilvl w:val="0"/>
          <w:numId w:val="1"/>
        </w:numPr>
        <w:jc w:val="both"/>
        <w:rPr>
          <w:lang w:val="en-AU"/>
        </w:rPr>
      </w:pPr>
      <w:r>
        <w:rPr>
          <w:lang w:val="en-AU"/>
        </w:rPr>
        <w:lastRenderedPageBreak/>
        <w:t>The particulars of Allegation 2</w:t>
      </w:r>
      <w:r w:rsidRPr="00B0212B">
        <w:rPr>
          <w:lang w:val="en-AU"/>
        </w:rPr>
        <w:t xml:space="preserve"> are that:</w:t>
      </w:r>
    </w:p>
    <w:p w14:paraId="71B95696" w14:textId="7AD4BAAE" w:rsidR="00B0212B" w:rsidRPr="00B0212B" w:rsidRDefault="00B0212B" w:rsidP="00C758F1">
      <w:pPr>
        <w:jc w:val="both"/>
        <w:rPr>
          <w:lang w:val="en-AU"/>
        </w:rPr>
      </w:pPr>
    </w:p>
    <w:p w14:paraId="7FC8CFF8" w14:textId="77777777" w:rsidR="00B0212B" w:rsidRDefault="00B0212B" w:rsidP="00C758F1">
      <w:pPr>
        <w:pStyle w:val="ListParagraph"/>
        <w:numPr>
          <w:ilvl w:val="1"/>
          <w:numId w:val="1"/>
        </w:numPr>
        <w:jc w:val="both"/>
        <w:rPr>
          <w:lang w:val="en-AU"/>
        </w:rPr>
      </w:pPr>
      <w:r w:rsidRPr="00B0212B">
        <w:rPr>
          <w:lang w:val="en-AU"/>
        </w:rPr>
        <w:t>On 6 March 2017, Whittles was notified by the Corporation’s insurer, TIO, that it was required to appoint an insurance broker for its insurance policy that was scheduled to fall due on 21 May 2017.</w:t>
      </w:r>
    </w:p>
    <w:p w14:paraId="7F52458C" w14:textId="1BBD0068" w:rsidR="00B0212B" w:rsidRDefault="00B0212B" w:rsidP="00C758F1">
      <w:pPr>
        <w:pStyle w:val="ListParagraph"/>
        <w:numPr>
          <w:ilvl w:val="1"/>
          <w:numId w:val="1"/>
        </w:numPr>
        <w:jc w:val="both"/>
        <w:rPr>
          <w:lang w:val="en-AU"/>
        </w:rPr>
      </w:pPr>
      <w:r w:rsidRPr="00B0212B">
        <w:rPr>
          <w:lang w:val="en-AU"/>
        </w:rPr>
        <w:t>On or about 9 March 2017, Casey Bruton (</w:t>
      </w:r>
      <w:r w:rsidR="0022453D">
        <w:rPr>
          <w:lang w:val="en-AU"/>
        </w:rPr>
        <w:t xml:space="preserve">Ms </w:t>
      </w:r>
      <w:r w:rsidRPr="00B0212B">
        <w:rPr>
          <w:lang w:val="en-AU"/>
        </w:rPr>
        <w:t xml:space="preserve">Bruton), Whittles’ strata manager, sent members of the Corporation an e-mail seeking instructions in respect of TIO’s correspondence. </w:t>
      </w:r>
    </w:p>
    <w:p w14:paraId="34373022" w14:textId="3CC56521" w:rsidR="00B0212B" w:rsidRDefault="00B0212B" w:rsidP="00C758F1">
      <w:pPr>
        <w:pStyle w:val="ListParagraph"/>
        <w:numPr>
          <w:ilvl w:val="1"/>
          <w:numId w:val="1"/>
        </w:numPr>
        <w:jc w:val="both"/>
        <w:rPr>
          <w:lang w:val="en-AU"/>
        </w:rPr>
      </w:pPr>
      <w:r w:rsidRPr="00B0212B">
        <w:rPr>
          <w:lang w:val="en-AU"/>
        </w:rPr>
        <w:t xml:space="preserve">The Corporation members did not reply to Bruton’s e-mail dated 9 March 2017 to provide instructions and thereafter the insurance policy lapsed. </w:t>
      </w:r>
    </w:p>
    <w:p w14:paraId="7342DD63" w14:textId="689DBE56" w:rsidR="00B0212B" w:rsidRDefault="00B0212B" w:rsidP="00C758F1">
      <w:pPr>
        <w:pStyle w:val="ListParagraph"/>
        <w:numPr>
          <w:ilvl w:val="1"/>
          <w:numId w:val="1"/>
        </w:numPr>
        <w:jc w:val="both"/>
        <w:rPr>
          <w:lang w:val="en-AU"/>
        </w:rPr>
      </w:pPr>
      <w:r w:rsidRPr="00B0212B">
        <w:rPr>
          <w:lang w:val="en-AU"/>
        </w:rPr>
        <w:t xml:space="preserve">On 11 July 2017, </w:t>
      </w:r>
      <w:r w:rsidR="00A12406">
        <w:rPr>
          <w:lang w:val="en-AU"/>
        </w:rPr>
        <w:t xml:space="preserve">Ms </w:t>
      </w:r>
      <w:r w:rsidRPr="00B0212B">
        <w:rPr>
          <w:lang w:val="en-AU"/>
        </w:rPr>
        <w:t xml:space="preserve">Bruton sent an e-mail to the Corporation members seeking their instructions to approve immediate insurance cover for the Corporation with MGA because the Corporation </w:t>
      </w:r>
      <w:r>
        <w:rPr>
          <w:lang w:val="en-AU"/>
        </w:rPr>
        <w:t>was not currently insured.</w:t>
      </w:r>
    </w:p>
    <w:p w14:paraId="4E2F79F5" w14:textId="77777777" w:rsidR="00B0212B" w:rsidRPr="00B0212B" w:rsidRDefault="00B0212B" w:rsidP="00C758F1">
      <w:pPr>
        <w:pStyle w:val="ListParagraph"/>
        <w:ind w:left="1080"/>
        <w:jc w:val="both"/>
        <w:rPr>
          <w:lang w:val="en-AU"/>
        </w:rPr>
      </w:pPr>
    </w:p>
    <w:p w14:paraId="1646017D" w14:textId="2AF23022" w:rsidR="005D2B53" w:rsidRPr="005D2B53" w:rsidRDefault="00B0212B" w:rsidP="00C758F1">
      <w:pPr>
        <w:pStyle w:val="ListParagraph"/>
        <w:numPr>
          <w:ilvl w:val="0"/>
          <w:numId w:val="1"/>
        </w:numPr>
        <w:jc w:val="both"/>
        <w:rPr>
          <w:lang w:val="en-AU"/>
        </w:rPr>
      </w:pPr>
      <w:r w:rsidRPr="00B0212B">
        <w:rPr>
          <w:lang w:val="en-AU"/>
        </w:rPr>
        <w:t xml:space="preserve">It was alleged that this </w:t>
      </w:r>
      <w:r w:rsidR="0038463F" w:rsidRPr="00B0212B">
        <w:rPr>
          <w:lang w:val="en-AU"/>
        </w:rPr>
        <w:t>constituted</w:t>
      </w:r>
      <w:r w:rsidRPr="00B0212B">
        <w:rPr>
          <w:lang w:val="en-AU"/>
        </w:rPr>
        <w:t xml:space="preserve"> a failure by Whittles to perform duties to its principal and/or a failure to exercise due skill, care or diligence in carrying out duties on behalf of its principal and/or a failure to exercise due skill, care or diligence when dealing with any person in the course of conducting business as </w:t>
      </w:r>
      <w:r w:rsidR="00792001">
        <w:rPr>
          <w:lang w:val="en-AU"/>
        </w:rPr>
        <w:t xml:space="preserve">an agent, for the purposes of subsections </w:t>
      </w:r>
      <w:r w:rsidRPr="00B0212B">
        <w:rPr>
          <w:lang w:val="en-AU"/>
        </w:rPr>
        <w:t xml:space="preserve">65(1)(c), 65(1)(d) and/or 65(1)(da) of the </w:t>
      </w:r>
      <w:r w:rsidR="005B3C7B" w:rsidRPr="005B3C7B">
        <w:rPr>
          <w:lang w:val="en-AU"/>
        </w:rPr>
        <w:t>Act.</w:t>
      </w:r>
    </w:p>
    <w:p w14:paraId="207E234D" w14:textId="77777777" w:rsidR="005D2B53" w:rsidRPr="005D2B53" w:rsidRDefault="005D2B53" w:rsidP="00C758F1">
      <w:pPr>
        <w:pStyle w:val="ListParagraph"/>
        <w:ind w:left="1080"/>
        <w:jc w:val="both"/>
        <w:rPr>
          <w:lang w:val="en-AU"/>
        </w:rPr>
      </w:pPr>
    </w:p>
    <w:p w14:paraId="15EA3D71" w14:textId="77777777" w:rsidR="005D2B53" w:rsidRPr="00AA60B3" w:rsidRDefault="00B0212B" w:rsidP="00C758F1">
      <w:pPr>
        <w:pStyle w:val="ListParagraph"/>
        <w:numPr>
          <w:ilvl w:val="0"/>
          <w:numId w:val="1"/>
        </w:numPr>
        <w:jc w:val="both"/>
        <w:rPr>
          <w:lang w:val="en-AU"/>
        </w:rPr>
      </w:pPr>
      <w:r w:rsidRPr="00B0212B">
        <w:rPr>
          <w:lang w:val="en-AU"/>
        </w:rPr>
        <w:t xml:space="preserve"> </w:t>
      </w:r>
      <w:r w:rsidR="005D2B53">
        <w:rPr>
          <w:lang w:val="en-AU"/>
        </w:rPr>
        <w:t xml:space="preserve">If proved, the Board may take disciplinary action against </w:t>
      </w:r>
      <w:r w:rsidR="005D2B53" w:rsidRPr="00AA60B3">
        <w:rPr>
          <w:lang w:val="en-AU"/>
        </w:rPr>
        <w:t xml:space="preserve">Whittles </w:t>
      </w:r>
      <w:r w:rsidR="005D2B53">
        <w:rPr>
          <w:lang w:val="en-AU"/>
        </w:rPr>
        <w:t>on the grounds that the licensed agent is</w:t>
      </w:r>
      <w:r w:rsidR="005D2B53" w:rsidRPr="00AA60B3">
        <w:rPr>
          <w:lang w:val="en-AU"/>
        </w:rPr>
        <w:t xml:space="preserve"> guilty of a breach of the rules of conduct for agents.</w:t>
      </w:r>
    </w:p>
    <w:p w14:paraId="64818F18" w14:textId="7EAE9688" w:rsidR="00F2347B" w:rsidRDefault="00F2347B" w:rsidP="00C758F1">
      <w:pPr>
        <w:pStyle w:val="ListParagraph"/>
        <w:ind w:left="1080"/>
        <w:jc w:val="both"/>
        <w:rPr>
          <w:lang w:val="en-AU"/>
        </w:rPr>
      </w:pPr>
    </w:p>
    <w:p w14:paraId="66152850" w14:textId="5BCBF1E9" w:rsidR="00615D0D" w:rsidRDefault="00615D0D" w:rsidP="00C758F1">
      <w:pPr>
        <w:pStyle w:val="ListParagraph"/>
        <w:jc w:val="both"/>
        <w:rPr>
          <w:b/>
          <w:lang w:val="en-AU"/>
        </w:rPr>
      </w:pPr>
      <w:r w:rsidRPr="00615D0D">
        <w:rPr>
          <w:b/>
          <w:lang w:val="en-AU"/>
        </w:rPr>
        <w:t>Part B: THE POWERS OF THE BOARD</w:t>
      </w:r>
    </w:p>
    <w:p w14:paraId="3A0C62DE" w14:textId="77777777" w:rsidR="00B0212B" w:rsidRDefault="00B0212B" w:rsidP="00C758F1">
      <w:pPr>
        <w:pStyle w:val="ListParagraph"/>
        <w:jc w:val="both"/>
        <w:rPr>
          <w:b/>
          <w:lang w:val="en-AU"/>
        </w:rPr>
      </w:pPr>
    </w:p>
    <w:p w14:paraId="3E3CA640" w14:textId="6460AB05" w:rsidR="00B0212B" w:rsidRDefault="00B0212B" w:rsidP="00C758F1">
      <w:pPr>
        <w:pStyle w:val="ListParagraph"/>
        <w:numPr>
          <w:ilvl w:val="0"/>
          <w:numId w:val="1"/>
        </w:numPr>
        <w:jc w:val="both"/>
        <w:rPr>
          <w:lang w:val="en-AU"/>
        </w:rPr>
      </w:pPr>
      <w:r>
        <w:rPr>
          <w:lang w:val="en-AU"/>
        </w:rPr>
        <w:t>If the allegations are proved, the Board may take disciplinary action against the agent. Central to th</w:t>
      </w:r>
      <w:r w:rsidR="00A7437E">
        <w:rPr>
          <w:lang w:val="en-AU"/>
        </w:rPr>
        <w:t xml:space="preserve">at </w:t>
      </w:r>
      <w:r>
        <w:rPr>
          <w:lang w:val="en-AU"/>
        </w:rPr>
        <w:t xml:space="preserve">consideration is </w:t>
      </w:r>
      <w:r w:rsidRPr="000D09E1">
        <w:rPr>
          <w:lang w:val="en-AU"/>
        </w:rPr>
        <w:t xml:space="preserve">that in disciplinary matters, an issue needs to be proven to the reasonable satisfaction of the decision-making body, having regard to the seriousness of the allegation made, the inherent unlikelihood of an occurrence of a given description (or the inherent improbability of an explanation), or the gravity of the consequences flowing from a particular finding: </w:t>
      </w:r>
      <w:r w:rsidRPr="000D09E1">
        <w:rPr>
          <w:b/>
          <w:lang w:val="en-AU"/>
        </w:rPr>
        <w:t>Briginshaw v Briginshaw</w:t>
      </w:r>
      <w:r>
        <w:rPr>
          <w:rStyle w:val="FootnoteReference"/>
          <w:b/>
          <w:lang w:val="en-AU"/>
        </w:rPr>
        <w:footnoteReference w:id="5"/>
      </w:r>
      <w:r>
        <w:rPr>
          <w:lang w:val="en-AU"/>
        </w:rPr>
        <w:t>.</w:t>
      </w:r>
    </w:p>
    <w:p w14:paraId="66692D45" w14:textId="77777777" w:rsidR="009D714E" w:rsidRDefault="009D714E" w:rsidP="00C758F1">
      <w:pPr>
        <w:pStyle w:val="ListParagraph"/>
        <w:jc w:val="both"/>
        <w:rPr>
          <w:b/>
          <w:lang w:val="en-AU"/>
        </w:rPr>
      </w:pPr>
    </w:p>
    <w:p w14:paraId="2676EC03" w14:textId="12C7E88B" w:rsidR="00615D0D" w:rsidRPr="007845A5" w:rsidRDefault="00615D0D" w:rsidP="00C758F1">
      <w:pPr>
        <w:pStyle w:val="ListParagraph"/>
        <w:numPr>
          <w:ilvl w:val="0"/>
          <w:numId w:val="1"/>
        </w:numPr>
        <w:jc w:val="both"/>
        <w:rPr>
          <w:lang w:val="en-AU"/>
        </w:rPr>
      </w:pPr>
      <w:r w:rsidRPr="007845A5">
        <w:rPr>
          <w:lang w:val="en-AU"/>
        </w:rPr>
        <w:t xml:space="preserve">The </w:t>
      </w:r>
      <w:r w:rsidR="00B0212B">
        <w:rPr>
          <w:lang w:val="en-AU"/>
        </w:rPr>
        <w:t>grounds for disciplinary a</w:t>
      </w:r>
      <w:r w:rsidRPr="007845A5">
        <w:rPr>
          <w:lang w:val="en-AU"/>
        </w:rPr>
        <w:t xml:space="preserve">ction </w:t>
      </w:r>
      <w:r w:rsidR="00B0212B">
        <w:rPr>
          <w:lang w:val="en-AU"/>
        </w:rPr>
        <w:t>are found in section 67(1)</w:t>
      </w:r>
      <w:r w:rsidR="00A7437E">
        <w:rPr>
          <w:lang w:val="en-AU"/>
        </w:rPr>
        <w:t xml:space="preserve"> of the Act</w:t>
      </w:r>
      <w:r w:rsidR="005D2B53">
        <w:rPr>
          <w:lang w:val="en-AU"/>
        </w:rPr>
        <w:t>:</w:t>
      </w:r>
    </w:p>
    <w:p w14:paraId="71133715" w14:textId="2A6F9EED" w:rsidR="00615D0D" w:rsidRPr="00615D0D" w:rsidRDefault="00615D0D" w:rsidP="00C758F1">
      <w:pPr>
        <w:pStyle w:val="ListParagraph"/>
        <w:ind w:left="1080"/>
        <w:jc w:val="both"/>
        <w:rPr>
          <w:lang w:val="en-AU"/>
        </w:rPr>
      </w:pPr>
    </w:p>
    <w:p w14:paraId="1AE578C0" w14:textId="281B6DEC" w:rsidR="00615D0D" w:rsidRPr="00615D0D" w:rsidRDefault="00615D0D" w:rsidP="00C758F1">
      <w:pPr>
        <w:pStyle w:val="ListParagraph"/>
        <w:ind w:left="1080"/>
        <w:jc w:val="both"/>
        <w:rPr>
          <w:i/>
          <w:lang w:val="en-AU"/>
        </w:rPr>
      </w:pPr>
      <w:r w:rsidRPr="00615D0D">
        <w:rPr>
          <w:i/>
          <w:lang w:val="en-AU"/>
        </w:rPr>
        <w:t>Subject to this Part, the Board may take disciplinary action in accordance with this Part against a licensed agent on one or more of the following grounds:</w:t>
      </w:r>
      <w:r w:rsidR="005B3C7B">
        <w:rPr>
          <w:i/>
          <w:lang w:val="en-AU"/>
        </w:rPr>
        <w:t xml:space="preserve"> ………..</w:t>
      </w:r>
    </w:p>
    <w:p w14:paraId="35C2C580" w14:textId="77777777" w:rsidR="005B3C7B" w:rsidRPr="00615D0D" w:rsidRDefault="005B3C7B" w:rsidP="00C758F1">
      <w:pPr>
        <w:pStyle w:val="ListParagraph"/>
        <w:ind w:left="1080"/>
        <w:jc w:val="both"/>
        <w:rPr>
          <w:i/>
          <w:lang w:val="en-AU"/>
        </w:rPr>
      </w:pPr>
    </w:p>
    <w:p w14:paraId="4F9B3C27" w14:textId="7BEFEAD2" w:rsidR="00615D0D" w:rsidRPr="00615D0D" w:rsidRDefault="005B3C7B" w:rsidP="00C758F1">
      <w:pPr>
        <w:pStyle w:val="ListParagraph"/>
        <w:ind w:left="1985" w:hanging="425"/>
        <w:jc w:val="both"/>
        <w:rPr>
          <w:i/>
          <w:lang w:val="en-AU"/>
        </w:rPr>
      </w:pPr>
      <w:r>
        <w:rPr>
          <w:i/>
          <w:lang w:val="en-AU"/>
        </w:rPr>
        <w:t>(c)</w:t>
      </w:r>
      <w:r w:rsidR="00615D0D" w:rsidRPr="00615D0D">
        <w:rPr>
          <w:i/>
          <w:lang w:val="en-AU"/>
        </w:rPr>
        <w:t xml:space="preserve"> </w:t>
      </w:r>
      <w:r>
        <w:rPr>
          <w:i/>
          <w:lang w:val="en-AU"/>
        </w:rPr>
        <w:tab/>
      </w:r>
      <w:r w:rsidR="00615D0D" w:rsidRPr="00615D0D">
        <w:rPr>
          <w:i/>
          <w:lang w:val="en-AU"/>
        </w:rPr>
        <w:t xml:space="preserve">The licensed agent has been guilty of a breach of the rules of conduct for agents. </w:t>
      </w:r>
    </w:p>
    <w:p w14:paraId="2B36072F" w14:textId="5A635BC7" w:rsidR="00615D0D" w:rsidRDefault="00615D0D" w:rsidP="00C758F1">
      <w:pPr>
        <w:jc w:val="both"/>
        <w:rPr>
          <w:i/>
          <w:lang w:val="en-AU"/>
        </w:rPr>
      </w:pPr>
    </w:p>
    <w:p w14:paraId="30C4BB48" w14:textId="62564091" w:rsidR="00E25DCF" w:rsidRDefault="00E25DCF" w:rsidP="00C758F1">
      <w:pPr>
        <w:jc w:val="both"/>
        <w:rPr>
          <w:i/>
          <w:lang w:val="en-AU"/>
        </w:rPr>
      </w:pPr>
    </w:p>
    <w:p w14:paraId="21F7EBE6" w14:textId="77777777" w:rsidR="00E25DCF" w:rsidRPr="005B3C7B" w:rsidRDefault="00E25DCF" w:rsidP="00C758F1">
      <w:pPr>
        <w:jc w:val="both"/>
        <w:rPr>
          <w:i/>
          <w:lang w:val="en-AU"/>
        </w:rPr>
      </w:pPr>
    </w:p>
    <w:p w14:paraId="33FDABF6" w14:textId="1F7E07C9" w:rsidR="007845A5" w:rsidRPr="007845A5" w:rsidRDefault="007845A5" w:rsidP="00C758F1">
      <w:pPr>
        <w:pStyle w:val="ListParagraph"/>
        <w:numPr>
          <w:ilvl w:val="0"/>
          <w:numId w:val="1"/>
        </w:numPr>
        <w:jc w:val="both"/>
        <w:rPr>
          <w:i/>
          <w:lang w:val="en-AU"/>
        </w:rPr>
      </w:pPr>
      <w:r w:rsidRPr="007845A5">
        <w:rPr>
          <w:lang w:val="en-AU"/>
        </w:rPr>
        <w:lastRenderedPageBreak/>
        <w:t>T</w:t>
      </w:r>
      <w:r w:rsidR="005B3C7B">
        <w:rPr>
          <w:lang w:val="en-AU"/>
        </w:rPr>
        <w:t>he po</w:t>
      </w:r>
      <w:r w:rsidRPr="007845A5">
        <w:rPr>
          <w:lang w:val="en-AU"/>
        </w:rPr>
        <w:t xml:space="preserve">wers of the Board after Inquiry are </w:t>
      </w:r>
      <w:r w:rsidR="005B3C7B">
        <w:rPr>
          <w:lang w:val="en-AU"/>
        </w:rPr>
        <w:t>provided</w:t>
      </w:r>
      <w:r w:rsidRPr="007845A5">
        <w:rPr>
          <w:lang w:val="en-AU"/>
        </w:rPr>
        <w:t xml:space="preserve"> at section 69(1) of the Act, which states</w:t>
      </w:r>
      <w:r>
        <w:rPr>
          <w:lang w:val="en-AU"/>
        </w:rPr>
        <w:t xml:space="preserve"> :</w:t>
      </w:r>
    </w:p>
    <w:p w14:paraId="38980721" w14:textId="77777777" w:rsidR="007845A5" w:rsidRDefault="007845A5" w:rsidP="00C758F1">
      <w:pPr>
        <w:ind w:left="720"/>
        <w:jc w:val="both"/>
        <w:rPr>
          <w:i/>
          <w:lang w:val="en-AU"/>
        </w:rPr>
      </w:pPr>
    </w:p>
    <w:p w14:paraId="6E87B94C" w14:textId="72EEBDC7" w:rsidR="00615D0D" w:rsidRPr="007845A5" w:rsidRDefault="005B3C7B" w:rsidP="00C758F1">
      <w:pPr>
        <w:ind w:left="1080"/>
        <w:jc w:val="both"/>
        <w:rPr>
          <w:i/>
          <w:lang w:val="en-AU"/>
        </w:rPr>
      </w:pPr>
      <w:r>
        <w:rPr>
          <w:i/>
          <w:lang w:val="en-AU"/>
        </w:rPr>
        <w:t xml:space="preserve">Where, </w:t>
      </w:r>
      <w:r w:rsidR="007845A5" w:rsidRPr="007845A5">
        <w:rPr>
          <w:i/>
          <w:lang w:val="en-AU"/>
        </w:rPr>
        <w:t>at the conclusion of an inquiry conducted pursuant to section 68(4), the Board is satisfied that it is authorised to take disciplinary action against a licensed agent, the Board may:</w:t>
      </w:r>
    </w:p>
    <w:p w14:paraId="085446D1" w14:textId="77777777" w:rsidR="005B3C7B" w:rsidRDefault="005B3C7B" w:rsidP="00C758F1">
      <w:pPr>
        <w:pStyle w:val="ListParagraph"/>
        <w:ind w:left="1985" w:hanging="425"/>
        <w:jc w:val="both"/>
        <w:rPr>
          <w:i/>
          <w:lang w:val="en-AU"/>
        </w:rPr>
      </w:pPr>
    </w:p>
    <w:p w14:paraId="694236FA" w14:textId="04438C80" w:rsidR="005B3C7B" w:rsidRDefault="007845A5" w:rsidP="00C758F1">
      <w:pPr>
        <w:pStyle w:val="ListParagraph"/>
        <w:numPr>
          <w:ilvl w:val="0"/>
          <w:numId w:val="8"/>
        </w:numPr>
        <w:jc w:val="both"/>
        <w:rPr>
          <w:i/>
          <w:lang w:val="en-AU"/>
        </w:rPr>
      </w:pPr>
      <w:r w:rsidRPr="007845A5">
        <w:rPr>
          <w:i/>
          <w:lang w:val="en-AU"/>
        </w:rPr>
        <w:t>Reprimand or caution the agent; or</w:t>
      </w:r>
      <w:r w:rsidR="005B3C7B">
        <w:rPr>
          <w:i/>
          <w:lang w:val="en-AU"/>
        </w:rPr>
        <w:t xml:space="preserve"> </w:t>
      </w:r>
    </w:p>
    <w:p w14:paraId="5B5CB55B" w14:textId="77777777" w:rsidR="005B3C7B" w:rsidRDefault="007845A5" w:rsidP="00C758F1">
      <w:pPr>
        <w:pStyle w:val="ListParagraph"/>
        <w:numPr>
          <w:ilvl w:val="0"/>
          <w:numId w:val="8"/>
        </w:numPr>
        <w:ind w:left="1985" w:hanging="425"/>
        <w:jc w:val="both"/>
        <w:rPr>
          <w:i/>
          <w:lang w:val="en-AU"/>
        </w:rPr>
      </w:pPr>
      <w:r w:rsidRPr="005B3C7B">
        <w:rPr>
          <w:i/>
          <w:lang w:val="en-AU"/>
        </w:rPr>
        <w:t>By notice in writing, impose a fine not exceeding 50 penalty units on the agent; or</w:t>
      </w:r>
      <w:r w:rsidR="005B3C7B" w:rsidRPr="005B3C7B">
        <w:rPr>
          <w:i/>
          <w:lang w:val="en-AU"/>
        </w:rPr>
        <w:t xml:space="preserve"> </w:t>
      </w:r>
    </w:p>
    <w:p w14:paraId="7AF0030B" w14:textId="77777777" w:rsidR="005B3C7B" w:rsidRDefault="007845A5" w:rsidP="00C758F1">
      <w:pPr>
        <w:pStyle w:val="ListParagraph"/>
        <w:numPr>
          <w:ilvl w:val="0"/>
          <w:numId w:val="8"/>
        </w:numPr>
        <w:ind w:left="1985" w:hanging="425"/>
        <w:jc w:val="both"/>
        <w:rPr>
          <w:i/>
          <w:lang w:val="en-AU"/>
        </w:rPr>
      </w:pPr>
      <w:r w:rsidRPr="005B3C7B">
        <w:rPr>
          <w:i/>
          <w:lang w:val="en-AU"/>
        </w:rPr>
        <w:t>By notice in writing, suspend the licen</w:t>
      </w:r>
      <w:r w:rsidR="009D714E" w:rsidRPr="005B3C7B">
        <w:rPr>
          <w:i/>
          <w:lang w:val="en-AU"/>
        </w:rPr>
        <w:t>c</w:t>
      </w:r>
      <w:r w:rsidRPr="005B3C7B">
        <w:rPr>
          <w:i/>
          <w:lang w:val="en-AU"/>
        </w:rPr>
        <w:t>e of the agent until the expiration of the period, or the fulfilment of a condition, specified in the notice; or</w:t>
      </w:r>
      <w:r w:rsidR="005B3C7B" w:rsidRPr="005B3C7B">
        <w:rPr>
          <w:i/>
          <w:lang w:val="en-AU"/>
        </w:rPr>
        <w:t xml:space="preserve"> </w:t>
      </w:r>
    </w:p>
    <w:p w14:paraId="1610FD20" w14:textId="6038B7CC" w:rsidR="007845A5" w:rsidRPr="005B3C7B" w:rsidRDefault="007845A5" w:rsidP="00C758F1">
      <w:pPr>
        <w:pStyle w:val="ListParagraph"/>
        <w:numPr>
          <w:ilvl w:val="0"/>
          <w:numId w:val="8"/>
        </w:numPr>
        <w:ind w:left="1985" w:hanging="425"/>
        <w:jc w:val="both"/>
        <w:rPr>
          <w:i/>
          <w:lang w:val="en-AU"/>
        </w:rPr>
      </w:pPr>
      <w:r w:rsidRPr="005B3C7B">
        <w:rPr>
          <w:i/>
          <w:lang w:val="en-AU"/>
        </w:rPr>
        <w:t>By notice in writing, revoke the licence of the agent.</w:t>
      </w:r>
    </w:p>
    <w:p w14:paraId="1486E7D5" w14:textId="77777777" w:rsidR="00797B6C" w:rsidRDefault="00797B6C" w:rsidP="00C758F1">
      <w:pPr>
        <w:ind w:left="720"/>
        <w:jc w:val="both"/>
        <w:rPr>
          <w:b/>
          <w:lang w:val="en-AU"/>
        </w:rPr>
      </w:pPr>
    </w:p>
    <w:p w14:paraId="2BF0E9D7" w14:textId="23C15927" w:rsidR="00797B6C" w:rsidRDefault="00BC0BB1" w:rsidP="00C758F1">
      <w:pPr>
        <w:ind w:left="720"/>
        <w:jc w:val="both"/>
        <w:rPr>
          <w:b/>
          <w:lang w:val="en-AU"/>
        </w:rPr>
      </w:pPr>
      <w:r>
        <w:rPr>
          <w:b/>
          <w:lang w:val="en-AU"/>
        </w:rPr>
        <w:t>Part C</w:t>
      </w:r>
      <w:r w:rsidR="00797B6C">
        <w:rPr>
          <w:b/>
          <w:lang w:val="en-AU"/>
        </w:rPr>
        <w:t>: THE CONDUCT OF THE DISCIPLINARY INQUIRY</w:t>
      </w:r>
    </w:p>
    <w:p w14:paraId="4C41CE4D" w14:textId="77777777" w:rsidR="00797B6C" w:rsidRDefault="00797B6C" w:rsidP="00C758F1">
      <w:pPr>
        <w:ind w:left="720"/>
        <w:jc w:val="both"/>
        <w:rPr>
          <w:b/>
          <w:lang w:val="en-AU"/>
        </w:rPr>
      </w:pPr>
    </w:p>
    <w:p w14:paraId="4707CBE5" w14:textId="6B8DC564" w:rsidR="00797B6C" w:rsidRPr="00D160EA" w:rsidRDefault="00797B6C" w:rsidP="00C758F1">
      <w:pPr>
        <w:pStyle w:val="ListParagraph"/>
        <w:numPr>
          <w:ilvl w:val="0"/>
          <w:numId w:val="1"/>
        </w:numPr>
        <w:jc w:val="both"/>
        <w:rPr>
          <w:lang w:val="en-AU"/>
        </w:rPr>
      </w:pPr>
      <w:r w:rsidRPr="00D160EA">
        <w:rPr>
          <w:lang w:val="en-AU"/>
        </w:rPr>
        <w:t xml:space="preserve">Mr </w:t>
      </w:r>
      <w:r w:rsidR="009D714E" w:rsidRPr="00D160EA">
        <w:rPr>
          <w:lang w:val="en-AU"/>
        </w:rPr>
        <w:t xml:space="preserve">Tass </w:t>
      </w:r>
      <w:r w:rsidRPr="00D160EA">
        <w:rPr>
          <w:lang w:val="en-AU"/>
        </w:rPr>
        <w:t xml:space="preserve">Liveris acted as counsel assisting the </w:t>
      </w:r>
      <w:r w:rsidR="00D160EA" w:rsidRPr="00D160EA">
        <w:rPr>
          <w:lang w:val="en-AU"/>
        </w:rPr>
        <w:t xml:space="preserve">Board in respect of this matter, with </w:t>
      </w:r>
      <w:r w:rsidR="006D5CE2" w:rsidRPr="00D160EA">
        <w:rPr>
          <w:lang w:val="en-AU"/>
        </w:rPr>
        <w:t xml:space="preserve">the Respondent represented </w:t>
      </w:r>
      <w:r w:rsidR="00D160EA">
        <w:rPr>
          <w:lang w:val="en-AU"/>
        </w:rPr>
        <w:t xml:space="preserve">at the hearing </w:t>
      </w:r>
      <w:r w:rsidR="006D5CE2" w:rsidRPr="00D160EA">
        <w:rPr>
          <w:lang w:val="en-AU"/>
        </w:rPr>
        <w:t xml:space="preserve">by </w:t>
      </w:r>
      <w:r w:rsidR="005B3C7B" w:rsidRPr="00D160EA">
        <w:rPr>
          <w:lang w:val="en-AU"/>
        </w:rPr>
        <w:t>Mr Paul Maher</w:t>
      </w:r>
      <w:r w:rsidR="00382EB9">
        <w:rPr>
          <w:lang w:val="en-AU"/>
        </w:rPr>
        <w:t>, legal practitioner.</w:t>
      </w:r>
    </w:p>
    <w:p w14:paraId="332E3BEC" w14:textId="77777777" w:rsidR="006D5CE2" w:rsidRDefault="006D5CE2" w:rsidP="00C758F1">
      <w:pPr>
        <w:pStyle w:val="ListParagraph"/>
        <w:ind w:left="1080"/>
        <w:jc w:val="both"/>
        <w:rPr>
          <w:lang w:val="en-AU"/>
        </w:rPr>
      </w:pPr>
    </w:p>
    <w:p w14:paraId="45460150" w14:textId="77777777" w:rsidR="006D5CE2" w:rsidRDefault="006D5CE2" w:rsidP="00C758F1">
      <w:pPr>
        <w:pStyle w:val="ListParagraph"/>
        <w:numPr>
          <w:ilvl w:val="0"/>
          <w:numId w:val="1"/>
        </w:numPr>
        <w:jc w:val="both"/>
        <w:rPr>
          <w:lang w:val="en-AU"/>
        </w:rPr>
      </w:pPr>
      <w:r>
        <w:rPr>
          <w:lang w:val="en-AU"/>
        </w:rPr>
        <w:t xml:space="preserve">No objections were made to the Board’s composition. </w:t>
      </w:r>
    </w:p>
    <w:p w14:paraId="0DB1DFCC" w14:textId="77777777" w:rsidR="006D5CE2" w:rsidRPr="006D5CE2" w:rsidRDefault="006D5CE2" w:rsidP="00C758F1">
      <w:pPr>
        <w:pStyle w:val="ListParagraph"/>
        <w:jc w:val="both"/>
        <w:rPr>
          <w:lang w:val="en-AU"/>
        </w:rPr>
      </w:pPr>
    </w:p>
    <w:p w14:paraId="1692B0F7" w14:textId="1F601D05" w:rsidR="006D5CE2" w:rsidRDefault="006D5CE2" w:rsidP="00C758F1">
      <w:pPr>
        <w:pStyle w:val="ListParagraph"/>
        <w:numPr>
          <w:ilvl w:val="0"/>
          <w:numId w:val="1"/>
        </w:numPr>
        <w:jc w:val="both"/>
        <w:rPr>
          <w:lang w:val="en-AU"/>
        </w:rPr>
      </w:pPr>
      <w:r>
        <w:rPr>
          <w:lang w:val="en-AU"/>
        </w:rPr>
        <w:t>No witnesses were called to give evidence. The Inquiry Book was tendered along with additional exhibits.</w:t>
      </w:r>
    </w:p>
    <w:p w14:paraId="36AC22DF" w14:textId="77777777" w:rsidR="00A85C69" w:rsidRDefault="00A85C69" w:rsidP="00C758F1">
      <w:pPr>
        <w:ind w:left="720"/>
        <w:jc w:val="both"/>
        <w:rPr>
          <w:b/>
          <w:lang w:val="en-AU"/>
        </w:rPr>
      </w:pPr>
    </w:p>
    <w:p w14:paraId="206B83BC" w14:textId="4F81D0C1" w:rsidR="00F30FFB" w:rsidRPr="00556DEB" w:rsidRDefault="00797B6C" w:rsidP="00C758F1">
      <w:pPr>
        <w:ind w:left="720"/>
        <w:jc w:val="both"/>
        <w:rPr>
          <w:b/>
          <w:lang w:val="en-AU"/>
        </w:rPr>
      </w:pPr>
      <w:r>
        <w:rPr>
          <w:b/>
          <w:lang w:val="en-AU"/>
        </w:rPr>
        <w:t>P</w:t>
      </w:r>
      <w:r w:rsidR="00BC0BB1">
        <w:rPr>
          <w:b/>
          <w:lang w:val="en-AU"/>
        </w:rPr>
        <w:t>art D</w:t>
      </w:r>
      <w:r w:rsidR="00556DEB">
        <w:rPr>
          <w:b/>
          <w:lang w:val="en-AU"/>
        </w:rPr>
        <w:t xml:space="preserve">: </w:t>
      </w:r>
      <w:r w:rsidR="006D5CE2">
        <w:rPr>
          <w:b/>
          <w:lang w:val="en-AU"/>
        </w:rPr>
        <w:t>ISSUES CONSIDERED</w:t>
      </w:r>
    </w:p>
    <w:p w14:paraId="16789B77" w14:textId="61C68BBB" w:rsidR="00797B6C" w:rsidRDefault="00797B6C" w:rsidP="00C758F1">
      <w:pPr>
        <w:ind w:left="720"/>
        <w:jc w:val="both"/>
        <w:rPr>
          <w:b/>
          <w:lang w:val="en-AU"/>
        </w:rPr>
      </w:pPr>
    </w:p>
    <w:p w14:paraId="139BA9BD" w14:textId="38DA80B8" w:rsidR="0038463F" w:rsidRDefault="00051857" w:rsidP="00051857">
      <w:pPr>
        <w:pStyle w:val="ListParagraph"/>
        <w:numPr>
          <w:ilvl w:val="0"/>
          <w:numId w:val="1"/>
        </w:numPr>
        <w:jc w:val="both"/>
        <w:rPr>
          <w:lang w:val="en-AU"/>
        </w:rPr>
      </w:pPr>
      <w:r>
        <w:rPr>
          <w:b/>
          <w:lang w:val="en-AU"/>
        </w:rPr>
        <w:t>ALLEGATION</w:t>
      </w:r>
      <w:r w:rsidR="00DC35A7">
        <w:rPr>
          <w:b/>
          <w:lang w:val="en-AU"/>
        </w:rPr>
        <w:t xml:space="preserve"> </w:t>
      </w:r>
      <w:r w:rsidR="0008137B" w:rsidRPr="00556DEB">
        <w:rPr>
          <w:b/>
          <w:lang w:val="en-AU"/>
        </w:rPr>
        <w:t xml:space="preserve">1: </w:t>
      </w:r>
      <w:r w:rsidR="0038463F">
        <w:rPr>
          <w:b/>
          <w:lang w:val="en-AU"/>
        </w:rPr>
        <w:t xml:space="preserve">Did Whittles fail </w:t>
      </w:r>
      <w:r w:rsidR="008E01A6">
        <w:rPr>
          <w:b/>
          <w:lang w:val="en-AU"/>
        </w:rPr>
        <w:t xml:space="preserve">in the performance of its duties </w:t>
      </w:r>
      <w:r w:rsidR="00C758F1">
        <w:rPr>
          <w:b/>
          <w:lang w:val="en-AU"/>
        </w:rPr>
        <w:t xml:space="preserve">as required by </w:t>
      </w:r>
      <w:r w:rsidR="00E63F48">
        <w:rPr>
          <w:b/>
          <w:lang w:val="en-AU"/>
        </w:rPr>
        <w:br/>
      </w:r>
      <w:r w:rsidR="00C758F1">
        <w:rPr>
          <w:b/>
          <w:lang w:val="en-AU"/>
        </w:rPr>
        <w:t>s</w:t>
      </w:r>
      <w:r w:rsidR="00E63F48">
        <w:rPr>
          <w:b/>
          <w:lang w:val="en-AU"/>
        </w:rPr>
        <w:t xml:space="preserve">ection </w:t>
      </w:r>
      <w:r w:rsidR="00C758F1">
        <w:rPr>
          <w:b/>
          <w:lang w:val="en-AU"/>
        </w:rPr>
        <w:t xml:space="preserve">65 of the Act </w:t>
      </w:r>
      <w:r w:rsidR="008E01A6">
        <w:rPr>
          <w:b/>
          <w:lang w:val="en-AU"/>
        </w:rPr>
        <w:t xml:space="preserve">in handling an application to keep a pet? </w:t>
      </w:r>
    </w:p>
    <w:p w14:paraId="35E89A05" w14:textId="77777777" w:rsidR="00E75F53" w:rsidRDefault="00E75F53" w:rsidP="00C758F1">
      <w:pPr>
        <w:pStyle w:val="ListParagraph"/>
        <w:ind w:left="1080"/>
        <w:jc w:val="both"/>
        <w:rPr>
          <w:lang w:val="en-AU"/>
        </w:rPr>
      </w:pPr>
    </w:p>
    <w:p w14:paraId="72C62447" w14:textId="59349271" w:rsidR="00C5480D" w:rsidRDefault="00C5480D" w:rsidP="00C758F1">
      <w:pPr>
        <w:pStyle w:val="ListParagraph"/>
        <w:numPr>
          <w:ilvl w:val="0"/>
          <w:numId w:val="1"/>
        </w:numPr>
        <w:jc w:val="both"/>
        <w:rPr>
          <w:lang w:val="en-AU"/>
        </w:rPr>
      </w:pPr>
      <w:r>
        <w:rPr>
          <w:lang w:val="en-AU"/>
        </w:rPr>
        <w:t>It is necessary at the outset to describe the units</w:t>
      </w:r>
      <w:r w:rsidR="00574470">
        <w:rPr>
          <w:lang w:val="en-AU"/>
        </w:rPr>
        <w:t xml:space="preserve">, their </w:t>
      </w:r>
      <w:r w:rsidR="00393F07">
        <w:rPr>
          <w:lang w:val="en-AU"/>
        </w:rPr>
        <w:t xml:space="preserve">unit </w:t>
      </w:r>
      <w:r w:rsidR="00574470">
        <w:rPr>
          <w:lang w:val="en-AU"/>
        </w:rPr>
        <w:t>entitlemen</w:t>
      </w:r>
      <w:r w:rsidR="00784F4B">
        <w:rPr>
          <w:lang w:val="en-AU"/>
        </w:rPr>
        <w:t xml:space="preserve">t value </w:t>
      </w:r>
      <w:r>
        <w:rPr>
          <w:lang w:val="en-AU"/>
        </w:rPr>
        <w:t>and their owners. Firstly, th</w:t>
      </w:r>
      <w:r w:rsidR="00574470">
        <w:rPr>
          <w:lang w:val="en-AU"/>
        </w:rPr>
        <w:t xml:space="preserve">ere </w:t>
      </w:r>
      <w:r>
        <w:rPr>
          <w:lang w:val="en-AU"/>
        </w:rPr>
        <w:t>were only four units in this unit plan (</w:t>
      </w:r>
      <w:r w:rsidR="005608BF">
        <w:rPr>
          <w:lang w:val="en-AU"/>
        </w:rPr>
        <w:t>85/39)</w:t>
      </w:r>
      <w:r w:rsidR="005608BF">
        <w:rPr>
          <w:rStyle w:val="FootnoteReference"/>
          <w:lang w:val="en-AU"/>
        </w:rPr>
        <w:footnoteReference w:id="6"/>
      </w:r>
      <w:r>
        <w:rPr>
          <w:lang w:val="en-AU"/>
        </w:rPr>
        <w:t xml:space="preserve">. Together, they constituted the Corporation. It is located at 15 Reynolds Court, Coconut Grove. Ms Isabel Ordogh is the owner of unit 1. Mr and Mrs </w:t>
      </w:r>
      <w:r w:rsidR="008F0BBA">
        <w:rPr>
          <w:lang w:val="en-AU"/>
        </w:rPr>
        <w:t xml:space="preserve">Dani and Tode </w:t>
      </w:r>
      <w:r>
        <w:rPr>
          <w:lang w:val="en-AU"/>
        </w:rPr>
        <w:t>Delev are the owners of Unit 4. Units 2 &amp; 3 are owned by Ms Michelle Roberts</w:t>
      </w:r>
      <w:r w:rsidR="00FF3D2F">
        <w:rPr>
          <w:rStyle w:val="FootnoteReference"/>
          <w:lang w:val="en-AU"/>
        </w:rPr>
        <w:footnoteReference w:id="7"/>
      </w:r>
      <w:r>
        <w:rPr>
          <w:lang w:val="en-AU"/>
        </w:rPr>
        <w:t xml:space="preserve">. The unit entitlements are not equal. </w:t>
      </w:r>
      <w:r w:rsidR="00FC2259">
        <w:rPr>
          <w:lang w:val="en-AU"/>
        </w:rPr>
        <w:t>Units 2 and 3 together have a greater entitlement than unit 1 and 4 together.</w:t>
      </w:r>
      <w:r w:rsidR="00574470">
        <w:rPr>
          <w:lang w:val="en-AU"/>
        </w:rPr>
        <w:t xml:space="preserve"> To be </w:t>
      </w:r>
      <w:r w:rsidR="004822B0">
        <w:rPr>
          <w:lang w:val="en-AU"/>
        </w:rPr>
        <w:t>precise, the</w:t>
      </w:r>
      <w:r w:rsidR="00574470">
        <w:rPr>
          <w:lang w:val="en-AU"/>
        </w:rPr>
        <w:t xml:space="preserve"> unit entitlement of Units 1 &amp; 4 was 49</w:t>
      </w:r>
      <w:r w:rsidR="008F0BBA">
        <w:rPr>
          <w:lang w:val="en-AU"/>
        </w:rPr>
        <w:t xml:space="preserve"> units</w:t>
      </w:r>
      <w:r w:rsidR="00574470">
        <w:rPr>
          <w:lang w:val="en-AU"/>
        </w:rPr>
        <w:t xml:space="preserve"> each; whereas Units 2 &amp; 4 had an entitlement of </w:t>
      </w:r>
      <w:r w:rsidR="004822B0">
        <w:rPr>
          <w:lang w:val="en-AU"/>
        </w:rPr>
        <w:t>51 units</w:t>
      </w:r>
      <w:r w:rsidR="008F0BBA">
        <w:rPr>
          <w:lang w:val="en-AU"/>
        </w:rPr>
        <w:t xml:space="preserve"> </w:t>
      </w:r>
      <w:r w:rsidR="00574470">
        <w:rPr>
          <w:lang w:val="en-AU"/>
        </w:rPr>
        <w:t>each.</w:t>
      </w:r>
      <w:r w:rsidR="00574470">
        <w:rPr>
          <w:rStyle w:val="FootnoteReference"/>
          <w:lang w:val="en-AU"/>
        </w:rPr>
        <w:footnoteReference w:id="8"/>
      </w:r>
      <w:r w:rsidR="00FC2259">
        <w:rPr>
          <w:lang w:val="en-AU"/>
        </w:rPr>
        <w:t xml:space="preserve"> Thus, at </w:t>
      </w:r>
      <w:r w:rsidR="004822B0">
        <w:rPr>
          <w:lang w:val="en-AU"/>
        </w:rPr>
        <w:t>any</w:t>
      </w:r>
      <w:r w:rsidR="00291435">
        <w:rPr>
          <w:lang w:val="en-AU"/>
        </w:rPr>
        <w:t xml:space="preserve"> </w:t>
      </w:r>
      <w:r w:rsidR="004822B0">
        <w:rPr>
          <w:lang w:val="en-AU"/>
        </w:rPr>
        <w:t>body</w:t>
      </w:r>
      <w:r w:rsidR="00FC2259">
        <w:rPr>
          <w:lang w:val="en-AU"/>
        </w:rPr>
        <w:t xml:space="preserve"> corporate meeting, should there be a difference of opinion, the decision of Ms Roberts would prevail. </w:t>
      </w:r>
      <w:r w:rsidR="00D87851">
        <w:rPr>
          <w:lang w:val="en-AU"/>
        </w:rPr>
        <w:t>A tenant lived at Unit 2 and the pet application for a dog to live there was made by that tenant.</w:t>
      </w:r>
    </w:p>
    <w:p w14:paraId="13BFF2C3" w14:textId="77777777" w:rsidR="009F6D4C" w:rsidRPr="009F6D4C" w:rsidRDefault="009F6D4C" w:rsidP="00EE5C30">
      <w:pPr>
        <w:pStyle w:val="ListParagraph"/>
        <w:rPr>
          <w:lang w:val="en-AU"/>
        </w:rPr>
      </w:pPr>
    </w:p>
    <w:p w14:paraId="52D8AA69" w14:textId="1BB5DEDF" w:rsidR="00267DCD" w:rsidRDefault="00267DCD" w:rsidP="009F6D4C">
      <w:pPr>
        <w:ind w:left="720"/>
        <w:jc w:val="both"/>
        <w:rPr>
          <w:b/>
          <w:bCs/>
          <w:lang w:val="en-AU"/>
        </w:rPr>
      </w:pPr>
    </w:p>
    <w:p w14:paraId="73D6D540" w14:textId="5D0E6818" w:rsidR="009F6D4C" w:rsidRPr="005E4F06" w:rsidRDefault="009F6D4C" w:rsidP="009F6D4C">
      <w:pPr>
        <w:ind w:left="720"/>
        <w:jc w:val="both"/>
        <w:rPr>
          <w:b/>
          <w:bCs/>
          <w:lang w:val="en-AU"/>
        </w:rPr>
      </w:pPr>
      <w:r w:rsidRPr="005E4F06">
        <w:rPr>
          <w:b/>
          <w:bCs/>
          <w:lang w:val="en-AU"/>
        </w:rPr>
        <w:lastRenderedPageBreak/>
        <w:t>CHRONOLOGY OF EVENTS</w:t>
      </w:r>
    </w:p>
    <w:p w14:paraId="3FED31DB" w14:textId="77777777" w:rsidR="009F6D4C" w:rsidRPr="009F6D4C" w:rsidRDefault="009F6D4C" w:rsidP="00EE5C30">
      <w:pPr>
        <w:ind w:left="720"/>
        <w:jc w:val="both"/>
        <w:rPr>
          <w:lang w:val="en-AU"/>
        </w:rPr>
      </w:pPr>
    </w:p>
    <w:p w14:paraId="550B3F88" w14:textId="2BE0628D" w:rsidR="0036024F" w:rsidRDefault="009F6D4C" w:rsidP="009F6D4C">
      <w:pPr>
        <w:pStyle w:val="ListParagraph"/>
        <w:numPr>
          <w:ilvl w:val="0"/>
          <w:numId w:val="1"/>
        </w:numPr>
        <w:jc w:val="both"/>
        <w:rPr>
          <w:lang w:val="en-AU"/>
        </w:rPr>
      </w:pPr>
      <w:r>
        <w:rPr>
          <w:lang w:val="en-AU"/>
        </w:rPr>
        <w:t>A pet application form was completed and submitted by Ms Roberts’ tenant</w:t>
      </w:r>
      <w:r w:rsidR="00003227">
        <w:rPr>
          <w:lang w:val="en-AU"/>
        </w:rPr>
        <w:t xml:space="preserve"> at unit 2</w:t>
      </w:r>
      <w:r>
        <w:rPr>
          <w:lang w:val="en-AU"/>
        </w:rPr>
        <w:t xml:space="preserve">. </w:t>
      </w:r>
      <w:r w:rsidRPr="007C3508">
        <w:rPr>
          <w:lang w:val="en-AU"/>
        </w:rPr>
        <w:t xml:space="preserve"> It </w:t>
      </w:r>
      <w:r w:rsidR="004822B0" w:rsidRPr="007C3508">
        <w:rPr>
          <w:lang w:val="en-AU"/>
        </w:rPr>
        <w:t>was dated</w:t>
      </w:r>
      <w:r w:rsidRPr="007C3508">
        <w:rPr>
          <w:lang w:val="en-AU"/>
        </w:rPr>
        <w:t xml:space="preserve"> 16 March 2018</w:t>
      </w:r>
      <w:r>
        <w:rPr>
          <w:rStyle w:val="FootnoteReference"/>
          <w:lang w:val="en-AU"/>
        </w:rPr>
        <w:footnoteReference w:id="9"/>
      </w:r>
      <w:r w:rsidRPr="007C3508">
        <w:rPr>
          <w:lang w:val="en-AU"/>
        </w:rPr>
        <w:t>. It was not in the pro forma format that had been previously available on the owner’s portal.</w:t>
      </w:r>
      <w:r>
        <w:rPr>
          <w:rStyle w:val="FootnoteReference"/>
          <w:lang w:val="en-AU"/>
        </w:rPr>
        <w:footnoteReference w:id="10"/>
      </w:r>
      <w:r w:rsidRPr="00B069D0">
        <w:rPr>
          <w:lang w:val="en-AU"/>
        </w:rPr>
        <w:t xml:space="preserve"> Ms Robert</w:t>
      </w:r>
      <w:r>
        <w:rPr>
          <w:lang w:val="en-AU"/>
        </w:rPr>
        <w:t xml:space="preserve">s </w:t>
      </w:r>
      <w:r w:rsidRPr="00973234">
        <w:rPr>
          <w:lang w:val="en-AU"/>
        </w:rPr>
        <w:t>sent t</w:t>
      </w:r>
      <w:r w:rsidRPr="007C3508">
        <w:rPr>
          <w:lang w:val="en-AU"/>
        </w:rPr>
        <w:t>his application to Ms Ordogh</w:t>
      </w:r>
      <w:r>
        <w:rPr>
          <w:lang w:val="en-AU"/>
        </w:rPr>
        <w:t>.</w:t>
      </w:r>
      <w:r>
        <w:rPr>
          <w:rStyle w:val="FootnoteReference"/>
          <w:lang w:val="en-AU"/>
        </w:rPr>
        <w:footnoteReference w:id="11"/>
      </w:r>
      <w:r>
        <w:rPr>
          <w:lang w:val="en-AU"/>
        </w:rPr>
        <w:t xml:space="preserve"> </w:t>
      </w:r>
    </w:p>
    <w:p w14:paraId="7C97E225" w14:textId="77777777" w:rsidR="0036024F" w:rsidRDefault="0036024F" w:rsidP="00EE5C30">
      <w:pPr>
        <w:pStyle w:val="ListParagraph"/>
        <w:ind w:left="1080"/>
        <w:jc w:val="both"/>
        <w:rPr>
          <w:lang w:val="en-AU"/>
        </w:rPr>
      </w:pPr>
    </w:p>
    <w:p w14:paraId="6591D3D7" w14:textId="7447A329" w:rsidR="009F6D4C" w:rsidRPr="00ED7A94" w:rsidRDefault="009F6D4C" w:rsidP="00EE5C30">
      <w:pPr>
        <w:pStyle w:val="ListParagraph"/>
        <w:numPr>
          <w:ilvl w:val="0"/>
          <w:numId w:val="1"/>
        </w:numPr>
        <w:jc w:val="both"/>
        <w:rPr>
          <w:lang w:val="en-AU"/>
        </w:rPr>
      </w:pPr>
      <w:r w:rsidRPr="00ED7A94">
        <w:rPr>
          <w:lang w:val="en-AU"/>
        </w:rPr>
        <w:t>On 25 January 2018 Ms Maher of Whittles sent an email</w:t>
      </w:r>
      <w:r w:rsidR="0036024F">
        <w:rPr>
          <w:rStyle w:val="FootnoteReference"/>
          <w:lang w:val="en-AU"/>
        </w:rPr>
        <w:footnoteReference w:id="12"/>
      </w:r>
      <w:r w:rsidRPr="00ED7A94">
        <w:rPr>
          <w:lang w:val="en-AU"/>
        </w:rPr>
        <w:t xml:space="preserve"> to Dani</w:t>
      </w:r>
      <w:r w:rsidR="0036024F" w:rsidRPr="00ED7A94">
        <w:rPr>
          <w:lang w:val="en-AU"/>
        </w:rPr>
        <w:t xml:space="preserve"> Delev</w:t>
      </w:r>
      <w:r w:rsidRPr="00ED7A94">
        <w:rPr>
          <w:lang w:val="en-AU"/>
        </w:rPr>
        <w:t xml:space="preserve"> and Isabel</w:t>
      </w:r>
      <w:r w:rsidR="0036024F" w:rsidRPr="00ED7A94">
        <w:rPr>
          <w:lang w:val="en-AU"/>
        </w:rPr>
        <w:t xml:space="preserve"> Ordogh</w:t>
      </w:r>
      <w:r w:rsidRPr="00ED7A94">
        <w:rPr>
          <w:lang w:val="en-AU"/>
        </w:rPr>
        <w:t xml:space="preserve"> in which she stated that </w:t>
      </w:r>
      <w:r w:rsidR="00BF1609">
        <w:rPr>
          <w:lang w:val="en-AU"/>
        </w:rPr>
        <w:t xml:space="preserve">Ms </w:t>
      </w:r>
      <w:r w:rsidRPr="00ED7A94">
        <w:rPr>
          <w:lang w:val="en-AU"/>
        </w:rPr>
        <w:t xml:space="preserve">Michelle Roberts had received a pet application, and that approval for the pet would be subject to </w:t>
      </w:r>
      <w:r w:rsidR="0036024F" w:rsidRPr="00ED7A94">
        <w:rPr>
          <w:lang w:val="en-AU"/>
        </w:rPr>
        <w:t>three</w:t>
      </w:r>
      <w:r w:rsidRPr="00ED7A94">
        <w:rPr>
          <w:lang w:val="en-AU"/>
        </w:rPr>
        <w:t xml:space="preserve"> conditions, which she specified.</w:t>
      </w:r>
      <w:r w:rsidR="009A5B14">
        <w:rPr>
          <w:rStyle w:val="FootnoteReference"/>
          <w:lang w:val="en-AU"/>
        </w:rPr>
        <w:footnoteReference w:id="13"/>
      </w:r>
      <w:r w:rsidRPr="00ED7A94">
        <w:rPr>
          <w:lang w:val="en-AU"/>
        </w:rPr>
        <w:t xml:space="preserve"> The Board notes that the date on the pet application </w:t>
      </w:r>
      <w:r w:rsidR="00ED7A94" w:rsidRPr="00ED7A94">
        <w:rPr>
          <w:lang w:val="en-AU"/>
        </w:rPr>
        <w:t xml:space="preserve">form </w:t>
      </w:r>
      <w:r w:rsidRPr="00ED7A94">
        <w:rPr>
          <w:lang w:val="en-AU"/>
        </w:rPr>
        <w:t>was 16 March 2018, which was almost 2 months after the email specifying th</w:t>
      </w:r>
      <w:r w:rsidR="00ED7A94" w:rsidRPr="00ED7A94">
        <w:rPr>
          <w:lang w:val="en-AU"/>
        </w:rPr>
        <w:t xml:space="preserve">at an </w:t>
      </w:r>
      <w:r w:rsidRPr="00ED7A94">
        <w:rPr>
          <w:lang w:val="en-AU"/>
        </w:rPr>
        <w:t>application</w:t>
      </w:r>
      <w:r w:rsidR="00ED7A94" w:rsidRPr="00ED7A94">
        <w:rPr>
          <w:lang w:val="en-AU"/>
        </w:rPr>
        <w:t xml:space="preserve"> to keep a pet had been “approved” (25 January 2018)</w:t>
      </w:r>
      <w:r w:rsidRPr="00ED7A94">
        <w:rPr>
          <w:lang w:val="en-AU"/>
        </w:rPr>
        <w:t xml:space="preserve">. </w:t>
      </w:r>
    </w:p>
    <w:p w14:paraId="606ACE6D" w14:textId="77777777" w:rsidR="00C82324" w:rsidRPr="00C82324" w:rsidRDefault="00C82324" w:rsidP="00C758F1">
      <w:pPr>
        <w:pStyle w:val="ListParagraph"/>
        <w:jc w:val="both"/>
        <w:rPr>
          <w:lang w:val="en-AU"/>
        </w:rPr>
      </w:pPr>
    </w:p>
    <w:p w14:paraId="29A9E72F" w14:textId="17060584" w:rsidR="00E75F53" w:rsidRDefault="00CF0DD8" w:rsidP="00C758F1">
      <w:pPr>
        <w:pStyle w:val="ListParagraph"/>
        <w:numPr>
          <w:ilvl w:val="0"/>
          <w:numId w:val="1"/>
        </w:numPr>
        <w:jc w:val="both"/>
        <w:rPr>
          <w:lang w:val="en-AU"/>
        </w:rPr>
      </w:pPr>
      <w:r>
        <w:rPr>
          <w:lang w:val="en-AU"/>
        </w:rPr>
        <w:t>Ms Maher’s</w:t>
      </w:r>
      <w:r w:rsidR="005E7A51">
        <w:rPr>
          <w:lang w:val="en-AU"/>
        </w:rPr>
        <w:t xml:space="preserve"> </w:t>
      </w:r>
      <w:r w:rsidR="00ED7A94">
        <w:rPr>
          <w:lang w:val="en-AU"/>
        </w:rPr>
        <w:t xml:space="preserve">25 January </w:t>
      </w:r>
      <w:r w:rsidR="005E7A51">
        <w:rPr>
          <w:lang w:val="en-AU"/>
        </w:rPr>
        <w:t xml:space="preserve">email </w:t>
      </w:r>
      <w:r w:rsidR="00ED7A94">
        <w:rPr>
          <w:lang w:val="en-AU"/>
        </w:rPr>
        <w:t>stated</w:t>
      </w:r>
      <w:r w:rsidR="005E7A51">
        <w:rPr>
          <w:lang w:val="en-AU"/>
        </w:rPr>
        <w:t xml:space="preserve"> that the owner of Unit 3 </w:t>
      </w:r>
      <w:r w:rsidR="00C82324">
        <w:rPr>
          <w:lang w:val="en-AU"/>
        </w:rPr>
        <w:t xml:space="preserve">had </w:t>
      </w:r>
      <w:r w:rsidR="003C5CAC">
        <w:rPr>
          <w:lang w:val="en-AU"/>
        </w:rPr>
        <w:t xml:space="preserve">already </w:t>
      </w:r>
      <w:r w:rsidR="00C82324">
        <w:rPr>
          <w:lang w:val="en-AU"/>
        </w:rPr>
        <w:t xml:space="preserve">approved the pet application </w:t>
      </w:r>
      <w:r w:rsidR="003C5CAC">
        <w:rPr>
          <w:lang w:val="en-AU"/>
        </w:rPr>
        <w:t>and as they</w:t>
      </w:r>
      <w:r w:rsidR="003C5CAC">
        <w:rPr>
          <w:rStyle w:val="FootnoteReference"/>
          <w:lang w:val="en-AU"/>
        </w:rPr>
        <w:footnoteReference w:id="14"/>
      </w:r>
      <w:r w:rsidR="003C5CAC">
        <w:rPr>
          <w:lang w:val="en-AU"/>
        </w:rPr>
        <w:t xml:space="preserve"> had the “majority UEV”</w:t>
      </w:r>
      <w:r w:rsidR="006148C8">
        <w:rPr>
          <w:rStyle w:val="FootnoteReference"/>
          <w:lang w:val="en-AU"/>
        </w:rPr>
        <w:footnoteReference w:id="15"/>
      </w:r>
      <w:r w:rsidR="003C5CAC">
        <w:rPr>
          <w:lang w:val="en-AU"/>
        </w:rPr>
        <w:t xml:space="preserve"> the “application has technically been approved by</w:t>
      </w:r>
      <w:r w:rsidR="00F2347B">
        <w:rPr>
          <w:lang w:val="en-AU"/>
        </w:rPr>
        <w:t xml:space="preserve"> </w:t>
      </w:r>
      <w:r w:rsidR="00C82324">
        <w:rPr>
          <w:lang w:val="en-AU"/>
        </w:rPr>
        <w:t>the Body Corporate</w:t>
      </w:r>
      <w:r w:rsidR="003C5CAC">
        <w:rPr>
          <w:lang w:val="en-AU"/>
        </w:rPr>
        <w:t>”</w:t>
      </w:r>
      <w:r w:rsidR="00C82324">
        <w:rPr>
          <w:lang w:val="en-AU"/>
        </w:rPr>
        <w:t xml:space="preserve">. The email </w:t>
      </w:r>
      <w:r w:rsidR="0019449D">
        <w:rPr>
          <w:lang w:val="en-AU"/>
        </w:rPr>
        <w:t xml:space="preserve">also </w:t>
      </w:r>
      <w:r w:rsidR="00C82324">
        <w:rPr>
          <w:lang w:val="en-AU"/>
        </w:rPr>
        <w:t xml:space="preserve">included reference to three conditions </w:t>
      </w:r>
      <w:r w:rsidR="00D20CDA">
        <w:rPr>
          <w:lang w:val="en-AU"/>
        </w:rPr>
        <w:t>to</w:t>
      </w:r>
      <w:r w:rsidR="00C82324">
        <w:rPr>
          <w:lang w:val="en-AU"/>
        </w:rPr>
        <w:t xml:space="preserve"> which the approval was subject. </w:t>
      </w:r>
    </w:p>
    <w:p w14:paraId="770EE500" w14:textId="77777777" w:rsidR="0019449D" w:rsidRPr="009D38E9" w:rsidRDefault="0019449D" w:rsidP="00EE5C30">
      <w:pPr>
        <w:jc w:val="both"/>
        <w:rPr>
          <w:lang w:val="en-AU"/>
        </w:rPr>
      </w:pPr>
    </w:p>
    <w:p w14:paraId="692F3285" w14:textId="3172E18F" w:rsidR="0019449D" w:rsidRDefault="00DE1ECA" w:rsidP="00C758F1">
      <w:pPr>
        <w:pStyle w:val="ListParagraph"/>
        <w:numPr>
          <w:ilvl w:val="0"/>
          <w:numId w:val="1"/>
        </w:numPr>
        <w:jc w:val="both"/>
        <w:rPr>
          <w:lang w:val="en-AU"/>
        </w:rPr>
      </w:pPr>
      <w:r>
        <w:rPr>
          <w:lang w:val="en-AU"/>
        </w:rPr>
        <w:t>Following the email of 25 January 2018</w:t>
      </w:r>
      <w:r w:rsidR="0019449D">
        <w:rPr>
          <w:lang w:val="en-AU"/>
        </w:rPr>
        <w:t>, emails were sent from the complainants objecting t</w:t>
      </w:r>
      <w:r w:rsidR="00CF0DD8">
        <w:rPr>
          <w:lang w:val="en-AU"/>
        </w:rPr>
        <w:t>o</w:t>
      </w:r>
      <w:r w:rsidR="0019449D">
        <w:rPr>
          <w:lang w:val="en-AU"/>
        </w:rPr>
        <w:t xml:space="preserve"> the dog. Most relevantly, an email from the complainant Isabel Ordogh </w:t>
      </w:r>
      <w:r w:rsidR="00C6176F">
        <w:rPr>
          <w:lang w:val="en-AU"/>
        </w:rPr>
        <w:t>on 28 January 2018, queried</w:t>
      </w:r>
      <w:r w:rsidR="003E4519">
        <w:rPr>
          <w:lang w:val="en-AU"/>
        </w:rPr>
        <w:t xml:space="preserve"> why the correct legal process was not </w:t>
      </w:r>
      <w:r>
        <w:rPr>
          <w:lang w:val="en-AU"/>
        </w:rPr>
        <w:t xml:space="preserve">followed, </w:t>
      </w:r>
      <w:r w:rsidR="00094760">
        <w:rPr>
          <w:lang w:val="en-AU"/>
        </w:rPr>
        <w:t>and referred to the failure to hold</w:t>
      </w:r>
      <w:r w:rsidR="00D160EA">
        <w:rPr>
          <w:lang w:val="en-AU"/>
        </w:rPr>
        <w:t xml:space="preserve"> </w:t>
      </w:r>
      <w:r>
        <w:rPr>
          <w:lang w:val="en-AU"/>
        </w:rPr>
        <w:t>either an EGM</w:t>
      </w:r>
      <w:r w:rsidR="007C34DD">
        <w:rPr>
          <w:rStyle w:val="FootnoteReference"/>
          <w:lang w:val="en-AU"/>
        </w:rPr>
        <w:footnoteReference w:id="16"/>
      </w:r>
      <w:r>
        <w:rPr>
          <w:lang w:val="en-AU"/>
        </w:rPr>
        <w:t xml:space="preserve"> or an AGM</w:t>
      </w:r>
      <w:r w:rsidR="00221280">
        <w:rPr>
          <w:lang w:val="en-AU"/>
        </w:rPr>
        <w:t xml:space="preserve"> </w:t>
      </w:r>
      <w:r w:rsidR="00CF0DD8">
        <w:rPr>
          <w:rStyle w:val="FootnoteReference"/>
          <w:lang w:val="en-AU"/>
        </w:rPr>
        <w:footnoteReference w:id="17"/>
      </w:r>
      <w:r w:rsidR="003E4519">
        <w:rPr>
          <w:lang w:val="en-AU"/>
        </w:rPr>
        <w:t xml:space="preserve">. </w:t>
      </w:r>
    </w:p>
    <w:p w14:paraId="1499272F" w14:textId="77777777" w:rsidR="003E4519" w:rsidRPr="003E4519" w:rsidRDefault="003E4519" w:rsidP="00C758F1">
      <w:pPr>
        <w:pStyle w:val="ListParagraph"/>
        <w:jc w:val="both"/>
        <w:rPr>
          <w:lang w:val="en-AU"/>
        </w:rPr>
      </w:pPr>
    </w:p>
    <w:p w14:paraId="770C5746" w14:textId="155BE090" w:rsidR="003E4519" w:rsidRDefault="003E4519" w:rsidP="00C758F1">
      <w:pPr>
        <w:pStyle w:val="ListParagraph"/>
        <w:numPr>
          <w:ilvl w:val="0"/>
          <w:numId w:val="1"/>
        </w:numPr>
        <w:jc w:val="both"/>
        <w:rPr>
          <w:lang w:val="en-AU"/>
        </w:rPr>
      </w:pPr>
      <w:r>
        <w:rPr>
          <w:lang w:val="en-AU"/>
        </w:rPr>
        <w:t xml:space="preserve"> Ms Cav</w:t>
      </w:r>
      <w:r w:rsidR="00BD519A">
        <w:rPr>
          <w:lang w:val="en-AU"/>
        </w:rPr>
        <w:t>a</w:t>
      </w:r>
      <w:r>
        <w:rPr>
          <w:lang w:val="en-AU"/>
        </w:rPr>
        <w:t xml:space="preserve">nagh </w:t>
      </w:r>
      <w:r w:rsidR="007C34DD">
        <w:rPr>
          <w:lang w:val="en-AU"/>
        </w:rPr>
        <w:t>of</w:t>
      </w:r>
      <w:r>
        <w:rPr>
          <w:lang w:val="en-AU"/>
        </w:rPr>
        <w:t xml:space="preserve"> Whittles</w:t>
      </w:r>
      <w:r w:rsidR="007C34DD">
        <w:rPr>
          <w:lang w:val="en-AU"/>
        </w:rPr>
        <w:t xml:space="preserve">, </w:t>
      </w:r>
      <w:r w:rsidR="0091102E">
        <w:rPr>
          <w:lang w:val="en-AU"/>
        </w:rPr>
        <w:t xml:space="preserve">sent an email </w:t>
      </w:r>
      <w:r w:rsidR="007C34DD">
        <w:rPr>
          <w:lang w:val="en-AU"/>
        </w:rPr>
        <w:t xml:space="preserve">dated </w:t>
      </w:r>
      <w:r>
        <w:rPr>
          <w:lang w:val="en-AU"/>
        </w:rPr>
        <w:t>31 January 2018</w:t>
      </w:r>
      <w:r w:rsidR="007C34DD">
        <w:rPr>
          <w:lang w:val="en-AU"/>
        </w:rPr>
        <w:t>,</w:t>
      </w:r>
      <w:r w:rsidR="002879FC">
        <w:rPr>
          <w:rStyle w:val="FootnoteReference"/>
          <w:lang w:val="en-AU"/>
        </w:rPr>
        <w:footnoteReference w:id="18"/>
      </w:r>
      <w:r w:rsidR="007C34DD">
        <w:rPr>
          <w:lang w:val="en-AU"/>
        </w:rPr>
        <w:t xml:space="preserve"> </w:t>
      </w:r>
      <w:r>
        <w:rPr>
          <w:lang w:val="en-AU"/>
        </w:rPr>
        <w:t xml:space="preserve">which </w:t>
      </w:r>
      <w:r w:rsidR="004A2D40">
        <w:rPr>
          <w:lang w:val="en-AU"/>
        </w:rPr>
        <w:t>stat</w:t>
      </w:r>
      <w:r>
        <w:rPr>
          <w:lang w:val="en-AU"/>
        </w:rPr>
        <w:t xml:space="preserve">ed that an EGM would be called in </w:t>
      </w:r>
      <w:r w:rsidR="004A2D40">
        <w:rPr>
          <w:lang w:val="en-AU"/>
        </w:rPr>
        <w:t xml:space="preserve">the </w:t>
      </w:r>
      <w:r>
        <w:rPr>
          <w:lang w:val="en-AU"/>
        </w:rPr>
        <w:t>coming weeks to formally approve the pet. Th</w:t>
      </w:r>
      <w:r w:rsidR="002879FC">
        <w:rPr>
          <w:lang w:val="en-AU"/>
        </w:rPr>
        <w:t>is</w:t>
      </w:r>
      <w:r>
        <w:rPr>
          <w:lang w:val="en-AU"/>
        </w:rPr>
        <w:t xml:space="preserve"> email also noted that given the </w:t>
      </w:r>
      <w:r w:rsidR="006F172D">
        <w:rPr>
          <w:lang w:val="en-AU"/>
        </w:rPr>
        <w:t xml:space="preserve">number of </w:t>
      </w:r>
      <w:r>
        <w:rPr>
          <w:lang w:val="en-AU"/>
        </w:rPr>
        <w:t xml:space="preserve">unit entitlements held by the owner of the unit making the </w:t>
      </w:r>
      <w:r w:rsidR="002879FC">
        <w:rPr>
          <w:lang w:val="en-AU"/>
        </w:rPr>
        <w:t xml:space="preserve">pet </w:t>
      </w:r>
      <w:r>
        <w:rPr>
          <w:lang w:val="en-AU"/>
        </w:rPr>
        <w:t>application</w:t>
      </w:r>
      <w:r w:rsidR="002879FC">
        <w:rPr>
          <w:lang w:val="en-AU"/>
        </w:rPr>
        <w:t>, this</w:t>
      </w:r>
      <w:r>
        <w:rPr>
          <w:lang w:val="en-AU"/>
        </w:rPr>
        <w:t xml:space="preserve"> </w:t>
      </w:r>
      <w:r w:rsidR="006F172D">
        <w:rPr>
          <w:lang w:val="en-AU"/>
        </w:rPr>
        <w:t xml:space="preserve">meant </w:t>
      </w:r>
      <w:r>
        <w:rPr>
          <w:lang w:val="en-AU"/>
        </w:rPr>
        <w:t>that the motion would pass</w:t>
      </w:r>
      <w:r w:rsidR="006F172D">
        <w:rPr>
          <w:lang w:val="en-AU"/>
        </w:rPr>
        <w:t>. It noted</w:t>
      </w:r>
      <w:r>
        <w:rPr>
          <w:lang w:val="en-AU"/>
        </w:rPr>
        <w:t xml:space="preserve"> </w:t>
      </w:r>
      <w:r w:rsidR="00C6176F">
        <w:rPr>
          <w:lang w:val="en-AU"/>
        </w:rPr>
        <w:t xml:space="preserve">that </w:t>
      </w:r>
      <w:r>
        <w:rPr>
          <w:lang w:val="en-AU"/>
        </w:rPr>
        <w:t xml:space="preserve">a suggestion had been made that given </w:t>
      </w:r>
      <w:r w:rsidR="006F172D">
        <w:rPr>
          <w:lang w:val="en-AU"/>
        </w:rPr>
        <w:t>that additional</w:t>
      </w:r>
      <w:r>
        <w:rPr>
          <w:lang w:val="en-AU"/>
        </w:rPr>
        <w:t xml:space="preserve"> fees</w:t>
      </w:r>
      <w:r w:rsidR="006F172D">
        <w:rPr>
          <w:lang w:val="en-AU"/>
        </w:rPr>
        <w:t xml:space="preserve"> would be required for </w:t>
      </w:r>
      <w:r>
        <w:rPr>
          <w:lang w:val="en-AU"/>
        </w:rPr>
        <w:t>an additional general meeting</w:t>
      </w:r>
      <w:r w:rsidR="006F172D">
        <w:rPr>
          <w:lang w:val="en-AU"/>
        </w:rPr>
        <w:t>, that</w:t>
      </w:r>
      <w:r>
        <w:rPr>
          <w:lang w:val="en-AU"/>
        </w:rPr>
        <w:t xml:space="preserve"> the motion be put to the members for formal adoption at the next AGM</w:t>
      </w:r>
      <w:r w:rsidR="006F172D">
        <w:rPr>
          <w:lang w:val="en-AU"/>
        </w:rPr>
        <w:t xml:space="preserve"> in order to save costs.</w:t>
      </w:r>
      <w:r>
        <w:rPr>
          <w:lang w:val="en-AU"/>
        </w:rPr>
        <w:t xml:space="preserve"> </w:t>
      </w:r>
    </w:p>
    <w:p w14:paraId="71195CDE" w14:textId="77777777" w:rsidR="00C6176F" w:rsidRPr="00C6176F" w:rsidRDefault="00C6176F" w:rsidP="00C758F1">
      <w:pPr>
        <w:pStyle w:val="ListParagraph"/>
        <w:jc w:val="both"/>
        <w:rPr>
          <w:lang w:val="en-AU"/>
        </w:rPr>
      </w:pPr>
    </w:p>
    <w:p w14:paraId="7B056E64" w14:textId="67A9D1E3" w:rsidR="003E4519" w:rsidRDefault="00C6176F" w:rsidP="00C758F1">
      <w:pPr>
        <w:pStyle w:val="ListParagraph"/>
        <w:numPr>
          <w:ilvl w:val="0"/>
          <w:numId w:val="1"/>
        </w:numPr>
        <w:jc w:val="both"/>
        <w:rPr>
          <w:lang w:val="en-AU"/>
        </w:rPr>
      </w:pPr>
      <w:r w:rsidRPr="007E365E">
        <w:rPr>
          <w:lang w:val="en-AU"/>
        </w:rPr>
        <w:t xml:space="preserve">A further email was sent to Whittles by </w:t>
      </w:r>
      <w:r w:rsidR="00EE045D">
        <w:rPr>
          <w:lang w:val="en-AU"/>
        </w:rPr>
        <w:t xml:space="preserve">Ms </w:t>
      </w:r>
      <w:r w:rsidRPr="007E365E">
        <w:rPr>
          <w:lang w:val="en-AU"/>
        </w:rPr>
        <w:t>Isabel Ordogh</w:t>
      </w:r>
      <w:r w:rsidR="00EE045D">
        <w:rPr>
          <w:lang w:val="en-AU"/>
        </w:rPr>
        <w:t xml:space="preserve">, </w:t>
      </w:r>
      <w:r w:rsidRPr="007E365E">
        <w:rPr>
          <w:lang w:val="en-AU"/>
        </w:rPr>
        <w:t xml:space="preserve">on </w:t>
      </w:r>
      <w:r w:rsidR="00DE1ECA">
        <w:rPr>
          <w:lang w:val="en-AU"/>
        </w:rPr>
        <w:br/>
      </w:r>
      <w:r w:rsidRPr="007E365E">
        <w:rPr>
          <w:lang w:val="en-AU"/>
        </w:rPr>
        <w:t xml:space="preserve">4 February 2018 querying the </w:t>
      </w:r>
      <w:r w:rsidR="002879FC">
        <w:rPr>
          <w:lang w:val="en-AU"/>
        </w:rPr>
        <w:t>process.</w:t>
      </w:r>
      <w:r w:rsidR="002879FC">
        <w:rPr>
          <w:rStyle w:val="FootnoteReference"/>
          <w:lang w:val="en-AU"/>
        </w:rPr>
        <w:footnoteReference w:id="19"/>
      </w:r>
      <w:r w:rsidRPr="007E365E">
        <w:rPr>
          <w:lang w:val="en-AU"/>
        </w:rPr>
        <w:t xml:space="preserve"> This email also sought a copy of the ‘A</w:t>
      </w:r>
      <w:r w:rsidR="000A69BB">
        <w:rPr>
          <w:lang w:val="en-AU"/>
        </w:rPr>
        <w:t>pplication to K</w:t>
      </w:r>
      <w:r w:rsidRPr="007E365E">
        <w:rPr>
          <w:lang w:val="en-AU"/>
        </w:rPr>
        <w:t xml:space="preserve">eep an </w:t>
      </w:r>
      <w:r w:rsidR="000A69BB">
        <w:rPr>
          <w:lang w:val="en-AU"/>
        </w:rPr>
        <w:t>A</w:t>
      </w:r>
      <w:r w:rsidRPr="007E365E">
        <w:rPr>
          <w:lang w:val="en-AU"/>
        </w:rPr>
        <w:t>nimal’</w:t>
      </w:r>
      <w:r w:rsidR="00DB410F" w:rsidRPr="007E365E">
        <w:rPr>
          <w:lang w:val="en-AU"/>
        </w:rPr>
        <w:t xml:space="preserve"> </w:t>
      </w:r>
      <w:r w:rsidRPr="007E365E">
        <w:rPr>
          <w:lang w:val="en-AU"/>
        </w:rPr>
        <w:t>as well as querying the removal of ‘</w:t>
      </w:r>
      <w:r w:rsidR="002879FC">
        <w:rPr>
          <w:lang w:val="en-AU"/>
        </w:rPr>
        <w:t>O</w:t>
      </w:r>
      <w:r w:rsidRPr="007E365E">
        <w:rPr>
          <w:lang w:val="en-AU"/>
        </w:rPr>
        <w:t xml:space="preserve">wner </w:t>
      </w:r>
      <w:r w:rsidR="002879FC">
        <w:rPr>
          <w:lang w:val="en-AU"/>
        </w:rPr>
        <w:t>N</w:t>
      </w:r>
      <w:r w:rsidRPr="007E365E">
        <w:rPr>
          <w:lang w:val="en-AU"/>
        </w:rPr>
        <w:t xml:space="preserve">ews’ </w:t>
      </w:r>
      <w:r w:rsidRPr="007E365E">
        <w:rPr>
          <w:lang w:val="en-AU"/>
        </w:rPr>
        <w:lastRenderedPageBreak/>
        <w:t>and documents from the Whittles online member p</w:t>
      </w:r>
      <w:r w:rsidR="000A69BB">
        <w:rPr>
          <w:lang w:val="en-AU"/>
        </w:rPr>
        <w:t>ortal (relevant</w:t>
      </w:r>
      <w:r w:rsidRPr="007E365E">
        <w:rPr>
          <w:lang w:val="en-AU"/>
        </w:rPr>
        <w:t xml:space="preserve"> to particular</w:t>
      </w:r>
      <w:r w:rsidR="000A69BB">
        <w:rPr>
          <w:lang w:val="en-AU"/>
        </w:rPr>
        <w:t>s (e) and</w:t>
      </w:r>
      <w:r w:rsidRPr="007E365E">
        <w:rPr>
          <w:lang w:val="en-AU"/>
        </w:rPr>
        <w:t xml:space="preserve"> (f) of Allegation 1</w:t>
      </w:r>
      <w:r w:rsidR="000A69BB">
        <w:rPr>
          <w:lang w:val="en-AU"/>
        </w:rPr>
        <w:t>)</w:t>
      </w:r>
      <w:r w:rsidR="00CF78B0">
        <w:rPr>
          <w:lang w:val="en-AU"/>
        </w:rPr>
        <w:t>.</w:t>
      </w:r>
    </w:p>
    <w:p w14:paraId="5F97B3DD" w14:textId="545AB4D2" w:rsidR="007E365E" w:rsidRPr="007E365E" w:rsidRDefault="007E365E" w:rsidP="00C758F1">
      <w:pPr>
        <w:jc w:val="both"/>
        <w:rPr>
          <w:lang w:val="en-AU"/>
        </w:rPr>
      </w:pPr>
    </w:p>
    <w:p w14:paraId="228A22DF" w14:textId="270CD79B" w:rsidR="003E4519" w:rsidRDefault="00C6176F" w:rsidP="00C758F1">
      <w:pPr>
        <w:pStyle w:val="ListParagraph"/>
        <w:numPr>
          <w:ilvl w:val="0"/>
          <w:numId w:val="1"/>
        </w:numPr>
        <w:jc w:val="both"/>
        <w:rPr>
          <w:lang w:val="en-AU"/>
        </w:rPr>
      </w:pPr>
      <w:r>
        <w:rPr>
          <w:lang w:val="en-AU"/>
        </w:rPr>
        <w:t xml:space="preserve">A notice for an EGM was subsequently emailed </w:t>
      </w:r>
      <w:r w:rsidR="00DB410F">
        <w:rPr>
          <w:lang w:val="en-AU"/>
        </w:rPr>
        <w:t xml:space="preserve">by Whittles on 7 March </w:t>
      </w:r>
      <w:r w:rsidR="002879FC">
        <w:rPr>
          <w:rStyle w:val="FootnoteReference"/>
          <w:lang w:val="en-AU"/>
        </w:rPr>
        <w:footnoteReference w:id="20"/>
      </w:r>
      <w:r w:rsidR="000A69BB">
        <w:rPr>
          <w:lang w:val="en-AU"/>
        </w:rPr>
        <w:t>advising</w:t>
      </w:r>
      <w:r w:rsidR="00DB410F">
        <w:rPr>
          <w:lang w:val="en-AU"/>
        </w:rPr>
        <w:t xml:space="preserve"> of the EGM on 27 M</w:t>
      </w:r>
      <w:r w:rsidR="000A69BB">
        <w:rPr>
          <w:lang w:val="en-AU"/>
        </w:rPr>
        <w:t>arch 2018. This i</w:t>
      </w:r>
      <w:r w:rsidR="00DB410F">
        <w:rPr>
          <w:lang w:val="en-AU"/>
        </w:rPr>
        <w:t>ncluded</w:t>
      </w:r>
      <w:r>
        <w:rPr>
          <w:lang w:val="en-AU"/>
        </w:rPr>
        <w:t xml:space="preserve"> a package</w:t>
      </w:r>
      <w:r w:rsidR="00DB410F">
        <w:rPr>
          <w:lang w:val="en-AU"/>
        </w:rPr>
        <w:t xml:space="preserve"> of documents</w:t>
      </w:r>
      <w:r w:rsidR="00221280">
        <w:rPr>
          <w:lang w:val="en-AU"/>
        </w:rPr>
        <w:t xml:space="preserve"> for the EGM</w:t>
      </w:r>
      <w:r w:rsidR="00DB410F">
        <w:rPr>
          <w:lang w:val="en-AU"/>
        </w:rPr>
        <w:t>.</w:t>
      </w:r>
    </w:p>
    <w:p w14:paraId="32B81FDE" w14:textId="77777777" w:rsidR="00F74216" w:rsidRPr="00F74216" w:rsidRDefault="00F74216" w:rsidP="00EE5C30">
      <w:pPr>
        <w:jc w:val="both"/>
        <w:rPr>
          <w:lang w:val="en-AU"/>
        </w:rPr>
      </w:pPr>
    </w:p>
    <w:p w14:paraId="21C140FC" w14:textId="5E54B2A6" w:rsidR="007E365E" w:rsidRPr="007E365E" w:rsidRDefault="00F74216" w:rsidP="00EE5C30">
      <w:pPr>
        <w:pStyle w:val="ListParagraph"/>
        <w:numPr>
          <w:ilvl w:val="0"/>
          <w:numId w:val="1"/>
        </w:numPr>
        <w:jc w:val="both"/>
        <w:rPr>
          <w:lang w:val="en-AU"/>
        </w:rPr>
      </w:pPr>
      <w:r>
        <w:rPr>
          <w:lang w:val="en-AU"/>
        </w:rPr>
        <w:t xml:space="preserve">On 21 March Ms Isabel </w:t>
      </w:r>
      <w:r w:rsidR="004822B0">
        <w:rPr>
          <w:lang w:val="en-AU"/>
        </w:rPr>
        <w:t>Ordogh sent</w:t>
      </w:r>
      <w:r>
        <w:rPr>
          <w:lang w:val="en-AU"/>
        </w:rPr>
        <w:t xml:space="preserve"> an email to Ms Roberts seeking that the meeting be re-scheduled as Dani and Todi would be </w:t>
      </w:r>
      <w:r w:rsidR="004822B0">
        <w:rPr>
          <w:lang w:val="en-AU"/>
        </w:rPr>
        <w:t>away on</w:t>
      </w:r>
      <w:r>
        <w:rPr>
          <w:lang w:val="en-AU"/>
        </w:rPr>
        <w:t xml:space="preserve"> 27 March and that Ms Roberts could also not attend the </w:t>
      </w:r>
      <w:r w:rsidR="004822B0">
        <w:rPr>
          <w:lang w:val="en-AU"/>
        </w:rPr>
        <w:t>meeting due to</w:t>
      </w:r>
      <w:r>
        <w:rPr>
          <w:lang w:val="en-AU"/>
        </w:rPr>
        <w:t xml:space="preserve"> work commitments. </w:t>
      </w:r>
      <w:r>
        <w:rPr>
          <w:rStyle w:val="FootnoteReference"/>
          <w:lang w:val="en-AU"/>
        </w:rPr>
        <w:footnoteReference w:id="21"/>
      </w:r>
    </w:p>
    <w:p w14:paraId="07A491D2" w14:textId="094A9551" w:rsidR="00B9233D" w:rsidRPr="00B9233D" w:rsidRDefault="00B9233D" w:rsidP="00C758F1">
      <w:pPr>
        <w:jc w:val="both"/>
        <w:rPr>
          <w:lang w:val="en-AU"/>
        </w:rPr>
      </w:pPr>
    </w:p>
    <w:p w14:paraId="342BDFFB" w14:textId="1E7937B0" w:rsidR="004B6E1B" w:rsidRDefault="00F74216" w:rsidP="00C25BB8">
      <w:pPr>
        <w:pStyle w:val="ListParagraph"/>
        <w:numPr>
          <w:ilvl w:val="0"/>
          <w:numId w:val="1"/>
        </w:numPr>
        <w:jc w:val="both"/>
        <w:rPr>
          <w:lang w:val="en-AU"/>
        </w:rPr>
      </w:pPr>
      <w:r>
        <w:rPr>
          <w:lang w:val="en-AU"/>
        </w:rPr>
        <w:t xml:space="preserve">On 26 March Ms Isabel Ordogh send an email to Ms Cavanagh of Whittles </w:t>
      </w:r>
      <w:r>
        <w:rPr>
          <w:rStyle w:val="FootnoteReference"/>
          <w:lang w:val="en-AU"/>
        </w:rPr>
        <w:footnoteReference w:id="22"/>
      </w:r>
      <w:r w:rsidR="0089162D">
        <w:rPr>
          <w:lang w:val="en-AU"/>
        </w:rPr>
        <w:t xml:space="preserve">in which she again sought to re-schedule the EGM </w:t>
      </w:r>
      <w:r w:rsidR="004822B0">
        <w:rPr>
          <w:lang w:val="en-AU"/>
        </w:rPr>
        <w:t>and</w:t>
      </w:r>
      <w:r w:rsidR="0089162D">
        <w:rPr>
          <w:lang w:val="en-AU"/>
        </w:rPr>
        <w:t xml:space="preserve"> drew attention to Ms Bruton’s email, dated the same day.</w:t>
      </w:r>
      <w:r w:rsidR="0089162D">
        <w:rPr>
          <w:rStyle w:val="FootnoteReference"/>
          <w:lang w:val="en-AU"/>
        </w:rPr>
        <w:footnoteReference w:id="23"/>
      </w:r>
      <w:r w:rsidR="0089162D">
        <w:rPr>
          <w:lang w:val="en-AU"/>
        </w:rPr>
        <w:t xml:space="preserve"> Ms Bruton had said in her email that moving the meeting back will disadvantage the owner and the tenant. Ms Ordogh d</w:t>
      </w:r>
      <w:r w:rsidR="00C95817">
        <w:rPr>
          <w:lang w:val="en-AU"/>
        </w:rPr>
        <w:t>ispute</w:t>
      </w:r>
      <w:r w:rsidR="0089162D">
        <w:rPr>
          <w:lang w:val="en-AU"/>
        </w:rPr>
        <w:t>d this.</w:t>
      </w:r>
    </w:p>
    <w:p w14:paraId="0957A40B" w14:textId="77777777" w:rsidR="0089162D" w:rsidRDefault="0089162D" w:rsidP="00EE5C30">
      <w:pPr>
        <w:pStyle w:val="ListParagraph"/>
        <w:ind w:left="1080"/>
        <w:jc w:val="both"/>
        <w:rPr>
          <w:lang w:val="en-AU"/>
        </w:rPr>
      </w:pPr>
    </w:p>
    <w:p w14:paraId="701464D1" w14:textId="2B5A2BA3" w:rsidR="004B6E1B" w:rsidRDefault="0089162D" w:rsidP="004B6E1B">
      <w:pPr>
        <w:pStyle w:val="ListParagraph"/>
        <w:numPr>
          <w:ilvl w:val="0"/>
          <w:numId w:val="1"/>
        </w:numPr>
        <w:jc w:val="both"/>
        <w:rPr>
          <w:lang w:val="en-AU"/>
        </w:rPr>
      </w:pPr>
      <w:r>
        <w:rPr>
          <w:lang w:val="en-AU"/>
        </w:rPr>
        <w:t>On 27 March Ms Cavanagh (of Whittles) send an email to Ms Ordogh, in which she declined to adjourn the meeting, and</w:t>
      </w:r>
      <w:r w:rsidR="005D0420">
        <w:rPr>
          <w:lang w:val="en-AU"/>
        </w:rPr>
        <w:t xml:space="preserve"> said</w:t>
      </w:r>
      <w:r>
        <w:rPr>
          <w:lang w:val="en-AU"/>
        </w:rPr>
        <w:t xml:space="preserve"> “appropriate notice was given to all owners along with voting papers and proxy forms for those unable to attend the meeting”.</w:t>
      </w:r>
      <w:r w:rsidR="004B6E1B">
        <w:rPr>
          <w:rStyle w:val="FootnoteReference"/>
          <w:lang w:val="en-AU"/>
        </w:rPr>
        <w:footnoteReference w:id="24"/>
      </w:r>
      <w:r w:rsidR="004B6E1B">
        <w:rPr>
          <w:lang w:val="en-AU"/>
        </w:rPr>
        <w:t xml:space="preserve"> She added that “ we have received sufficient voting papers from other members who were unable to attend the meeting, who collectively hold sufficient votes to pass the motion. Minutes of the meeting are to follow”</w:t>
      </w:r>
    </w:p>
    <w:p w14:paraId="50DC55D1" w14:textId="5A2C49B4" w:rsidR="007E365E" w:rsidRPr="007E365E" w:rsidRDefault="0089162D" w:rsidP="00EE5C30">
      <w:pPr>
        <w:pStyle w:val="ListParagraph"/>
        <w:ind w:left="1080"/>
        <w:jc w:val="both"/>
        <w:rPr>
          <w:lang w:val="en-AU"/>
        </w:rPr>
      </w:pPr>
      <w:r>
        <w:rPr>
          <w:lang w:val="en-AU"/>
        </w:rPr>
        <w:t xml:space="preserve"> </w:t>
      </w:r>
    </w:p>
    <w:p w14:paraId="5C85BE8F" w14:textId="584C4388" w:rsidR="00B0733E" w:rsidRDefault="00683952" w:rsidP="00306F5B">
      <w:pPr>
        <w:pStyle w:val="ListParagraph"/>
        <w:numPr>
          <w:ilvl w:val="0"/>
          <w:numId w:val="1"/>
        </w:numPr>
        <w:jc w:val="both"/>
        <w:rPr>
          <w:lang w:val="en-AU"/>
        </w:rPr>
      </w:pPr>
      <w:r>
        <w:rPr>
          <w:lang w:val="en-AU"/>
        </w:rPr>
        <w:t>The</w:t>
      </w:r>
      <w:r w:rsidR="00F56B21">
        <w:rPr>
          <w:lang w:val="en-AU"/>
        </w:rPr>
        <w:t xml:space="preserve"> </w:t>
      </w:r>
      <w:r w:rsidR="00DB410F" w:rsidRPr="000207C2">
        <w:rPr>
          <w:lang w:val="en-AU"/>
        </w:rPr>
        <w:t>EGM was held on 27 March 2018</w:t>
      </w:r>
      <w:r w:rsidR="00F56B21">
        <w:rPr>
          <w:lang w:val="en-AU"/>
        </w:rPr>
        <w:t xml:space="preserve">. </w:t>
      </w:r>
      <w:r w:rsidR="00DB410F" w:rsidRPr="000207C2">
        <w:rPr>
          <w:lang w:val="en-AU"/>
        </w:rPr>
        <w:t xml:space="preserve"> </w:t>
      </w:r>
      <w:r w:rsidR="00F56B21">
        <w:rPr>
          <w:lang w:val="en-AU"/>
        </w:rPr>
        <w:t>N</w:t>
      </w:r>
      <w:r w:rsidR="00DB410F" w:rsidRPr="000207C2">
        <w:rPr>
          <w:lang w:val="en-AU"/>
        </w:rPr>
        <w:t>one of the members of the corporation were personally in attendance.</w:t>
      </w:r>
      <w:r w:rsidR="00B0733E" w:rsidRPr="00B0733E">
        <w:rPr>
          <w:lang w:val="en-AU"/>
        </w:rPr>
        <w:t xml:space="preserve"> The </w:t>
      </w:r>
      <w:r w:rsidR="00B4151F">
        <w:rPr>
          <w:lang w:val="en-AU"/>
        </w:rPr>
        <w:t>minutes of the meeting</w:t>
      </w:r>
      <w:r w:rsidR="00B4151F">
        <w:rPr>
          <w:rStyle w:val="FootnoteReference"/>
          <w:lang w:val="en-AU"/>
        </w:rPr>
        <w:footnoteReference w:id="25"/>
      </w:r>
      <w:r w:rsidR="00B4151F">
        <w:rPr>
          <w:lang w:val="en-AU"/>
        </w:rPr>
        <w:t xml:space="preserve"> reveal that the </w:t>
      </w:r>
      <w:r w:rsidR="00B0733E" w:rsidRPr="00B0733E">
        <w:rPr>
          <w:lang w:val="en-AU"/>
        </w:rPr>
        <w:t>EGM proceeded with voting paper</w:t>
      </w:r>
      <w:r w:rsidR="00615636">
        <w:rPr>
          <w:lang w:val="en-AU"/>
        </w:rPr>
        <w:t>s</w:t>
      </w:r>
      <w:r w:rsidR="0029728E">
        <w:rPr>
          <w:lang w:val="en-AU"/>
        </w:rPr>
        <w:t xml:space="preserve"> lodged</w:t>
      </w:r>
      <w:r w:rsidR="00B0733E" w:rsidRPr="00B0733E">
        <w:rPr>
          <w:lang w:val="en-AU"/>
        </w:rPr>
        <w:t xml:space="preserve"> by the owners of Units 2 and 3</w:t>
      </w:r>
      <w:r w:rsidR="00512CC2">
        <w:rPr>
          <w:lang w:val="en-AU"/>
        </w:rPr>
        <w:t xml:space="preserve">, both of which </w:t>
      </w:r>
      <w:r w:rsidR="00B0733E" w:rsidRPr="00B0733E">
        <w:rPr>
          <w:lang w:val="en-AU"/>
        </w:rPr>
        <w:t>support</w:t>
      </w:r>
      <w:r w:rsidR="00512CC2">
        <w:rPr>
          <w:lang w:val="en-AU"/>
        </w:rPr>
        <w:t xml:space="preserve">ed </w:t>
      </w:r>
      <w:r w:rsidR="00B0733E" w:rsidRPr="00B0733E">
        <w:rPr>
          <w:lang w:val="en-AU"/>
        </w:rPr>
        <w:t>the pet application</w:t>
      </w:r>
      <w:r w:rsidR="0029728E">
        <w:rPr>
          <w:lang w:val="en-AU"/>
        </w:rPr>
        <w:t xml:space="preserve">. </w:t>
      </w:r>
      <w:r w:rsidR="00B0733E" w:rsidRPr="00B0733E">
        <w:rPr>
          <w:lang w:val="en-AU"/>
        </w:rPr>
        <w:t xml:space="preserve"> </w:t>
      </w:r>
      <w:r w:rsidR="0029728E">
        <w:rPr>
          <w:lang w:val="en-AU"/>
        </w:rPr>
        <w:t>No</w:t>
      </w:r>
      <w:r w:rsidR="00B0733E" w:rsidRPr="00B0733E">
        <w:rPr>
          <w:lang w:val="en-AU"/>
        </w:rPr>
        <w:t xml:space="preserve"> voting papers</w:t>
      </w:r>
      <w:r w:rsidR="0029728E">
        <w:rPr>
          <w:lang w:val="en-AU"/>
        </w:rPr>
        <w:t xml:space="preserve"> and no </w:t>
      </w:r>
      <w:r w:rsidR="004822B0">
        <w:rPr>
          <w:lang w:val="en-AU"/>
        </w:rPr>
        <w:t xml:space="preserve">proxies </w:t>
      </w:r>
      <w:r w:rsidR="004822B0" w:rsidRPr="00B0733E">
        <w:rPr>
          <w:lang w:val="en-AU"/>
        </w:rPr>
        <w:t>from</w:t>
      </w:r>
      <w:r w:rsidR="00B0733E" w:rsidRPr="00B0733E">
        <w:rPr>
          <w:lang w:val="en-AU"/>
        </w:rPr>
        <w:t xml:space="preserve"> Units 1 and 4</w:t>
      </w:r>
      <w:r w:rsidR="0029728E">
        <w:rPr>
          <w:lang w:val="en-AU"/>
        </w:rPr>
        <w:t xml:space="preserve"> were </w:t>
      </w:r>
      <w:r w:rsidR="0093577C">
        <w:rPr>
          <w:lang w:val="en-AU"/>
        </w:rPr>
        <w:t>received</w:t>
      </w:r>
      <w:r w:rsidR="00B0733E" w:rsidRPr="00B0733E">
        <w:rPr>
          <w:lang w:val="en-AU"/>
        </w:rPr>
        <w:t xml:space="preserve">. A majority resolution approving the Pet Application was </w:t>
      </w:r>
      <w:r w:rsidR="0029728E">
        <w:rPr>
          <w:lang w:val="en-AU"/>
        </w:rPr>
        <w:t>passed.</w:t>
      </w:r>
    </w:p>
    <w:p w14:paraId="33AD5103" w14:textId="77777777" w:rsidR="00C758F1" w:rsidRPr="00B0733E" w:rsidRDefault="00C758F1" w:rsidP="00306F5B">
      <w:pPr>
        <w:jc w:val="both"/>
        <w:rPr>
          <w:lang w:val="en-AU"/>
        </w:rPr>
      </w:pPr>
    </w:p>
    <w:p w14:paraId="5F6D8593" w14:textId="3F792196" w:rsidR="0029728E" w:rsidRPr="005E4F06" w:rsidRDefault="0029728E" w:rsidP="00EE5C30">
      <w:pPr>
        <w:ind w:firstLine="720"/>
        <w:rPr>
          <w:b/>
          <w:bCs/>
          <w:lang w:val="en-AU"/>
        </w:rPr>
      </w:pPr>
      <w:r w:rsidRPr="005E4F06">
        <w:rPr>
          <w:b/>
          <w:bCs/>
          <w:lang w:val="en-AU"/>
        </w:rPr>
        <w:t>FINDINGS</w:t>
      </w:r>
    </w:p>
    <w:p w14:paraId="7F28D029" w14:textId="77777777" w:rsidR="00522E50" w:rsidRPr="00522E50" w:rsidRDefault="00522E50" w:rsidP="00C758F1">
      <w:pPr>
        <w:pStyle w:val="ListParagraph"/>
        <w:jc w:val="both"/>
        <w:rPr>
          <w:lang w:val="en-AU"/>
        </w:rPr>
      </w:pPr>
    </w:p>
    <w:p w14:paraId="747A20D2" w14:textId="10CD5672" w:rsidR="009D38E9" w:rsidRDefault="009D38E9" w:rsidP="009D38E9">
      <w:pPr>
        <w:pStyle w:val="ListParagraph"/>
        <w:numPr>
          <w:ilvl w:val="0"/>
          <w:numId w:val="1"/>
        </w:numPr>
        <w:jc w:val="both"/>
        <w:rPr>
          <w:lang w:val="en-AU"/>
        </w:rPr>
      </w:pPr>
      <w:r w:rsidRPr="0019449D">
        <w:rPr>
          <w:lang w:val="en-AU"/>
        </w:rPr>
        <w:t xml:space="preserve">Article 2(4)(f) of Schedule 1 of the </w:t>
      </w:r>
      <w:r w:rsidRPr="0019449D">
        <w:rPr>
          <w:i/>
          <w:lang w:val="en-AU"/>
        </w:rPr>
        <w:t>Unit Title Act 1975</w:t>
      </w:r>
      <w:r w:rsidRPr="0019449D">
        <w:rPr>
          <w:lang w:val="en-AU"/>
        </w:rPr>
        <w:t xml:space="preserve"> require</w:t>
      </w:r>
      <w:r>
        <w:rPr>
          <w:lang w:val="en-AU"/>
        </w:rPr>
        <w:t>d</w:t>
      </w:r>
      <w:r w:rsidRPr="0019449D">
        <w:rPr>
          <w:lang w:val="en-AU"/>
        </w:rPr>
        <w:t xml:space="preserve"> a majority resolution of the corporation to permit the keeping of a pet at a unit or </w:t>
      </w:r>
      <w:r>
        <w:rPr>
          <w:lang w:val="en-AU"/>
        </w:rPr>
        <w:t xml:space="preserve">on </w:t>
      </w:r>
      <w:r w:rsidRPr="0019449D">
        <w:rPr>
          <w:lang w:val="en-AU"/>
        </w:rPr>
        <w:t xml:space="preserve">the common property. The </w:t>
      </w:r>
      <w:r>
        <w:rPr>
          <w:lang w:val="en-AU"/>
        </w:rPr>
        <w:t xml:space="preserve">key </w:t>
      </w:r>
      <w:r w:rsidRPr="0019449D">
        <w:rPr>
          <w:lang w:val="en-AU"/>
        </w:rPr>
        <w:t xml:space="preserve">question before the Board is whether </w:t>
      </w:r>
      <w:r w:rsidR="004822B0" w:rsidRPr="0019449D">
        <w:rPr>
          <w:lang w:val="en-AU"/>
        </w:rPr>
        <w:t>Whittles</w:t>
      </w:r>
      <w:r w:rsidR="004822B0">
        <w:rPr>
          <w:lang w:val="en-AU"/>
        </w:rPr>
        <w:t xml:space="preserve">, </w:t>
      </w:r>
      <w:r w:rsidR="004822B0" w:rsidRPr="0019449D">
        <w:rPr>
          <w:lang w:val="en-AU"/>
        </w:rPr>
        <w:t>on</w:t>
      </w:r>
      <w:r w:rsidRPr="0019449D">
        <w:rPr>
          <w:lang w:val="en-AU"/>
        </w:rPr>
        <w:t xml:space="preserve"> receiving the pet </w:t>
      </w:r>
      <w:r w:rsidR="004822B0" w:rsidRPr="0019449D">
        <w:rPr>
          <w:lang w:val="en-AU"/>
        </w:rPr>
        <w:t>application</w:t>
      </w:r>
      <w:r w:rsidR="004822B0">
        <w:rPr>
          <w:lang w:val="en-AU"/>
        </w:rPr>
        <w:t xml:space="preserve">, </w:t>
      </w:r>
      <w:r w:rsidR="004822B0" w:rsidRPr="0019449D">
        <w:rPr>
          <w:lang w:val="en-AU"/>
        </w:rPr>
        <w:t>proceeded</w:t>
      </w:r>
      <w:r w:rsidRPr="0019449D">
        <w:rPr>
          <w:lang w:val="en-AU"/>
        </w:rPr>
        <w:t xml:space="preserve"> in accordance with the requirements of the </w:t>
      </w:r>
      <w:r>
        <w:rPr>
          <w:lang w:val="en-AU"/>
        </w:rPr>
        <w:t xml:space="preserve">Act and performed its duties to its principal with the required due </w:t>
      </w:r>
      <w:r w:rsidR="00F14378">
        <w:rPr>
          <w:lang w:val="en-AU"/>
        </w:rPr>
        <w:t xml:space="preserve">skill, </w:t>
      </w:r>
      <w:r>
        <w:rPr>
          <w:lang w:val="en-AU"/>
        </w:rPr>
        <w:t>care and diligence.</w:t>
      </w:r>
    </w:p>
    <w:p w14:paraId="0FCE9725" w14:textId="77777777" w:rsidR="009D38E9" w:rsidRDefault="009D38E9" w:rsidP="00EE5C30">
      <w:pPr>
        <w:pStyle w:val="ListParagraph"/>
        <w:ind w:left="1080"/>
        <w:jc w:val="both"/>
        <w:rPr>
          <w:lang w:val="en-AU"/>
        </w:rPr>
      </w:pPr>
    </w:p>
    <w:p w14:paraId="637190A9" w14:textId="77777777" w:rsidR="00522E50" w:rsidRPr="00522E50" w:rsidRDefault="00522E50" w:rsidP="00C758F1">
      <w:pPr>
        <w:pStyle w:val="ListParagraph"/>
        <w:jc w:val="both"/>
        <w:rPr>
          <w:lang w:val="en-AU"/>
        </w:rPr>
      </w:pPr>
    </w:p>
    <w:p w14:paraId="5EC28C2A" w14:textId="1B708F59" w:rsidR="00EE1EDE" w:rsidRPr="00EE1EDE" w:rsidRDefault="00EE1EDE" w:rsidP="00EE5C30">
      <w:pPr>
        <w:pStyle w:val="ListParagraph"/>
        <w:numPr>
          <w:ilvl w:val="0"/>
          <w:numId w:val="1"/>
        </w:numPr>
        <w:rPr>
          <w:lang w:val="en-AU"/>
        </w:rPr>
      </w:pPr>
      <w:r w:rsidRPr="00EE1EDE">
        <w:rPr>
          <w:lang w:val="en-AU"/>
        </w:rPr>
        <w:lastRenderedPageBreak/>
        <w:t>Whittles, in its written submission submitted by counsel to the Board ackno</w:t>
      </w:r>
      <w:r w:rsidRPr="00E168B5">
        <w:rPr>
          <w:lang w:val="en-AU"/>
        </w:rPr>
        <w:t>wledged:</w:t>
      </w:r>
    </w:p>
    <w:p w14:paraId="0181DCF3" w14:textId="74A26A14" w:rsidR="00E15905" w:rsidRDefault="00EE1EDE" w:rsidP="00E168B5">
      <w:pPr>
        <w:pStyle w:val="ListParagraph"/>
        <w:numPr>
          <w:ilvl w:val="1"/>
          <w:numId w:val="1"/>
        </w:numPr>
        <w:jc w:val="both"/>
        <w:rPr>
          <w:lang w:val="en-AU"/>
        </w:rPr>
      </w:pPr>
      <w:r>
        <w:rPr>
          <w:lang w:val="en-AU"/>
        </w:rPr>
        <w:t>Article 2 (4)(f) and its application to the proprietors of UP 85/39</w:t>
      </w:r>
    </w:p>
    <w:p w14:paraId="15CC7CD3" w14:textId="3C19508F" w:rsidR="00EE1EDE" w:rsidRDefault="00EE1EDE" w:rsidP="00E168B5">
      <w:pPr>
        <w:pStyle w:val="ListParagraph"/>
        <w:numPr>
          <w:ilvl w:val="1"/>
          <w:numId w:val="1"/>
        </w:numPr>
        <w:jc w:val="both"/>
        <w:rPr>
          <w:lang w:val="en-AU"/>
        </w:rPr>
      </w:pPr>
      <w:r>
        <w:rPr>
          <w:lang w:val="en-AU"/>
        </w:rPr>
        <w:t>Whittles was bound by the terms of the service agreement with the proprietors of UP 85/39</w:t>
      </w:r>
    </w:p>
    <w:p w14:paraId="60F6C173" w14:textId="483812E9" w:rsidR="00EE1EDE" w:rsidRPr="00EE1EDE" w:rsidRDefault="00EE1EDE" w:rsidP="00EE5C30">
      <w:pPr>
        <w:pStyle w:val="ListParagraph"/>
        <w:numPr>
          <w:ilvl w:val="1"/>
          <w:numId w:val="1"/>
        </w:numPr>
        <w:jc w:val="both"/>
        <w:rPr>
          <w:lang w:val="en-AU"/>
        </w:rPr>
      </w:pPr>
      <w:r>
        <w:rPr>
          <w:lang w:val="en-AU"/>
        </w:rPr>
        <w:t xml:space="preserve">That the Service </w:t>
      </w:r>
      <w:r w:rsidR="004822B0">
        <w:rPr>
          <w:lang w:val="en-AU"/>
        </w:rPr>
        <w:t>Agreement provided</w:t>
      </w:r>
      <w:r>
        <w:rPr>
          <w:lang w:val="en-AU"/>
        </w:rPr>
        <w:t xml:space="preserve"> that Whittles must supply the Agreed Services.</w:t>
      </w:r>
    </w:p>
    <w:p w14:paraId="135F8F6C" w14:textId="77777777" w:rsidR="00DB410F" w:rsidRPr="00DB410F" w:rsidRDefault="00DB410F" w:rsidP="00C758F1">
      <w:pPr>
        <w:pStyle w:val="ListParagraph"/>
        <w:jc w:val="both"/>
        <w:rPr>
          <w:lang w:val="en-AU"/>
        </w:rPr>
      </w:pPr>
    </w:p>
    <w:p w14:paraId="559DA1EF" w14:textId="78424FB0" w:rsidR="00C8257A" w:rsidRDefault="00C8257A" w:rsidP="00431D05">
      <w:pPr>
        <w:pStyle w:val="ListParagraph"/>
        <w:numPr>
          <w:ilvl w:val="0"/>
          <w:numId w:val="1"/>
        </w:numPr>
        <w:jc w:val="both"/>
        <w:rPr>
          <w:lang w:val="en-AU"/>
        </w:rPr>
      </w:pPr>
      <w:r>
        <w:rPr>
          <w:lang w:val="en-AU"/>
        </w:rPr>
        <w:t xml:space="preserve">The Service Agreement </w:t>
      </w:r>
      <w:r w:rsidR="00336194">
        <w:rPr>
          <w:lang w:val="en-AU"/>
        </w:rPr>
        <w:t xml:space="preserve">(at Clause 3.1 &amp; </w:t>
      </w:r>
      <w:r w:rsidR="004822B0">
        <w:rPr>
          <w:lang w:val="en-AU"/>
        </w:rPr>
        <w:t>3.2)</w:t>
      </w:r>
      <w:r w:rsidR="00336194">
        <w:rPr>
          <w:lang w:val="en-AU"/>
        </w:rPr>
        <w:t xml:space="preserve"> specifies </w:t>
      </w:r>
      <w:r>
        <w:rPr>
          <w:lang w:val="en-AU"/>
        </w:rPr>
        <w:t xml:space="preserve">that Whittles must supply </w:t>
      </w:r>
      <w:r w:rsidR="00336194">
        <w:rPr>
          <w:lang w:val="en-AU"/>
        </w:rPr>
        <w:t>the Agreed Services and may</w:t>
      </w:r>
      <w:r w:rsidR="005D0420">
        <w:rPr>
          <w:lang w:val="en-AU"/>
        </w:rPr>
        <w:t>,</w:t>
      </w:r>
      <w:r w:rsidR="00336194">
        <w:rPr>
          <w:lang w:val="en-AU"/>
        </w:rPr>
        <w:t xml:space="preserve"> but is not obliged</w:t>
      </w:r>
      <w:r w:rsidR="005D0420">
        <w:rPr>
          <w:lang w:val="en-AU"/>
        </w:rPr>
        <w:t>,</w:t>
      </w:r>
      <w:r w:rsidR="00AA107B">
        <w:rPr>
          <w:lang w:val="en-AU"/>
        </w:rPr>
        <w:t xml:space="preserve"> </w:t>
      </w:r>
      <w:r w:rsidR="00336194">
        <w:rPr>
          <w:lang w:val="en-AU"/>
        </w:rPr>
        <w:t>to supply the Additional Services.</w:t>
      </w:r>
    </w:p>
    <w:p w14:paraId="715EF011" w14:textId="77777777" w:rsidR="00336194" w:rsidRDefault="00336194" w:rsidP="00EE5C30">
      <w:pPr>
        <w:pStyle w:val="ListParagraph"/>
        <w:ind w:left="1080"/>
        <w:jc w:val="both"/>
        <w:rPr>
          <w:lang w:val="en-AU"/>
        </w:rPr>
      </w:pPr>
    </w:p>
    <w:p w14:paraId="3A8EEE28" w14:textId="60EBEADA" w:rsidR="00EE1EDE" w:rsidRDefault="00EE1EDE" w:rsidP="00431D05">
      <w:pPr>
        <w:pStyle w:val="ListParagraph"/>
        <w:numPr>
          <w:ilvl w:val="0"/>
          <w:numId w:val="1"/>
        </w:numPr>
        <w:jc w:val="both"/>
        <w:rPr>
          <w:lang w:val="en-AU"/>
        </w:rPr>
      </w:pPr>
      <w:r>
        <w:rPr>
          <w:lang w:val="en-AU"/>
        </w:rPr>
        <w:t>“Agreed Services” are set out in Schedule A to the Service Agreement.</w:t>
      </w:r>
      <w:r w:rsidR="00E168B5">
        <w:rPr>
          <w:rStyle w:val="FootnoteReference"/>
          <w:lang w:val="en-AU"/>
        </w:rPr>
        <w:footnoteReference w:id="26"/>
      </w:r>
      <w:r>
        <w:rPr>
          <w:lang w:val="en-AU"/>
        </w:rPr>
        <w:t xml:space="preserve"> Clause 1.2 refers to convening and attending the AGM. The Board accepts that the Agreed Services do not include an obligation to convene and attend an EGM.</w:t>
      </w:r>
    </w:p>
    <w:p w14:paraId="504E3489" w14:textId="77777777" w:rsidR="00EE1EDE" w:rsidRDefault="00EE1EDE" w:rsidP="00EE5C30">
      <w:pPr>
        <w:pStyle w:val="ListParagraph"/>
        <w:ind w:left="1080"/>
        <w:jc w:val="both"/>
        <w:rPr>
          <w:lang w:val="en-AU"/>
        </w:rPr>
      </w:pPr>
    </w:p>
    <w:p w14:paraId="59DCE0E3" w14:textId="19E2233A" w:rsidR="00A0216A" w:rsidRDefault="00E168B5" w:rsidP="00EE5C30">
      <w:pPr>
        <w:pStyle w:val="ListParagraph"/>
        <w:numPr>
          <w:ilvl w:val="0"/>
          <w:numId w:val="1"/>
        </w:numPr>
        <w:jc w:val="both"/>
        <w:rPr>
          <w:lang w:val="en-AU"/>
        </w:rPr>
      </w:pPr>
      <w:r w:rsidRPr="00E168B5">
        <w:rPr>
          <w:lang w:val="en-AU"/>
        </w:rPr>
        <w:t>Schedule D to the S</w:t>
      </w:r>
      <w:r w:rsidRPr="00C8257A">
        <w:rPr>
          <w:lang w:val="en-AU"/>
        </w:rPr>
        <w:t>ervices Agreement sets out the “Additional Services”.</w:t>
      </w:r>
      <w:r>
        <w:rPr>
          <w:rStyle w:val="FootnoteReference"/>
          <w:lang w:val="en-AU"/>
        </w:rPr>
        <w:footnoteReference w:id="27"/>
      </w:r>
      <w:r w:rsidRPr="00E168B5">
        <w:rPr>
          <w:lang w:val="en-AU"/>
        </w:rPr>
        <w:t xml:space="preserve"> Clause</w:t>
      </w:r>
      <w:r w:rsidR="00134764">
        <w:rPr>
          <w:lang w:val="en-AU"/>
        </w:rPr>
        <w:t> </w:t>
      </w:r>
      <w:r w:rsidRPr="00C8257A">
        <w:rPr>
          <w:lang w:val="en-AU"/>
        </w:rPr>
        <w:t xml:space="preserve">3.1 relevantly provides that </w:t>
      </w:r>
      <w:r w:rsidRPr="00336194">
        <w:rPr>
          <w:lang w:val="en-AU"/>
        </w:rPr>
        <w:t xml:space="preserve">Additional Services includes </w:t>
      </w:r>
      <w:r w:rsidRPr="005C6BDF">
        <w:rPr>
          <w:lang w:val="en-AU"/>
        </w:rPr>
        <w:t>“arranging and attending at any meeting other tha</w:t>
      </w:r>
      <w:r w:rsidRPr="00A0216A">
        <w:rPr>
          <w:lang w:val="en-AU"/>
        </w:rPr>
        <w:t>n th</w:t>
      </w:r>
      <w:r w:rsidRPr="002D3CDC">
        <w:rPr>
          <w:lang w:val="en-AU"/>
        </w:rPr>
        <w:t xml:space="preserve">ose </w:t>
      </w:r>
      <w:r w:rsidRPr="00EB3E9E">
        <w:rPr>
          <w:lang w:val="en-AU"/>
        </w:rPr>
        <w:t xml:space="preserve">provided </w:t>
      </w:r>
      <w:r w:rsidRPr="00431D05">
        <w:rPr>
          <w:lang w:val="en-AU"/>
        </w:rPr>
        <w:t>as Agreed Services</w:t>
      </w:r>
      <w:r w:rsidR="00AA107B">
        <w:rPr>
          <w:lang w:val="en-AU"/>
        </w:rPr>
        <w:t>”</w:t>
      </w:r>
      <w:r w:rsidRPr="00431D05">
        <w:rPr>
          <w:lang w:val="en-AU"/>
        </w:rPr>
        <w:t>.</w:t>
      </w:r>
      <w:r w:rsidRPr="00F8771F">
        <w:rPr>
          <w:lang w:val="en-AU"/>
        </w:rPr>
        <w:t xml:space="preserve"> </w:t>
      </w:r>
      <w:r w:rsidRPr="00A1602E">
        <w:rPr>
          <w:lang w:val="en-AU"/>
        </w:rPr>
        <w:t>Clause</w:t>
      </w:r>
      <w:r w:rsidR="00134764">
        <w:rPr>
          <w:lang w:val="en-AU"/>
        </w:rPr>
        <w:t> </w:t>
      </w:r>
      <w:r w:rsidRPr="00A1602E">
        <w:rPr>
          <w:lang w:val="en-AU"/>
        </w:rPr>
        <w:t xml:space="preserve">3.2 specifically refers to disbursement costs </w:t>
      </w:r>
      <w:r w:rsidRPr="00B36B9C">
        <w:rPr>
          <w:lang w:val="en-AU"/>
        </w:rPr>
        <w:t xml:space="preserve">(that Whittles could charge) </w:t>
      </w:r>
      <w:r w:rsidRPr="00FF3D2F">
        <w:rPr>
          <w:lang w:val="en-AU"/>
        </w:rPr>
        <w:t>associated with a</w:t>
      </w:r>
      <w:r w:rsidRPr="00370F18">
        <w:rPr>
          <w:lang w:val="en-AU"/>
        </w:rPr>
        <w:t>rranging and attending an extraordinary meeting.</w:t>
      </w:r>
      <w:r>
        <w:rPr>
          <w:rStyle w:val="FootnoteReference"/>
          <w:lang w:val="en-AU"/>
        </w:rPr>
        <w:footnoteReference w:id="28"/>
      </w:r>
      <w:r w:rsidRPr="00E168B5">
        <w:rPr>
          <w:lang w:val="en-AU"/>
        </w:rPr>
        <w:t>Th</w:t>
      </w:r>
      <w:r w:rsidRPr="00C8257A">
        <w:rPr>
          <w:lang w:val="en-AU"/>
        </w:rPr>
        <w:t xml:space="preserve">e Board accepts that Additional </w:t>
      </w:r>
      <w:r w:rsidRPr="00336194">
        <w:rPr>
          <w:lang w:val="en-AU"/>
        </w:rPr>
        <w:t>Servi</w:t>
      </w:r>
      <w:r w:rsidRPr="005C6BDF">
        <w:rPr>
          <w:lang w:val="en-AU"/>
        </w:rPr>
        <w:t>ces would</w:t>
      </w:r>
      <w:r w:rsidRPr="00A0216A">
        <w:rPr>
          <w:lang w:val="en-AU"/>
        </w:rPr>
        <w:t xml:space="preserve"> include </w:t>
      </w:r>
      <w:r w:rsidRPr="005A304D">
        <w:rPr>
          <w:lang w:val="en-AU"/>
        </w:rPr>
        <w:t>arranging</w:t>
      </w:r>
      <w:r w:rsidRPr="002D3CDC">
        <w:rPr>
          <w:lang w:val="en-AU"/>
        </w:rPr>
        <w:t xml:space="preserve"> </w:t>
      </w:r>
      <w:r w:rsidRPr="00EB3E9E">
        <w:rPr>
          <w:lang w:val="en-AU"/>
        </w:rPr>
        <w:t>an</w:t>
      </w:r>
      <w:r w:rsidRPr="00431D05">
        <w:rPr>
          <w:lang w:val="en-AU"/>
        </w:rPr>
        <w:t xml:space="preserve"> EGM. </w:t>
      </w:r>
    </w:p>
    <w:p w14:paraId="09F8FFF0" w14:textId="77777777" w:rsidR="005C6BDF" w:rsidRPr="005C6BDF" w:rsidRDefault="005C6BDF" w:rsidP="00EE5C30">
      <w:pPr>
        <w:pStyle w:val="ListParagraph"/>
        <w:ind w:left="1080"/>
        <w:jc w:val="both"/>
        <w:rPr>
          <w:lang w:val="en-AU"/>
        </w:rPr>
      </w:pPr>
    </w:p>
    <w:p w14:paraId="26D201DE" w14:textId="6909422D" w:rsidR="00E168B5" w:rsidRDefault="00A0216A" w:rsidP="00EE5C30">
      <w:pPr>
        <w:pStyle w:val="ListParagraph"/>
        <w:numPr>
          <w:ilvl w:val="0"/>
          <w:numId w:val="1"/>
        </w:numPr>
        <w:jc w:val="both"/>
        <w:rPr>
          <w:lang w:val="en-AU"/>
        </w:rPr>
      </w:pPr>
      <w:r>
        <w:rPr>
          <w:lang w:val="en-AU"/>
        </w:rPr>
        <w:t>The Board accepts that when Whittles received an ap</w:t>
      </w:r>
      <w:r w:rsidR="00DF040B">
        <w:rPr>
          <w:lang w:val="en-AU"/>
        </w:rPr>
        <w:t>plication to keep a pet at unit </w:t>
      </w:r>
      <w:r>
        <w:rPr>
          <w:lang w:val="en-AU"/>
        </w:rPr>
        <w:t xml:space="preserve">2, Whittles was not obliged by the terms of the Service Agreement to arrange or attend an EGM. </w:t>
      </w:r>
    </w:p>
    <w:p w14:paraId="5E8114A6" w14:textId="18C812BE" w:rsidR="000C00AC" w:rsidRDefault="000C00AC" w:rsidP="00EE5C30">
      <w:pPr>
        <w:jc w:val="both"/>
        <w:rPr>
          <w:lang w:val="en-AU"/>
        </w:rPr>
      </w:pPr>
    </w:p>
    <w:p w14:paraId="4E83D1D9" w14:textId="597E617B" w:rsidR="000C00AC" w:rsidRPr="005E4F06" w:rsidRDefault="000C00AC" w:rsidP="00EE5C30">
      <w:pPr>
        <w:ind w:left="720"/>
        <w:jc w:val="both"/>
        <w:rPr>
          <w:b/>
          <w:bCs/>
          <w:lang w:val="en-AU"/>
        </w:rPr>
      </w:pPr>
      <w:r w:rsidRPr="005E4F06">
        <w:rPr>
          <w:b/>
          <w:bCs/>
          <w:lang w:val="en-AU"/>
        </w:rPr>
        <w:t>Particular</w:t>
      </w:r>
      <w:r w:rsidR="00AF2B43" w:rsidRPr="005E4F06">
        <w:rPr>
          <w:b/>
          <w:bCs/>
          <w:lang w:val="en-AU"/>
        </w:rPr>
        <w:t>s</w:t>
      </w:r>
      <w:r w:rsidR="00CF78B0">
        <w:rPr>
          <w:b/>
          <w:bCs/>
          <w:lang w:val="en-AU"/>
        </w:rPr>
        <w:t xml:space="preserve"> </w:t>
      </w:r>
      <w:r w:rsidRPr="005E4F06">
        <w:rPr>
          <w:b/>
          <w:bCs/>
          <w:lang w:val="en-AU"/>
        </w:rPr>
        <w:t>a &amp; b</w:t>
      </w:r>
    </w:p>
    <w:p w14:paraId="1350C8D9" w14:textId="77777777" w:rsidR="005A304D" w:rsidRDefault="005A304D" w:rsidP="00EE5C30">
      <w:pPr>
        <w:pStyle w:val="ListParagraph"/>
        <w:ind w:left="1080"/>
        <w:jc w:val="both"/>
        <w:rPr>
          <w:lang w:val="en-AU"/>
        </w:rPr>
      </w:pPr>
    </w:p>
    <w:p w14:paraId="7D98A489" w14:textId="2AC2D601" w:rsidR="00F2345D" w:rsidRDefault="00A0216A" w:rsidP="00EE5C30">
      <w:pPr>
        <w:pStyle w:val="ListParagraph"/>
        <w:numPr>
          <w:ilvl w:val="0"/>
          <w:numId w:val="1"/>
        </w:numPr>
        <w:jc w:val="both"/>
        <w:rPr>
          <w:lang w:val="en-AU"/>
        </w:rPr>
      </w:pPr>
      <w:r>
        <w:rPr>
          <w:lang w:val="en-AU"/>
        </w:rPr>
        <w:t xml:space="preserve">However, </w:t>
      </w:r>
      <w:r w:rsidR="005A304D">
        <w:rPr>
          <w:lang w:val="en-AU"/>
        </w:rPr>
        <w:t>Ms Maher’s email dated 25 January 2018, in which she stated that the owners of Unit 2 and 3 have already approved the pet application and “as they have majority UEV the application has technically been approved by the Body Corporate” constituted a clear attempt to avoid the point of Article 2 (4)(f) of Sch.</w:t>
      </w:r>
      <w:r w:rsidR="00DF040B">
        <w:rPr>
          <w:lang w:val="en-AU"/>
        </w:rPr>
        <w:t> </w:t>
      </w:r>
      <w:r w:rsidR="005A304D">
        <w:rPr>
          <w:lang w:val="en-AU"/>
        </w:rPr>
        <w:t>1 of the UTA, namely that permission to keep a pet only occur by majority resolution of the corporation. The terms of the email in no way contemplated a majority resolution occurring</w:t>
      </w:r>
      <w:r w:rsidR="00A56DF4">
        <w:rPr>
          <w:lang w:val="en-AU"/>
        </w:rPr>
        <w:t>, but</w:t>
      </w:r>
      <w:r w:rsidR="005A304D">
        <w:rPr>
          <w:lang w:val="en-AU"/>
        </w:rPr>
        <w:t xml:space="preserve"> </w:t>
      </w:r>
      <w:r w:rsidR="00A56DF4">
        <w:rPr>
          <w:lang w:val="en-AU"/>
        </w:rPr>
        <w:t xml:space="preserve">instead </w:t>
      </w:r>
      <w:r w:rsidR="00EB3E9E">
        <w:rPr>
          <w:lang w:val="en-AU"/>
        </w:rPr>
        <w:t>constituted</w:t>
      </w:r>
      <w:r w:rsidR="00A56DF4">
        <w:rPr>
          <w:lang w:val="en-AU"/>
        </w:rPr>
        <w:t xml:space="preserve"> a decision not to offer an </w:t>
      </w:r>
      <w:r w:rsidR="00CF1D95">
        <w:rPr>
          <w:lang w:val="en-AU"/>
        </w:rPr>
        <w:t>EGM</w:t>
      </w:r>
      <w:r w:rsidR="00A56DF4">
        <w:rPr>
          <w:lang w:val="en-AU"/>
        </w:rPr>
        <w:t xml:space="preserve"> at all.</w:t>
      </w:r>
      <w:r w:rsidR="005A304D">
        <w:rPr>
          <w:lang w:val="en-AU"/>
        </w:rPr>
        <w:t xml:space="preserve"> Whittles, through their counsel, have admitted that Ms Maher’</w:t>
      </w:r>
      <w:r w:rsidR="00CF1D95">
        <w:rPr>
          <w:lang w:val="en-AU"/>
        </w:rPr>
        <w:t xml:space="preserve">s email </w:t>
      </w:r>
      <w:r w:rsidR="00A56DF4">
        <w:rPr>
          <w:lang w:val="en-AU"/>
        </w:rPr>
        <w:t>was in error and</w:t>
      </w:r>
      <w:r w:rsidR="00EB3E9E">
        <w:rPr>
          <w:lang w:val="en-AU"/>
        </w:rPr>
        <w:t xml:space="preserve"> furthermore </w:t>
      </w:r>
      <w:r w:rsidR="008D7441">
        <w:rPr>
          <w:lang w:val="en-AU"/>
        </w:rPr>
        <w:t xml:space="preserve">that this </w:t>
      </w:r>
      <w:r w:rsidR="00EB3E9E">
        <w:rPr>
          <w:lang w:val="en-AU"/>
        </w:rPr>
        <w:t xml:space="preserve">meant that </w:t>
      </w:r>
      <w:r w:rsidR="00CF1D95">
        <w:rPr>
          <w:lang w:val="en-AU"/>
        </w:rPr>
        <w:t>Whittles exceeded their authority under the Services Agreement</w:t>
      </w:r>
      <w:r w:rsidR="00A56DF4">
        <w:rPr>
          <w:lang w:val="en-AU"/>
        </w:rPr>
        <w:t xml:space="preserve">. </w:t>
      </w:r>
      <w:r w:rsidR="00CF1D95">
        <w:rPr>
          <w:lang w:val="en-AU"/>
        </w:rPr>
        <w:t xml:space="preserve">By this it is understood by the Board that Whittles had no power under the Services Agreement to engage in </w:t>
      </w:r>
      <w:r w:rsidR="004822B0">
        <w:rPr>
          <w:lang w:val="en-AU"/>
        </w:rPr>
        <w:t>such an</w:t>
      </w:r>
      <w:r w:rsidR="00CF1D95">
        <w:rPr>
          <w:lang w:val="en-AU"/>
        </w:rPr>
        <w:t xml:space="preserve"> action. </w:t>
      </w:r>
      <w:r w:rsidR="002D3CDC">
        <w:rPr>
          <w:lang w:val="en-AU"/>
        </w:rPr>
        <w:t>Hence, as counsel for Whittles has stated,</w:t>
      </w:r>
      <w:r w:rsidR="002D3CDC">
        <w:rPr>
          <w:rStyle w:val="FootnoteReference"/>
          <w:lang w:val="en-AU"/>
        </w:rPr>
        <w:footnoteReference w:id="29"/>
      </w:r>
      <w:r w:rsidR="000C00AC">
        <w:rPr>
          <w:lang w:val="en-AU"/>
        </w:rPr>
        <w:t xml:space="preserve"> </w:t>
      </w:r>
      <w:r w:rsidR="002D3CDC">
        <w:rPr>
          <w:lang w:val="en-AU"/>
        </w:rPr>
        <w:t>Whittles failed to perform it</w:t>
      </w:r>
      <w:r w:rsidR="00AA107B">
        <w:rPr>
          <w:lang w:val="en-AU"/>
        </w:rPr>
        <w:t>s</w:t>
      </w:r>
      <w:r w:rsidR="002D3CDC">
        <w:rPr>
          <w:lang w:val="en-AU"/>
        </w:rPr>
        <w:t xml:space="preserve"> duties </w:t>
      </w:r>
      <w:r w:rsidR="00D067BA">
        <w:rPr>
          <w:lang w:val="en-AU"/>
        </w:rPr>
        <w:t xml:space="preserve">to its </w:t>
      </w:r>
      <w:r w:rsidR="002D3CDC">
        <w:rPr>
          <w:lang w:val="en-AU"/>
        </w:rPr>
        <w:t xml:space="preserve">principal and to exercise due skill, care or </w:t>
      </w:r>
      <w:r w:rsidR="004822B0">
        <w:rPr>
          <w:lang w:val="en-AU"/>
        </w:rPr>
        <w:t>diligence, in</w:t>
      </w:r>
      <w:r w:rsidR="002D3CDC">
        <w:rPr>
          <w:lang w:val="en-AU"/>
        </w:rPr>
        <w:t xml:space="preserve"> breach of </w:t>
      </w:r>
      <w:r w:rsidR="002D3CDC">
        <w:rPr>
          <w:lang w:val="en-AU"/>
        </w:rPr>
        <w:lastRenderedPageBreak/>
        <w:t>s</w:t>
      </w:r>
      <w:r w:rsidR="00DF040B">
        <w:rPr>
          <w:lang w:val="en-AU"/>
        </w:rPr>
        <w:t>ection </w:t>
      </w:r>
      <w:r w:rsidR="002D3CDC">
        <w:rPr>
          <w:lang w:val="en-AU"/>
        </w:rPr>
        <w:t>65(1)(</w:t>
      </w:r>
      <w:r w:rsidR="00666216">
        <w:rPr>
          <w:lang w:val="en-AU"/>
        </w:rPr>
        <w:t>c)</w:t>
      </w:r>
      <w:r w:rsidR="002D3CDC">
        <w:rPr>
          <w:lang w:val="en-AU"/>
        </w:rPr>
        <w:t xml:space="preserve"> </w:t>
      </w:r>
      <w:r w:rsidR="00DF040B">
        <w:rPr>
          <w:lang w:val="en-AU"/>
        </w:rPr>
        <w:t xml:space="preserve">and (d) of the </w:t>
      </w:r>
      <w:r w:rsidR="002D3CDC">
        <w:rPr>
          <w:lang w:val="en-AU"/>
        </w:rPr>
        <w:t xml:space="preserve">Act. </w:t>
      </w:r>
      <w:r w:rsidR="000C00AC">
        <w:rPr>
          <w:lang w:val="en-AU"/>
        </w:rPr>
        <w:t>This</w:t>
      </w:r>
      <w:r w:rsidR="00D067BA">
        <w:rPr>
          <w:lang w:val="en-AU"/>
        </w:rPr>
        <w:t xml:space="preserve"> finding</w:t>
      </w:r>
      <w:r w:rsidR="000C00AC">
        <w:rPr>
          <w:lang w:val="en-AU"/>
        </w:rPr>
        <w:t xml:space="preserve"> deals </w:t>
      </w:r>
      <w:r w:rsidR="00D067BA">
        <w:rPr>
          <w:lang w:val="en-AU"/>
        </w:rPr>
        <w:t xml:space="preserve">directly </w:t>
      </w:r>
      <w:r w:rsidR="000C00AC">
        <w:rPr>
          <w:lang w:val="en-AU"/>
        </w:rPr>
        <w:t xml:space="preserve">with particular (a) </w:t>
      </w:r>
      <w:r w:rsidR="00F2345D">
        <w:rPr>
          <w:lang w:val="en-AU"/>
        </w:rPr>
        <w:t xml:space="preserve">&amp; (b) </w:t>
      </w:r>
      <w:r w:rsidR="000C00AC">
        <w:rPr>
          <w:lang w:val="en-AU"/>
        </w:rPr>
        <w:t>of Allegation 1</w:t>
      </w:r>
      <w:r w:rsidR="00D067BA">
        <w:rPr>
          <w:lang w:val="en-AU"/>
        </w:rPr>
        <w:t xml:space="preserve">. </w:t>
      </w:r>
      <w:r w:rsidR="00F2345D">
        <w:rPr>
          <w:lang w:val="en-AU"/>
        </w:rPr>
        <w:t xml:space="preserve"> It is this conduct that constitutes the breach of Allegation 1</w:t>
      </w:r>
      <w:r w:rsidR="00DF040B">
        <w:rPr>
          <w:lang w:val="en-AU"/>
        </w:rPr>
        <w:t>.</w:t>
      </w:r>
    </w:p>
    <w:p w14:paraId="1A21D3A8" w14:textId="77777777" w:rsidR="00F2345D" w:rsidRDefault="00F2345D" w:rsidP="00EE5C30">
      <w:pPr>
        <w:pStyle w:val="ListParagraph"/>
        <w:ind w:left="1080"/>
        <w:jc w:val="both"/>
        <w:rPr>
          <w:lang w:val="en-AU"/>
        </w:rPr>
      </w:pPr>
    </w:p>
    <w:p w14:paraId="240268D2" w14:textId="77777777" w:rsidR="00F2345D" w:rsidRPr="005E4F06" w:rsidRDefault="00F2345D" w:rsidP="00EE5C30">
      <w:pPr>
        <w:ind w:firstLine="720"/>
        <w:jc w:val="both"/>
        <w:rPr>
          <w:b/>
          <w:bCs/>
          <w:lang w:val="en-AU"/>
        </w:rPr>
      </w:pPr>
      <w:r w:rsidRPr="005E4F06">
        <w:rPr>
          <w:b/>
          <w:bCs/>
          <w:lang w:val="en-AU"/>
        </w:rPr>
        <w:t>Particulars c &amp; d</w:t>
      </w:r>
    </w:p>
    <w:p w14:paraId="7E9C37AF" w14:textId="77777777" w:rsidR="00CF1D95" w:rsidRPr="00CF1D95" w:rsidRDefault="00CF1D95" w:rsidP="00EE5C30">
      <w:pPr>
        <w:pStyle w:val="ListParagraph"/>
        <w:jc w:val="both"/>
        <w:rPr>
          <w:lang w:val="en-AU"/>
        </w:rPr>
      </w:pPr>
    </w:p>
    <w:p w14:paraId="252B5AE5" w14:textId="63BDA65C" w:rsidR="00A0216A" w:rsidRDefault="00A56DF4" w:rsidP="00EE5C30">
      <w:pPr>
        <w:pStyle w:val="ListParagraph"/>
        <w:numPr>
          <w:ilvl w:val="0"/>
          <w:numId w:val="1"/>
        </w:numPr>
        <w:jc w:val="both"/>
        <w:rPr>
          <w:lang w:val="en-AU"/>
        </w:rPr>
      </w:pPr>
      <w:r>
        <w:rPr>
          <w:lang w:val="en-AU"/>
        </w:rPr>
        <w:t>Whittles</w:t>
      </w:r>
      <w:r w:rsidR="00F2345D">
        <w:rPr>
          <w:lang w:val="en-AU"/>
        </w:rPr>
        <w:t>’</w:t>
      </w:r>
      <w:r>
        <w:rPr>
          <w:lang w:val="en-AU"/>
        </w:rPr>
        <w:t xml:space="preserve"> subsequent activities in </w:t>
      </w:r>
      <w:r w:rsidR="00CF1D95">
        <w:rPr>
          <w:lang w:val="en-AU"/>
        </w:rPr>
        <w:t xml:space="preserve">proceeding down the path to organising an EGM </w:t>
      </w:r>
      <w:r w:rsidR="00F2345D">
        <w:rPr>
          <w:lang w:val="en-AU"/>
        </w:rPr>
        <w:t>occurred after pressure had been brought to bear upon them. Nevertheless, this does no</w:t>
      </w:r>
      <w:r w:rsidR="00F8771F">
        <w:rPr>
          <w:lang w:val="en-AU"/>
        </w:rPr>
        <w:t>t of itself constitute</w:t>
      </w:r>
      <w:r w:rsidR="00F2345D">
        <w:rPr>
          <w:lang w:val="en-AU"/>
        </w:rPr>
        <w:t xml:space="preserve"> a further breach of their obligations to the principal. </w:t>
      </w:r>
      <w:r w:rsidR="00BC677A">
        <w:rPr>
          <w:lang w:val="en-AU"/>
        </w:rPr>
        <w:t xml:space="preserve">Particular (d) </w:t>
      </w:r>
      <w:r w:rsidR="00F8771F">
        <w:rPr>
          <w:lang w:val="en-AU"/>
        </w:rPr>
        <w:t xml:space="preserve">in fact </w:t>
      </w:r>
      <w:r w:rsidR="00BC677A">
        <w:rPr>
          <w:lang w:val="en-AU"/>
        </w:rPr>
        <w:t xml:space="preserve">does not specify </w:t>
      </w:r>
      <w:r w:rsidR="00E401A6">
        <w:rPr>
          <w:lang w:val="en-AU"/>
        </w:rPr>
        <w:t xml:space="preserve">further conduct constituting a </w:t>
      </w:r>
      <w:r w:rsidR="00BC677A">
        <w:rPr>
          <w:lang w:val="en-AU"/>
        </w:rPr>
        <w:t xml:space="preserve">breach but merely is descriptive of what occurred, namely </w:t>
      </w:r>
      <w:r w:rsidR="00F2345D">
        <w:rPr>
          <w:lang w:val="en-AU"/>
        </w:rPr>
        <w:t>that an EGM was calle</w:t>
      </w:r>
      <w:r w:rsidR="00BC677A">
        <w:rPr>
          <w:lang w:val="en-AU"/>
        </w:rPr>
        <w:t xml:space="preserve">d and the reason why. </w:t>
      </w:r>
      <w:r w:rsidR="00F2345D">
        <w:rPr>
          <w:lang w:val="en-AU"/>
        </w:rPr>
        <w:t xml:space="preserve"> As to an argument of lateness</w:t>
      </w:r>
      <w:r w:rsidR="00BC677A">
        <w:rPr>
          <w:lang w:val="en-AU"/>
        </w:rPr>
        <w:t xml:space="preserve"> (particular c)</w:t>
      </w:r>
      <w:r w:rsidR="00CF78B0">
        <w:rPr>
          <w:lang w:val="en-AU"/>
        </w:rPr>
        <w:t xml:space="preserve">, </w:t>
      </w:r>
      <w:r w:rsidR="00983DD1">
        <w:rPr>
          <w:lang w:val="en-AU"/>
        </w:rPr>
        <w:t xml:space="preserve">proof of this is rather nebulous; </w:t>
      </w:r>
      <w:r w:rsidR="00F2345D">
        <w:rPr>
          <w:lang w:val="en-AU"/>
        </w:rPr>
        <w:t xml:space="preserve">a further </w:t>
      </w:r>
      <w:r w:rsidR="00983DD1">
        <w:rPr>
          <w:lang w:val="en-AU"/>
        </w:rPr>
        <w:t>factor</w:t>
      </w:r>
      <w:r w:rsidR="00F2345D">
        <w:rPr>
          <w:lang w:val="en-AU"/>
        </w:rPr>
        <w:t xml:space="preserve"> is that the complainants sought that the EGM be adjourned</w:t>
      </w:r>
      <w:r w:rsidR="00BC677A">
        <w:rPr>
          <w:lang w:val="en-AU"/>
        </w:rPr>
        <w:t xml:space="preserve">, </w:t>
      </w:r>
      <w:r w:rsidR="00983DD1">
        <w:rPr>
          <w:lang w:val="en-AU"/>
        </w:rPr>
        <w:t>(</w:t>
      </w:r>
      <w:r w:rsidR="00BC677A">
        <w:rPr>
          <w:lang w:val="en-AU"/>
        </w:rPr>
        <w:t>which did not occur</w:t>
      </w:r>
      <w:r w:rsidR="00983DD1">
        <w:rPr>
          <w:lang w:val="en-AU"/>
        </w:rPr>
        <w:t>)</w:t>
      </w:r>
      <w:r w:rsidR="00BC677A">
        <w:rPr>
          <w:lang w:val="en-AU"/>
        </w:rPr>
        <w:t>. Whilst greater timelines</w:t>
      </w:r>
      <w:r w:rsidR="00E401A6">
        <w:rPr>
          <w:lang w:val="en-AU"/>
        </w:rPr>
        <w:t>s</w:t>
      </w:r>
      <w:r w:rsidR="00BC677A">
        <w:rPr>
          <w:lang w:val="en-AU"/>
        </w:rPr>
        <w:t xml:space="preserve"> was desirable</w:t>
      </w:r>
      <w:r w:rsidR="00E401A6">
        <w:rPr>
          <w:lang w:val="en-AU"/>
        </w:rPr>
        <w:t xml:space="preserve">, the evidence is not </w:t>
      </w:r>
      <w:r w:rsidR="005D3BE7">
        <w:rPr>
          <w:lang w:val="en-AU"/>
        </w:rPr>
        <w:t xml:space="preserve">such as to demonstrate </w:t>
      </w:r>
      <w:r w:rsidR="00BC677A">
        <w:rPr>
          <w:lang w:val="en-AU"/>
        </w:rPr>
        <w:t xml:space="preserve">a breach of </w:t>
      </w:r>
      <w:r w:rsidR="005D3BE7">
        <w:rPr>
          <w:lang w:val="en-AU"/>
        </w:rPr>
        <w:t>the agent</w:t>
      </w:r>
      <w:r w:rsidR="00F8771F">
        <w:rPr>
          <w:lang w:val="en-AU"/>
        </w:rPr>
        <w:t>’s</w:t>
      </w:r>
      <w:r w:rsidR="005D3BE7">
        <w:rPr>
          <w:lang w:val="en-AU"/>
        </w:rPr>
        <w:t xml:space="preserve"> duties in the particular circumstances of this case.</w:t>
      </w:r>
    </w:p>
    <w:p w14:paraId="66E3AD1E" w14:textId="1A566BBB" w:rsidR="00BC677A" w:rsidRDefault="00BC677A" w:rsidP="00BC677A">
      <w:pPr>
        <w:ind w:left="720"/>
        <w:rPr>
          <w:lang w:val="en-AU"/>
        </w:rPr>
      </w:pPr>
    </w:p>
    <w:p w14:paraId="006FB6AF" w14:textId="5F7EE7D7" w:rsidR="00BC677A" w:rsidRDefault="00BC677A" w:rsidP="00BC677A">
      <w:pPr>
        <w:ind w:left="720"/>
        <w:rPr>
          <w:lang w:val="en-AU"/>
        </w:rPr>
      </w:pPr>
      <w:r w:rsidRPr="005E4F06">
        <w:rPr>
          <w:b/>
          <w:bCs/>
          <w:lang w:val="en-AU"/>
        </w:rPr>
        <w:t>Particulars e &amp;</w:t>
      </w:r>
      <w:r>
        <w:rPr>
          <w:lang w:val="en-AU"/>
        </w:rPr>
        <w:t xml:space="preserve"> </w:t>
      </w:r>
      <w:r w:rsidRPr="00D829CB">
        <w:rPr>
          <w:b/>
          <w:lang w:val="en-AU"/>
        </w:rPr>
        <w:t>f</w:t>
      </w:r>
    </w:p>
    <w:p w14:paraId="22911CCB" w14:textId="340A4AA0" w:rsidR="00D81EB9" w:rsidRDefault="00D81EB9" w:rsidP="00BC677A">
      <w:pPr>
        <w:ind w:left="720"/>
        <w:rPr>
          <w:lang w:val="en-AU"/>
        </w:rPr>
      </w:pPr>
    </w:p>
    <w:p w14:paraId="08026BE2" w14:textId="1AEA55A1" w:rsidR="00850966" w:rsidRPr="00850966" w:rsidRDefault="00D81EB9" w:rsidP="00306F5B">
      <w:pPr>
        <w:pStyle w:val="ListParagraph"/>
        <w:numPr>
          <w:ilvl w:val="0"/>
          <w:numId w:val="1"/>
        </w:numPr>
        <w:jc w:val="both"/>
        <w:rPr>
          <w:lang w:val="en-AU"/>
        </w:rPr>
      </w:pPr>
      <w:r w:rsidRPr="00850966">
        <w:rPr>
          <w:lang w:val="en-AU"/>
        </w:rPr>
        <w:t>Dealing firstly with Part</w:t>
      </w:r>
      <w:r w:rsidRPr="003264A9">
        <w:rPr>
          <w:lang w:val="en-AU"/>
        </w:rPr>
        <w:t xml:space="preserve">icular </w:t>
      </w:r>
      <w:r w:rsidR="00F8771F" w:rsidRPr="003264A9">
        <w:rPr>
          <w:lang w:val="en-AU"/>
        </w:rPr>
        <w:t>(</w:t>
      </w:r>
      <w:r w:rsidRPr="003264A9">
        <w:rPr>
          <w:lang w:val="en-AU"/>
        </w:rPr>
        <w:t>f</w:t>
      </w:r>
      <w:r w:rsidR="00F8771F" w:rsidRPr="003264A9">
        <w:rPr>
          <w:lang w:val="en-AU"/>
        </w:rPr>
        <w:t>)</w:t>
      </w:r>
      <w:r w:rsidRPr="003264A9">
        <w:rPr>
          <w:lang w:val="en-AU"/>
        </w:rPr>
        <w:t xml:space="preserve">, Whittles did not have an obligation under the </w:t>
      </w:r>
      <w:r w:rsidRPr="00850966">
        <w:rPr>
          <w:lang w:val="en-AU"/>
        </w:rPr>
        <w:t>Services Agreement (or otherwise) to maintain a</w:t>
      </w:r>
      <w:r w:rsidR="0043215C" w:rsidRPr="00850966">
        <w:rPr>
          <w:lang w:val="en-AU"/>
        </w:rPr>
        <w:t>n</w:t>
      </w:r>
      <w:r w:rsidRPr="00850966">
        <w:rPr>
          <w:lang w:val="en-AU"/>
        </w:rPr>
        <w:t xml:space="preserve"> online members’ portal as part of its duties to </w:t>
      </w:r>
      <w:r w:rsidR="0043215C" w:rsidRPr="00850966">
        <w:rPr>
          <w:lang w:val="en-AU"/>
        </w:rPr>
        <w:t xml:space="preserve">the </w:t>
      </w:r>
      <w:r w:rsidRPr="00850966">
        <w:rPr>
          <w:lang w:val="en-AU"/>
        </w:rPr>
        <w:t>Corporation. Hence, removal</w:t>
      </w:r>
      <w:r w:rsidR="0043215C" w:rsidRPr="00850966">
        <w:rPr>
          <w:lang w:val="en-AU"/>
        </w:rPr>
        <w:t xml:space="preserve">, </w:t>
      </w:r>
      <w:r w:rsidRPr="00850966">
        <w:rPr>
          <w:lang w:val="en-AU"/>
        </w:rPr>
        <w:t>if it occurred</w:t>
      </w:r>
      <w:r w:rsidR="0043215C" w:rsidRPr="00850966">
        <w:rPr>
          <w:lang w:val="en-AU"/>
        </w:rPr>
        <w:t>, (the Board makes no finding in this particular regard)</w:t>
      </w:r>
      <w:r w:rsidRPr="00850966">
        <w:rPr>
          <w:lang w:val="en-AU"/>
        </w:rPr>
        <w:t xml:space="preserve"> could not constitute a breach of </w:t>
      </w:r>
      <w:r w:rsidR="0043215C" w:rsidRPr="00850966">
        <w:rPr>
          <w:lang w:val="en-AU"/>
        </w:rPr>
        <w:t xml:space="preserve">Whittles’ </w:t>
      </w:r>
      <w:r w:rsidRPr="00850966">
        <w:rPr>
          <w:lang w:val="en-AU"/>
        </w:rPr>
        <w:t>dut</w:t>
      </w:r>
      <w:r w:rsidR="00850966" w:rsidRPr="00850966">
        <w:rPr>
          <w:lang w:val="en-AU"/>
        </w:rPr>
        <w:t>y.</w:t>
      </w:r>
    </w:p>
    <w:p w14:paraId="0CC388D8" w14:textId="446572C0" w:rsidR="00850966" w:rsidRDefault="00850966" w:rsidP="00306F5B">
      <w:pPr>
        <w:jc w:val="both"/>
        <w:rPr>
          <w:lang w:val="en-AU"/>
        </w:rPr>
      </w:pPr>
    </w:p>
    <w:p w14:paraId="42051DF5" w14:textId="25E276C2" w:rsidR="00356373" w:rsidRDefault="003264A9" w:rsidP="003264A9">
      <w:pPr>
        <w:pStyle w:val="ListParagraph"/>
        <w:numPr>
          <w:ilvl w:val="0"/>
          <w:numId w:val="1"/>
        </w:numPr>
        <w:jc w:val="both"/>
        <w:rPr>
          <w:lang w:val="en-AU"/>
        </w:rPr>
      </w:pPr>
      <w:r>
        <w:rPr>
          <w:lang w:val="en-AU"/>
        </w:rPr>
        <w:t xml:space="preserve"> </w:t>
      </w:r>
      <w:r w:rsidR="00DF040B">
        <w:rPr>
          <w:lang w:val="en-AU"/>
        </w:rPr>
        <w:t>Particular (</w:t>
      </w:r>
      <w:r w:rsidR="00F8771F" w:rsidRPr="00370F18">
        <w:rPr>
          <w:lang w:val="en-AU"/>
        </w:rPr>
        <w:t xml:space="preserve">e) alleges a failure to supply </w:t>
      </w:r>
      <w:r w:rsidR="001702F6" w:rsidRPr="00370F18">
        <w:rPr>
          <w:lang w:val="en-AU"/>
        </w:rPr>
        <w:t>the lease agreement for unit 3</w:t>
      </w:r>
      <w:r w:rsidR="00370F18">
        <w:rPr>
          <w:rStyle w:val="FootnoteReference"/>
          <w:lang w:val="en-AU"/>
        </w:rPr>
        <w:footnoteReference w:id="30"/>
      </w:r>
      <w:r w:rsidR="001702F6" w:rsidRPr="00370F18">
        <w:rPr>
          <w:lang w:val="en-AU"/>
        </w:rPr>
        <w:t xml:space="preserve"> and a copy of the pet application- either at all, or alternatively not in a timely fashion. </w:t>
      </w:r>
      <w:r w:rsidR="00370F18">
        <w:rPr>
          <w:lang w:val="en-AU"/>
        </w:rPr>
        <w:t xml:space="preserve">Regarding the lease, an undated email from Ms Roberts </w:t>
      </w:r>
      <w:r w:rsidR="00370F18">
        <w:rPr>
          <w:rStyle w:val="FootnoteReference"/>
          <w:lang w:val="en-AU"/>
        </w:rPr>
        <w:footnoteReference w:id="31"/>
      </w:r>
      <w:r w:rsidR="00370F18">
        <w:rPr>
          <w:lang w:val="en-AU"/>
        </w:rPr>
        <w:t xml:space="preserve">refers to </w:t>
      </w:r>
      <w:r w:rsidR="00C05880">
        <w:rPr>
          <w:lang w:val="en-AU"/>
        </w:rPr>
        <w:t>an extract of the</w:t>
      </w:r>
      <w:r w:rsidR="00370F18">
        <w:rPr>
          <w:lang w:val="en-AU"/>
        </w:rPr>
        <w:t xml:space="preserve"> lease being supplied- at least in relation to pets. </w:t>
      </w:r>
      <w:r w:rsidR="00370F18">
        <w:rPr>
          <w:rStyle w:val="FootnoteReference"/>
          <w:lang w:val="en-AU"/>
        </w:rPr>
        <w:footnoteReference w:id="32"/>
      </w:r>
      <w:r w:rsidR="00370F18">
        <w:rPr>
          <w:lang w:val="en-AU"/>
        </w:rPr>
        <w:t xml:space="preserve">  This appears to replicate an email from Ms Roberts to the complainants, dated 16 March, which is</w:t>
      </w:r>
      <w:r w:rsidR="004F697E">
        <w:rPr>
          <w:lang w:val="en-AU"/>
        </w:rPr>
        <w:t xml:space="preserve"> in exhibit </w:t>
      </w:r>
      <w:r w:rsidR="00370F18">
        <w:rPr>
          <w:lang w:val="en-AU"/>
        </w:rPr>
        <w:t>4. This rebuts any argument that it was not supplied</w:t>
      </w:r>
      <w:r w:rsidR="006D3DA5">
        <w:rPr>
          <w:lang w:val="en-AU"/>
        </w:rPr>
        <w:t xml:space="preserve"> </w:t>
      </w:r>
      <w:r w:rsidR="00370F18">
        <w:rPr>
          <w:lang w:val="en-AU"/>
        </w:rPr>
        <w:t xml:space="preserve">by Whittles </w:t>
      </w:r>
      <w:r w:rsidR="008D7441">
        <w:rPr>
          <w:lang w:val="en-AU"/>
        </w:rPr>
        <w:t>-</w:t>
      </w:r>
      <w:r w:rsidR="00370F18">
        <w:rPr>
          <w:lang w:val="en-AU"/>
        </w:rPr>
        <w:t xml:space="preserve">as reference is made to this by Ms Bruton </w:t>
      </w:r>
      <w:r w:rsidR="00370F18">
        <w:rPr>
          <w:rStyle w:val="FootnoteReference"/>
          <w:lang w:val="en-AU"/>
        </w:rPr>
        <w:footnoteReference w:id="33"/>
      </w:r>
      <w:r w:rsidR="00370F18">
        <w:rPr>
          <w:lang w:val="en-AU"/>
        </w:rPr>
        <w:t xml:space="preserve"> </w:t>
      </w:r>
      <w:r w:rsidR="006D3DA5">
        <w:rPr>
          <w:lang w:val="en-AU"/>
        </w:rPr>
        <w:t xml:space="preserve">on </w:t>
      </w:r>
      <w:r w:rsidR="00370F18">
        <w:rPr>
          <w:lang w:val="en-AU"/>
        </w:rPr>
        <w:t>21 March</w:t>
      </w:r>
      <w:r w:rsidR="00356373">
        <w:rPr>
          <w:lang w:val="en-AU"/>
        </w:rPr>
        <w:t xml:space="preserve">. </w:t>
      </w:r>
      <w:r w:rsidR="006D3DA5">
        <w:rPr>
          <w:lang w:val="en-AU"/>
        </w:rPr>
        <w:t xml:space="preserve"> It is not clear when </w:t>
      </w:r>
      <w:r w:rsidR="00356373">
        <w:rPr>
          <w:lang w:val="en-AU"/>
        </w:rPr>
        <w:t xml:space="preserve">exactly </w:t>
      </w:r>
      <w:r w:rsidR="006D3DA5">
        <w:rPr>
          <w:lang w:val="en-AU"/>
        </w:rPr>
        <w:t>it was first supplied</w:t>
      </w:r>
      <w:r w:rsidR="00C05880">
        <w:rPr>
          <w:lang w:val="en-AU"/>
        </w:rPr>
        <w:t>; the evidence is not suffiently clear</w:t>
      </w:r>
      <w:r w:rsidR="006D3DA5">
        <w:rPr>
          <w:lang w:val="en-AU"/>
        </w:rPr>
        <w:t xml:space="preserve"> </w:t>
      </w:r>
      <w:r w:rsidR="00C05880">
        <w:rPr>
          <w:lang w:val="en-AU"/>
        </w:rPr>
        <w:t>to prove an</w:t>
      </w:r>
      <w:r w:rsidR="006D3DA5">
        <w:rPr>
          <w:lang w:val="en-AU"/>
        </w:rPr>
        <w:t xml:space="preserve"> allegation of untimeliness</w:t>
      </w:r>
      <w:r w:rsidR="00C05880">
        <w:rPr>
          <w:lang w:val="en-AU"/>
        </w:rPr>
        <w:t>.</w:t>
      </w:r>
      <w:r w:rsidR="006D3DA5">
        <w:rPr>
          <w:lang w:val="en-AU"/>
        </w:rPr>
        <w:t xml:space="preserve"> </w:t>
      </w:r>
    </w:p>
    <w:p w14:paraId="1DFFBE71" w14:textId="77777777" w:rsidR="003264A9" w:rsidRDefault="003264A9" w:rsidP="00EE5C30">
      <w:pPr>
        <w:pStyle w:val="ListParagraph"/>
        <w:jc w:val="both"/>
        <w:rPr>
          <w:lang w:val="en-AU"/>
        </w:rPr>
      </w:pPr>
    </w:p>
    <w:p w14:paraId="33D1F7D5" w14:textId="30B40D40" w:rsidR="00370F18" w:rsidRPr="003264A9" w:rsidRDefault="006D3DA5">
      <w:pPr>
        <w:pStyle w:val="ListParagraph"/>
        <w:numPr>
          <w:ilvl w:val="0"/>
          <w:numId w:val="1"/>
        </w:numPr>
        <w:jc w:val="both"/>
        <w:rPr>
          <w:lang w:val="en-AU"/>
        </w:rPr>
      </w:pPr>
      <w:r w:rsidRPr="003264A9">
        <w:rPr>
          <w:lang w:val="en-AU"/>
        </w:rPr>
        <w:t xml:space="preserve">Regarding the </w:t>
      </w:r>
      <w:r w:rsidR="006718C7">
        <w:rPr>
          <w:lang w:val="en-AU"/>
        </w:rPr>
        <w:t xml:space="preserve">formal </w:t>
      </w:r>
      <w:r w:rsidRPr="003264A9">
        <w:rPr>
          <w:lang w:val="en-AU"/>
        </w:rPr>
        <w:t xml:space="preserve">pet </w:t>
      </w:r>
      <w:r w:rsidR="004822B0" w:rsidRPr="003264A9">
        <w:rPr>
          <w:lang w:val="en-AU"/>
        </w:rPr>
        <w:t xml:space="preserve">application, </w:t>
      </w:r>
      <w:r w:rsidR="004822B0" w:rsidRPr="006718C7">
        <w:rPr>
          <w:lang w:val="en-AU"/>
        </w:rPr>
        <w:t>emails</w:t>
      </w:r>
      <w:r w:rsidRPr="006718C7">
        <w:rPr>
          <w:lang w:val="en-AU"/>
        </w:rPr>
        <w:t xml:space="preserve"> sent by Ms </w:t>
      </w:r>
      <w:r w:rsidR="004822B0" w:rsidRPr="006718C7">
        <w:rPr>
          <w:lang w:val="en-AU"/>
        </w:rPr>
        <w:t>Cavanagh</w:t>
      </w:r>
      <w:r w:rsidRPr="006718C7">
        <w:rPr>
          <w:lang w:val="en-AU"/>
        </w:rPr>
        <w:t xml:space="preserve"> </w:t>
      </w:r>
      <w:r w:rsidR="006718C7">
        <w:rPr>
          <w:lang w:val="en-AU"/>
        </w:rPr>
        <w:t>(</w:t>
      </w:r>
      <w:r w:rsidRPr="006718C7">
        <w:rPr>
          <w:lang w:val="en-AU"/>
        </w:rPr>
        <w:t>on 8 Feb</w:t>
      </w:r>
      <w:r w:rsidR="00BF1609">
        <w:rPr>
          <w:lang w:val="en-AU"/>
        </w:rPr>
        <w:t>ruary</w:t>
      </w:r>
      <w:r w:rsidR="006718C7">
        <w:rPr>
          <w:lang w:val="en-AU"/>
        </w:rPr>
        <w:t>)</w:t>
      </w:r>
      <w:r w:rsidRPr="006718C7">
        <w:rPr>
          <w:lang w:val="en-AU"/>
        </w:rPr>
        <w:t xml:space="preserve"> and Ms Ordogh on </w:t>
      </w:r>
      <w:r w:rsidR="006718C7">
        <w:rPr>
          <w:lang w:val="en-AU"/>
        </w:rPr>
        <w:t>(</w:t>
      </w:r>
      <w:r w:rsidRPr="006718C7">
        <w:rPr>
          <w:lang w:val="en-AU"/>
        </w:rPr>
        <w:t>17</w:t>
      </w:r>
      <w:r w:rsidR="006718C7">
        <w:rPr>
          <w:lang w:val="en-AU"/>
        </w:rPr>
        <w:t xml:space="preserve"> </w:t>
      </w:r>
      <w:r w:rsidRPr="006718C7">
        <w:rPr>
          <w:lang w:val="en-AU"/>
        </w:rPr>
        <w:t>Feb</w:t>
      </w:r>
      <w:r w:rsidR="00BF1609">
        <w:rPr>
          <w:lang w:val="en-AU"/>
        </w:rPr>
        <w:t>ruary</w:t>
      </w:r>
      <w:r w:rsidR="006718C7">
        <w:rPr>
          <w:lang w:val="en-AU"/>
        </w:rPr>
        <w:t>)</w:t>
      </w:r>
      <w:r w:rsidRPr="006718C7">
        <w:rPr>
          <w:lang w:val="en-AU"/>
        </w:rPr>
        <w:t xml:space="preserve"> </w:t>
      </w:r>
      <w:r w:rsidR="006718C7">
        <w:rPr>
          <w:lang w:val="en-AU"/>
        </w:rPr>
        <w:t>-</w:t>
      </w:r>
      <w:r w:rsidRPr="006718C7">
        <w:rPr>
          <w:lang w:val="en-AU"/>
        </w:rPr>
        <w:t>to each other</w:t>
      </w:r>
      <w:r w:rsidR="006718C7">
        <w:rPr>
          <w:lang w:val="en-AU"/>
        </w:rPr>
        <w:t>-</w:t>
      </w:r>
      <w:r w:rsidRPr="006718C7">
        <w:rPr>
          <w:lang w:val="en-AU"/>
        </w:rPr>
        <w:t xml:space="preserve"> </w:t>
      </w:r>
      <w:r w:rsidR="00D00709" w:rsidRPr="006718C7">
        <w:rPr>
          <w:lang w:val="en-AU"/>
        </w:rPr>
        <w:t>refer to an absence of a formal pet application</w:t>
      </w:r>
      <w:r w:rsidR="00DE38AC">
        <w:rPr>
          <w:lang w:val="en-AU"/>
        </w:rPr>
        <w:t xml:space="preserve"> at that time</w:t>
      </w:r>
      <w:r w:rsidR="00D00709" w:rsidRPr="008D7441">
        <w:rPr>
          <w:lang w:val="en-AU"/>
        </w:rPr>
        <w:t xml:space="preserve">. </w:t>
      </w:r>
      <w:r w:rsidR="00D00709" w:rsidRPr="00DE38AC">
        <w:rPr>
          <w:lang w:val="en-AU"/>
        </w:rPr>
        <w:t xml:space="preserve">Emails from Ms Ordogh on 12 March refer to her waiting on an </w:t>
      </w:r>
      <w:r w:rsidR="00356373" w:rsidRPr="00DE38AC">
        <w:rPr>
          <w:lang w:val="en-AU"/>
        </w:rPr>
        <w:t>A</w:t>
      </w:r>
      <w:r w:rsidR="00D00709" w:rsidRPr="00DE38AC">
        <w:rPr>
          <w:lang w:val="en-AU"/>
        </w:rPr>
        <w:t xml:space="preserve">pplication to </w:t>
      </w:r>
      <w:r w:rsidR="00356373" w:rsidRPr="00DE38AC">
        <w:rPr>
          <w:lang w:val="en-AU"/>
        </w:rPr>
        <w:t>K</w:t>
      </w:r>
      <w:r w:rsidR="00D00709" w:rsidRPr="00DE38AC">
        <w:rPr>
          <w:lang w:val="en-AU"/>
        </w:rPr>
        <w:t>eep an animal. On 13 March Ms Ordo</w:t>
      </w:r>
      <w:r w:rsidR="00D00709" w:rsidRPr="003264A9">
        <w:rPr>
          <w:lang w:val="en-AU"/>
        </w:rPr>
        <w:t xml:space="preserve">gh refers to a failure by Whittles to supply a completed form that refers </w:t>
      </w:r>
      <w:r w:rsidR="004822B0" w:rsidRPr="003264A9">
        <w:rPr>
          <w:lang w:val="en-AU"/>
        </w:rPr>
        <w:t>to four</w:t>
      </w:r>
      <w:r w:rsidR="00356373" w:rsidRPr="003264A9">
        <w:rPr>
          <w:lang w:val="en-AU"/>
        </w:rPr>
        <w:t xml:space="preserve"> </w:t>
      </w:r>
      <w:r w:rsidR="00D00709" w:rsidRPr="003264A9">
        <w:rPr>
          <w:lang w:val="en-AU"/>
        </w:rPr>
        <w:t xml:space="preserve">conditions not </w:t>
      </w:r>
      <w:r w:rsidR="00356373" w:rsidRPr="003264A9">
        <w:rPr>
          <w:lang w:val="en-AU"/>
        </w:rPr>
        <w:t>three</w:t>
      </w:r>
      <w:r w:rsidR="00D00709" w:rsidRPr="003264A9">
        <w:rPr>
          <w:lang w:val="en-AU"/>
        </w:rPr>
        <w:t xml:space="preserve">. </w:t>
      </w:r>
      <w:r w:rsidR="00356373" w:rsidRPr="003264A9">
        <w:rPr>
          <w:lang w:val="en-AU"/>
        </w:rPr>
        <w:t xml:space="preserve">It is not clear what </w:t>
      </w:r>
      <w:r w:rsidR="00DE38AC">
        <w:rPr>
          <w:lang w:val="en-AU"/>
        </w:rPr>
        <w:t xml:space="preserve">exactly </w:t>
      </w:r>
      <w:r w:rsidR="00356373" w:rsidRPr="00DE38AC">
        <w:rPr>
          <w:lang w:val="en-AU"/>
        </w:rPr>
        <w:t xml:space="preserve">she is referring to. </w:t>
      </w:r>
      <w:r w:rsidR="00DE38AC">
        <w:rPr>
          <w:lang w:val="en-AU"/>
        </w:rPr>
        <w:t>It</w:t>
      </w:r>
      <w:r w:rsidR="00356373" w:rsidRPr="00DE38AC">
        <w:rPr>
          <w:lang w:val="en-AU"/>
        </w:rPr>
        <w:t xml:space="preserve"> could not be the signed Pet Application Form </w:t>
      </w:r>
      <w:r w:rsidR="00356373">
        <w:rPr>
          <w:rStyle w:val="FootnoteReference"/>
          <w:lang w:val="en-AU"/>
        </w:rPr>
        <w:footnoteReference w:id="34"/>
      </w:r>
      <w:r w:rsidR="00356373" w:rsidRPr="003264A9">
        <w:rPr>
          <w:lang w:val="en-AU"/>
        </w:rPr>
        <w:t xml:space="preserve"> as, assuming that this wa</w:t>
      </w:r>
      <w:r w:rsidR="00356373" w:rsidRPr="006718C7">
        <w:rPr>
          <w:lang w:val="en-AU"/>
        </w:rPr>
        <w:t xml:space="preserve">s dated </w:t>
      </w:r>
      <w:r w:rsidR="004822B0" w:rsidRPr="006718C7">
        <w:rPr>
          <w:lang w:val="en-AU"/>
        </w:rPr>
        <w:t>correctly, this</w:t>
      </w:r>
      <w:r w:rsidR="00356373" w:rsidRPr="006718C7">
        <w:rPr>
          <w:lang w:val="en-AU"/>
        </w:rPr>
        <w:t xml:space="preserve"> was</w:t>
      </w:r>
      <w:r w:rsidR="00C86E8E" w:rsidRPr="006718C7">
        <w:rPr>
          <w:lang w:val="en-AU"/>
        </w:rPr>
        <w:t xml:space="preserve"> provided </w:t>
      </w:r>
      <w:r w:rsidR="006718C7">
        <w:rPr>
          <w:lang w:val="en-AU"/>
        </w:rPr>
        <w:lastRenderedPageBreak/>
        <w:t>no earlier than</w:t>
      </w:r>
      <w:r w:rsidR="00C86E8E" w:rsidRPr="003264A9">
        <w:rPr>
          <w:lang w:val="en-AU"/>
        </w:rPr>
        <w:t xml:space="preserve"> </w:t>
      </w:r>
      <w:r w:rsidR="00356373" w:rsidRPr="003264A9">
        <w:rPr>
          <w:lang w:val="en-AU"/>
        </w:rPr>
        <w:t xml:space="preserve">16 March 2018. </w:t>
      </w:r>
      <w:r w:rsidR="00D00709" w:rsidRPr="003264A9">
        <w:rPr>
          <w:lang w:val="en-AU"/>
        </w:rPr>
        <w:t xml:space="preserve">An email from Ms Bruton on 14 March </w:t>
      </w:r>
      <w:r w:rsidR="00356373">
        <w:rPr>
          <w:rStyle w:val="FootnoteReference"/>
          <w:lang w:val="en-AU"/>
        </w:rPr>
        <w:footnoteReference w:id="35"/>
      </w:r>
      <w:r w:rsidR="00C86E8E" w:rsidRPr="003264A9">
        <w:rPr>
          <w:lang w:val="en-AU"/>
        </w:rPr>
        <w:t xml:space="preserve"> does not </w:t>
      </w:r>
      <w:r w:rsidR="00C86E8E" w:rsidRPr="006718C7">
        <w:rPr>
          <w:lang w:val="en-AU"/>
        </w:rPr>
        <w:t xml:space="preserve">make it clear </w:t>
      </w:r>
      <w:r w:rsidR="00D00709" w:rsidRPr="003264A9">
        <w:rPr>
          <w:lang w:val="en-AU"/>
        </w:rPr>
        <w:t>that a pet application has been supplied-</w:t>
      </w:r>
      <w:r w:rsidR="00DE38AC">
        <w:rPr>
          <w:lang w:val="en-AU"/>
        </w:rPr>
        <w:t xml:space="preserve"> at that point- indeed</w:t>
      </w:r>
      <w:r w:rsidR="00D00709" w:rsidRPr="00DE38AC">
        <w:rPr>
          <w:lang w:val="en-AU"/>
        </w:rPr>
        <w:t xml:space="preserve"> the dispute at th</w:t>
      </w:r>
      <w:r w:rsidR="00DE38AC">
        <w:rPr>
          <w:lang w:val="en-AU"/>
        </w:rPr>
        <w:t>at time,</w:t>
      </w:r>
      <w:r w:rsidR="00D00709" w:rsidRPr="00DE38AC">
        <w:rPr>
          <w:lang w:val="en-AU"/>
        </w:rPr>
        <w:t xml:space="preserve"> from Ms Odogh</w:t>
      </w:r>
      <w:r w:rsidR="00DE38AC">
        <w:rPr>
          <w:lang w:val="en-AU"/>
        </w:rPr>
        <w:t>’s perspective</w:t>
      </w:r>
      <w:r w:rsidR="00D00709" w:rsidRPr="00DE38AC">
        <w:rPr>
          <w:lang w:val="en-AU"/>
        </w:rPr>
        <w:t>, is whether</w:t>
      </w:r>
      <w:r w:rsidR="00C86E8E" w:rsidRPr="00DE38AC">
        <w:rPr>
          <w:lang w:val="en-AU"/>
        </w:rPr>
        <w:t xml:space="preserve"> any</w:t>
      </w:r>
      <w:r w:rsidR="00D00709" w:rsidRPr="003264A9">
        <w:rPr>
          <w:lang w:val="en-AU"/>
        </w:rPr>
        <w:t xml:space="preserve"> </w:t>
      </w:r>
      <w:r w:rsidR="00152B13">
        <w:rPr>
          <w:lang w:val="en-AU"/>
        </w:rPr>
        <w:t xml:space="preserve">pet </w:t>
      </w:r>
      <w:r w:rsidR="00D00709" w:rsidRPr="003264A9">
        <w:rPr>
          <w:lang w:val="en-AU"/>
        </w:rPr>
        <w:t xml:space="preserve">application is deficient in </w:t>
      </w:r>
      <w:r w:rsidR="004822B0" w:rsidRPr="003264A9">
        <w:rPr>
          <w:lang w:val="en-AU"/>
        </w:rPr>
        <w:t>failing</w:t>
      </w:r>
      <w:r w:rsidR="00D00709" w:rsidRPr="003264A9">
        <w:rPr>
          <w:lang w:val="en-AU"/>
        </w:rPr>
        <w:t xml:space="preserve"> to address a 4</w:t>
      </w:r>
      <w:r w:rsidR="00D00709" w:rsidRPr="00EE5C30">
        <w:rPr>
          <w:vertAlign w:val="superscript"/>
          <w:lang w:val="en-AU"/>
        </w:rPr>
        <w:t>th</w:t>
      </w:r>
      <w:r w:rsidR="00D00709" w:rsidRPr="003264A9">
        <w:rPr>
          <w:lang w:val="en-AU"/>
        </w:rPr>
        <w:t xml:space="preserve"> condition. </w:t>
      </w:r>
      <w:r w:rsidR="00D00709" w:rsidRPr="006718C7">
        <w:rPr>
          <w:lang w:val="en-AU"/>
        </w:rPr>
        <w:t xml:space="preserve"> </w:t>
      </w:r>
      <w:r w:rsidR="00712C58" w:rsidRPr="006718C7">
        <w:rPr>
          <w:lang w:val="en-AU"/>
        </w:rPr>
        <w:t>By 21 March, an email from Ms</w:t>
      </w:r>
      <w:r w:rsidR="00BF1609">
        <w:rPr>
          <w:lang w:val="en-AU"/>
        </w:rPr>
        <w:t> </w:t>
      </w:r>
      <w:r w:rsidR="00712C58" w:rsidRPr="006718C7">
        <w:rPr>
          <w:lang w:val="en-AU"/>
        </w:rPr>
        <w:t xml:space="preserve">Ordogh refers again to 4 </w:t>
      </w:r>
      <w:r w:rsidR="00DE38AC">
        <w:rPr>
          <w:lang w:val="en-AU"/>
        </w:rPr>
        <w:t xml:space="preserve">not 3 </w:t>
      </w:r>
      <w:r w:rsidR="00712C58" w:rsidRPr="006718C7">
        <w:rPr>
          <w:lang w:val="en-AU"/>
        </w:rPr>
        <w:t xml:space="preserve">conditions </w:t>
      </w:r>
      <w:r w:rsidR="006718C7">
        <w:rPr>
          <w:lang w:val="en-AU"/>
        </w:rPr>
        <w:t xml:space="preserve">being necessary </w:t>
      </w:r>
      <w:r w:rsidR="00712C58" w:rsidRPr="006718C7">
        <w:rPr>
          <w:lang w:val="en-AU"/>
        </w:rPr>
        <w:t xml:space="preserve">but does not state </w:t>
      </w:r>
      <w:r w:rsidR="006718C7">
        <w:rPr>
          <w:lang w:val="en-AU"/>
        </w:rPr>
        <w:t xml:space="preserve">definitively </w:t>
      </w:r>
      <w:r w:rsidR="00712C58" w:rsidRPr="006718C7">
        <w:rPr>
          <w:lang w:val="en-AU"/>
        </w:rPr>
        <w:t xml:space="preserve">that a pet application has not been received. </w:t>
      </w:r>
      <w:r w:rsidR="00DE38AC">
        <w:rPr>
          <w:lang w:val="en-AU"/>
        </w:rPr>
        <w:t xml:space="preserve">The tenor of her email </w:t>
      </w:r>
      <w:r w:rsidR="00712C58" w:rsidRPr="006718C7">
        <w:rPr>
          <w:lang w:val="en-AU"/>
        </w:rPr>
        <w:t>would</w:t>
      </w:r>
      <w:r w:rsidR="00DE38AC">
        <w:rPr>
          <w:lang w:val="en-AU"/>
        </w:rPr>
        <w:t xml:space="preserve"> suggest </w:t>
      </w:r>
      <w:r w:rsidR="006718C7">
        <w:rPr>
          <w:lang w:val="en-AU"/>
        </w:rPr>
        <w:t xml:space="preserve">that </w:t>
      </w:r>
      <w:r w:rsidR="00712C58" w:rsidRPr="006718C7">
        <w:rPr>
          <w:lang w:val="en-AU"/>
        </w:rPr>
        <w:t>it had. The question is whether this was so untimely as to constitute a breach of Whittles</w:t>
      </w:r>
      <w:r w:rsidR="00712C58" w:rsidRPr="008D7441">
        <w:rPr>
          <w:lang w:val="en-AU"/>
        </w:rPr>
        <w:t>’</w:t>
      </w:r>
      <w:r w:rsidR="00712C58" w:rsidRPr="00DE38AC">
        <w:rPr>
          <w:lang w:val="en-AU"/>
        </w:rPr>
        <w:t xml:space="preserve"> duties.</w:t>
      </w:r>
      <w:r w:rsidR="0093577C">
        <w:rPr>
          <w:lang w:val="en-AU"/>
        </w:rPr>
        <w:t xml:space="preserve"> </w:t>
      </w:r>
      <w:r w:rsidR="00712C58" w:rsidRPr="00DE38AC">
        <w:rPr>
          <w:lang w:val="en-AU"/>
        </w:rPr>
        <w:t xml:space="preserve">The evidence is </w:t>
      </w:r>
      <w:r w:rsidR="00DE38AC">
        <w:rPr>
          <w:lang w:val="en-AU"/>
        </w:rPr>
        <w:t xml:space="preserve">simply </w:t>
      </w:r>
      <w:r w:rsidR="00712C58" w:rsidRPr="00DE38AC">
        <w:rPr>
          <w:lang w:val="en-AU"/>
        </w:rPr>
        <w:t>too uncertain as to reach a concluded view in this regard.</w:t>
      </w:r>
    </w:p>
    <w:p w14:paraId="22D9ADF2" w14:textId="13F2EB11" w:rsidR="00E168B5" w:rsidRDefault="00E168B5" w:rsidP="00E168B5">
      <w:pPr>
        <w:jc w:val="both"/>
        <w:rPr>
          <w:lang w:val="en-AU"/>
        </w:rPr>
      </w:pPr>
    </w:p>
    <w:p w14:paraId="6930AFF5" w14:textId="77777777" w:rsidR="00E168B5" w:rsidRPr="00E168B5" w:rsidRDefault="00E168B5" w:rsidP="00EE5C30">
      <w:pPr>
        <w:jc w:val="both"/>
        <w:rPr>
          <w:lang w:val="en-AU"/>
        </w:rPr>
      </w:pPr>
    </w:p>
    <w:p w14:paraId="41FE3567" w14:textId="78AFB701" w:rsidR="00E37C32" w:rsidRPr="005E4F06" w:rsidRDefault="00051857" w:rsidP="00EE5C30">
      <w:pPr>
        <w:pStyle w:val="ListParagraph"/>
        <w:ind w:left="709"/>
        <w:jc w:val="both"/>
        <w:rPr>
          <w:b/>
          <w:bCs/>
          <w:lang w:val="en-AU"/>
        </w:rPr>
      </w:pPr>
      <w:r w:rsidRPr="005E4F06">
        <w:rPr>
          <w:b/>
          <w:bCs/>
          <w:lang w:val="en-AU"/>
        </w:rPr>
        <w:t xml:space="preserve">ALLEGATION </w:t>
      </w:r>
      <w:r w:rsidR="009204CE" w:rsidRPr="005E4F06">
        <w:rPr>
          <w:b/>
          <w:bCs/>
          <w:lang w:val="en-AU"/>
        </w:rPr>
        <w:t xml:space="preserve"> 2: </w:t>
      </w:r>
      <w:r w:rsidR="00E37C32" w:rsidRPr="005E4F06">
        <w:rPr>
          <w:b/>
          <w:bCs/>
          <w:lang w:val="en-AU"/>
        </w:rPr>
        <w:t>It is further alleged that between 5 March 2017 and 12 July 2017, Whittles failed to ensure the Corporation was insured and thereby failed to perform duties to its Principal and/or failed to exercise due skill, care or diligence in carrying out duties on behalf of its Principal and/or failed to exercise due skill, care of diligence when dealing with any person in the course of conducting business as an agent</w:t>
      </w:r>
      <w:r w:rsidR="00DF040B">
        <w:rPr>
          <w:b/>
          <w:bCs/>
          <w:lang w:val="en-AU"/>
        </w:rPr>
        <w:t xml:space="preserve"> (ss 65</w:t>
      </w:r>
      <w:r w:rsidR="0095326E" w:rsidRPr="005E4F06">
        <w:rPr>
          <w:b/>
          <w:bCs/>
          <w:lang w:val="en-AU"/>
        </w:rPr>
        <w:t>(1) (c), s 65(1)(d) and/or s 65(1(d</w:t>
      </w:r>
      <w:r w:rsidR="00D63D1C">
        <w:rPr>
          <w:b/>
          <w:bCs/>
          <w:lang w:val="en-AU"/>
        </w:rPr>
        <w:t xml:space="preserve">a) of the </w:t>
      </w:r>
      <w:r w:rsidR="00D63D1C" w:rsidRPr="00D63D1C">
        <w:rPr>
          <w:b/>
          <w:bCs/>
          <w:i/>
          <w:lang w:val="en-AU"/>
        </w:rPr>
        <w:t xml:space="preserve">Agents Licensing Act </w:t>
      </w:r>
      <w:r w:rsidR="0095326E" w:rsidRPr="00D63D1C">
        <w:rPr>
          <w:b/>
          <w:bCs/>
          <w:i/>
          <w:lang w:val="en-AU"/>
        </w:rPr>
        <w:t>1979</w:t>
      </w:r>
      <w:r w:rsidR="0095326E" w:rsidRPr="005E4F06">
        <w:rPr>
          <w:b/>
          <w:bCs/>
          <w:lang w:val="en-AU"/>
        </w:rPr>
        <w:t>.)</w:t>
      </w:r>
    </w:p>
    <w:p w14:paraId="486AA2B7" w14:textId="3DF11EBF" w:rsidR="00217ED9" w:rsidRPr="005E4F06" w:rsidRDefault="00217ED9" w:rsidP="00C758F1">
      <w:pPr>
        <w:pStyle w:val="ListParagraph"/>
        <w:ind w:left="709"/>
        <w:jc w:val="both"/>
        <w:rPr>
          <w:b/>
          <w:bCs/>
          <w:lang w:val="en-AU"/>
        </w:rPr>
      </w:pPr>
    </w:p>
    <w:p w14:paraId="237658F2" w14:textId="21D26EF0" w:rsidR="00217ED9" w:rsidRDefault="00217ED9" w:rsidP="00C758F1">
      <w:pPr>
        <w:pStyle w:val="ListParagraph"/>
        <w:ind w:left="709"/>
        <w:jc w:val="both"/>
        <w:rPr>
          <w:b/>
          <w:lang w:val="en-AU"/>
        </w:rPr>
      </w:pPr>
      <w:r>
        <w:rPr>
          <w:b/>
          <w:lang w:val="en-AU"/>
        </w:rPr>
        <w:t>THE EMAIL MESSAGES</w:t>
      </w:r>
    </w:p>
    <w:p w14:paraId="0A7B2116" w14:textId="77777777" w:rsidR="003D25DB" w:rsidRDefault="003D25DB" w:rsidP="00C758F1">
      <w:pPr>
        <w:pStyle w:val="ListParagraph"/>
        <w:ind w:left="1080"/>
        <w:jc w:val="both"/>
        <w:rPr>
          <w:b/>
          <w:lang w:val="en-AU"/>
        </w:rPr>
      </w:pPr>
    </w:p>
    <w:p w14:paraId="120540D0" w14:textId="1C1B7545" w:rsidR="00EF322D" w:rsidRDefault="00F15DA8" w:rsidP="00EE5C30">
      <w:pPr>
        <w:pStyle w:val="ListParagraph"/>
        <w:numPr>
          <w:ilvl w:val="0"/>
          <w:numId w:val="1"/>
        </w:numPr>
        <w:jc w:val="both"/>
        <w:rPr>
          <w:lang w:val="en-AU"/>
        </w:rPr>
      </w:pPr>
      <w:r>
        <w:rPr>
          <w:lang w:val="en-AU"/>
        </w:rPr>
        <w:t xml:space="preserve">On 9 March 2017, </w:t>
      </w:r>
      <w:r w:rsidR="00EF322D">
        <w:rPr>
          <w:lang w:val="en-AU"/>
        </w:rPr>
        <w:t xml:space="preserve">Ms </w:t>
      </w:r>
      <w:r>
        <w:rPr>
          <w:lang w:val="en-AU"/>
        </w:rPr>
        <w:t xml:space="preserve">Bruton of Whittles wrote to the members of the </w:t>
      </w:r>
      <w:r w:rsidR="00AA5002">
        <w:rPr>
          <w:lang w:val="en-AU"/>
        </w:rPr>
        <w:t>C</w:t>
      </w:r>
      <w:r>
        <w:rPr>
          <w:lang w:val="en-AU"/>
        </w:rPr>
        <w:t xml:space="preserve">orporation to seek instructions in relation to </w:t>
      </w:r>
      <w:r w:rsidR="00E416A3">
        <w:rPr>
          <w:lang w:val="en-AU"/>
        </w:rPr>
        <w:t xml:space="preserve">Strata </w:t>
      </w:r>
      <w:r>
        <w:rPr>
          <w:lang w:val="en-AU"/>
        </w:rPr>
        <w:t>insurance</w:t>
      </w:r>
      <w:r w:rsidR="00E416A3">
        <w:rPr>
          <w:lang w:val="en-AU"/>
        </w:rPr>
        <w:t xml:space="preserve"> for the Corporation</w:t>
      </w:r>
      <w:r w:rsidR="00035336">
        <w:rPr>
          <w:rStyle w:val="FootnoteReference"/>
          <w:lang w:val="en-AU"/>
        </w:rPr>
        <w:footnoteReference w:id="36"/>
      </w:r>
      <w:r w:rsidR="00EF322D">
        <w:rPr>
          <w:lang w:val="en-AU"/>
        </w:rPr>
        <w:t>.</w:t>
      </w:r>
      <w:r w:rsidR="00EF322D">
        <w:rPr>
          <w:rStyle w:val="FootnoteReference"/>
          <w:lang w:val="en-AU"/>
        </w:rPr>
        <w:footnoteReference w:id="37"/>
      </w:r>
      <w:r w:rsidR="00EF322D">
        <w:rPr>
          <w:lang w:val="en-AU"/>
        </w:rPr>
        <w:t xml:space="preserve"> The initial correspondence was </w:t>
      </w:r>
      <w:r w:rsidR="007B094C">
        <w:rPr>
          <w:lang w:val="en-AU"/>
        </w:rPr>
        <w:t xml:space="preserve">as follows </w:t>
      </w:r>
      <w:r w:rsidR="007B094C">
        <w:rPr>
          <w:rStyle w:val="FootnoteReference"/>
          <w:lang w:val="en-AU"/>
        </w:rPr>
        <w:footnoteReference w:id="38"/>
      </w:r>
      <w:r w:rsidR="00EF322D">
        <w:rPr>
          <w:lang w:val="en-AU"/>
        </w:rPr>
        <w:t>:</w:t>
      </w:r>
    </w:p>
    <w:p w14:paraId="436C14D2" w14:textId="2467A651" w:rsidR="00EF322D" w:rsidRDefault="00EF322D" w:rsidP="00EF322D">
      <w:pPr>
        <w:pStyle w:val="ListParagraph"/>
        <w:ind w:left="1080"/>
        <w:jc w:val="both"/>
        <w:rPr>
          <w:lang w:val="en-AU"/>
        </w:rPr>
      </w:pPr>
    </w:p>
    <w:p w14:paraId="376425BA" w14:textId="037F3E84" w:rsidR="00EF322D" w:rsidRDefault="00EF322D" w:rsidP="00EF322D">
      <w:pPr>
        <w:pStyle w:val="ListParagraph"/>
        <w:ind w:left="1080"/>
        <w:jc w:val="both"/>
        <w:rPr>
          <w:lang w:val="en-AU"/>
        </w:rPr>
      </w:pPr>
      <w:r>
        <w:rPr>
          <w:lang w:val="en-AU"/>
        </w:rPr>
        <w:t>“</w:t>
      </w:r>
      <w:r w:rsidRPr="00EE5C30">
        <w:rPr>
          <w:i/>
          <w:iCs/>
          <w:lang w:val="en-AU"/>
        </w:rPr>
        <w:t>Hi all, please see attached the important information regarding your insurance. Please discuss on a committee level and the (sic) please let me know what you would like to do by the end of April.”</w:t>
      </w:r>
    </w:p>
    <w:p w14:paraId="438E01A7" w14:textId="77777777" w:rsidR="00EF322D" w:rsidRDefault="00EF322D" w:rsidP="00EE5C30">
      <w:pPr>
        <w:pStyle w:val="ListParagraph"/>
        <w:ind w:left="1080"/>
        <w:jc w:val="both"/>
        <w:rPr>
          <w:lang w:val="en-AU"/>
        </w:rPr>
      </w:pPr>
    </w:p>
    <w:p w14:paraId="4C119568" w14:textId="01D47508" w:rsidR="00F15DA8" w:rsidRDefault="00F15DA8" w:rsidP="00EF322D">
      <w:pPr>
        <w:pStyle w:val="ListParagraph"/>
        <w:ind w:left="1080"/>
        <w:jc w:val="both"/>
        <w:rPr>
          <w:lang w:val="en-AU"/>
        </w:rPr>
      </w:pPr>
      <w:r>
        <w:rPr>
          <w:lang w:val="en-AU"/>
        </w:rPr>
        <w:t xml:space="preserve"> Th</w:t>
      </w:r>
      <w:r w:rsidR="007B094C">
        <w:rPr>
          <w:lang w:val="en-AU"/>
        </w:rPr>
        <w:t xml:space="preserve">is </w:t>
      </w:r>
      <w:r>
        <w:rPr>
          <w:lang w:val="en-AU"/>
        </w:rPr>
        <w:t xml:space="preserve">email followed correspondence from the Corporation’s insurer, TIO, </w:t>
      </w:r>
      <w:r w:rsidRPr="00B0212B">
        <w:rPr>
          <w:lang w:val="en-AU"/>
        </w:rPr>
        <w:t>that it was required to appoint an insurance broker for its insurance policy scheduled to fall due on 21 May 2017.</w:t>
      </w:r>
      <w:r w:rsidR="00E416A3">
        <w:rPr>
          <w:lang w:val="en-AU"/>
        </w:rPr>
        <w:t xml:space="preserve"> The attachment that Ms Bruton referred to was a single page letter from TIO to the proprietors of UP 85/39, dated 2 March 2017, together with two pages listing insurance brokers.</w:t>
      </w:r>
      <w:r w:rsidR="00E416A3">
        <w:rPr>
          <w:rStyle w:val="FootnoteReference"/>
          <w:lang w:val="en-AU"/>
        </w:rPr>
        <w:footnoteReference w:id="39"/>
      </w:r>
      <w:r w:rsidR="00313665">
        <w:rPr>
          <w:lang w:val="en-AU"/>
        </w:rPr>
        <w:t xml:space="preserve"> The letter stated that the renewal was due on 21 May 2016, which was an obvious error.</w:t>
      </w:r>
    </w:p>
    <w:p w14:paraId="1FDA4D0B" w14:textId="2327FF93" w:rsidR="007B094C" w:rsidRDefault="007B094C" w:rsidP="00EF322D">
      <w:pPr>
        <w:pStyle w:val="ListParagraph"/>
        <w:ind w:left="1080"/>
        <w:jc w:val="both"/>
        <w:rPr>
          <w:lang w:val="en-AU"/>
        </w:rPr>
      </w:pPr>
    </w:p>
    <w:p w14:paraId="50847D33" w14:textId="77777777" w:rsidR="00D829CB" w:rsidRDefault="00D829CB" w:rsidP="00EF322D">
      <w:pPr>
        <w:pStyle w:val="ListParagraph"/>
        <w:ind w:left="1080"/>
        <w:jc w:val="both"/>
        <w:rPr>
          <w:lang w:val="en-AU"/>
        </w:rPr>
      </w:pPr>
    </w:p>
    <w:p w14:paraId="2223D33A" w14:textId="77777777" w:rsidR="00D829CB" w:rsidRDefault="00D829CB" w:rsidP="00EF322D">
      <w:pPr>
        <w:pStyle w:val="ListParagraph"/>
        <w:ind w:left="1080"/>
        <w:jc w:val="both"/>
        <w:rPr>
          <w:lang w:val="en-AU"/>
        </w:rPr>
      </w:pPr>
    </w:p>
    <w:p w14:paraId="30690207" w14:textId="04813D3B" w:rsidR="007B094C" w:rsidRDefault="007B094C" w:rsidP="00EE5C30">
      <w:pPr>
        <w:pStyle w:val="ListParagraph"/>
        <w:numPr>
          <w:ilvl w:val="0"/>
          <w:numId w:val="1"/>
        </w:numPr>
        <w:jc w:val="both"/>
        <w:rPr>
          <w:lang w:val="en-AU"/>
        </w:rPr>
      </w:pPr>
      <w:r>
        <w:rPr>
          <w:lang w:val="en-AU"/>
        </w:rPr>
        <w:lastRenderedPageBreak/>
        <w:t>Ms Michelle Roberts responded on 9 March</w:t>
      </w:r>
      <w:r>
        <w:rPr>
          <w:rStyle w:val="FootnoteReference"/>
          <w:lang w:val="en-AU"/>
        </w:rPr>
        <w:footnoteReference w:id="40"/>
      </w:r>
      <w:r w:rsidR="00E22407">
        <w:rPr>
          <w:lang w:val="en-AU"/>
        </w:rPr>
        <w:t xml:space="preserve"> as follows</w:t>
      </w:r>
      <w:r w:rsidR="00903185">
        <w:rPr>
          <w:rStyle w:val="FootnoteReference"/>
          <w:lang w:val="en-AU"/>
        </w:rPr>
        <w:footnoteReference w:id="41"/>
      </w:r>
      <w:r w:rsidR="00E22407">
        <w:rPr>
          <w:lang w:val="en-AU"/>
        </w:rPr>
        <w:t>:</w:t>
      </w:r>
    </w:p>
    <w:p w14:paraId="62DB82A6" w14:textId="70F7EBF6" w:rsidR="00E22407" w:rsidRDefault="00E22407" w:rsidP="00E22407">
      <w:pPr>
        <w:jc w:val="both"/>
        <w:rPr>
          <w:lang w:val="en-AU"/>
        </w:rPr>
      </w:pPr>
    </w:p>
    <w:p w14:paraId="722430BA" w14:textId="14C6F073" w:rsidR="00E22407" w:rsidRPr="00EE5C30" w:rsidRDefault="00E22407" w:rsidP="00E22407">
      <w:pPr>
        <w:ind w:left="1080"/>
        <w:jc w:val="both"/>
        <w:rPr>
          <w:i/>
          <w:iCs/>
          <w:lang w:val="en-AU"/>
        </w:rPr>
      </w:pPr>
      <w:r w:rsidRPr="00EE5C30">
        <w:rPr>
          <w:i/>
          <w:iCs/>
          <w:lang w:val="en-AU"/>
        </w:rPr>
        <w:t xml:space="preserve">Hi Casey, </w:t>
      </w:r>
    </w:p>
    <w:p w14:paraId="2F0318E3" w14:textId="24DE7D48" w:rsidR="00E22407" w:rsidRPr="00EE5C30" w:rsidRDefault="00E22407" w:rsidP="00E22407">
      <w:pPr>
        <w:ind w:left="1080"/>
        <w:jc w:val="both"/>
        <w:rPr>
          <w:i/>
          <w:iCs/>
          <w:lang w:val="en-AU"/>
        </w:rPr>
      </w:pPr>
    </w:p>
    <w:p w14:paraId="0678EB35" w14:textId="1A5DE9CD" w:rsidR="00E22407" w:rsidRPr="00EE5C30" w:rsidRDefault="00E22407" w:rsidP="00E22407">
      <w:pPr>
        <w:ind w:left="1080"/>
        <w:jc w:val="both"/>
        <w:rPr>
          <w:i/>
          <w:iCs/>
          <w:lang w:val="en-AU"/>
        </w:rPr>
      </w:pPr>
      <w:r w:rsidRPr="00EE5C30">
        <w:rPr>
          <w:i/>
          <w:iCs/>
          <w:lang w:val="en-AU"/>
        </w:rPr>
        <w:t xml:space="preserve">Whittles can provide this brokerage service, can’t they? Whittles did this previously before we started going to TIO direct. </w:t>
      </w:r>
    </w:p>
    <w:p w14:paraId="1FDF1885" w14:textId="4CBC5EE3" w:rsidR="00E22407" w:rsidRPr="00EE5C30" w:rsidRDefault="00E22407" w:rsidP="00E22407">
      <w:pPr>
        <w:ind w:left="1080"/>
        <w:jc w:val="both"/>
        <w:rPr>
          <w:i/>
          <w:iCs/>
          <w:lang w:val="en-AU"/>
        </w:rPr>
      </w:pPr>
    </w:p>
    <w:p w14:paraId="7191099F" w14:textId="056B0DCF" w:rsidR="00E22407" w:rsidRPr="00EE5C30" w:rsidRDefault="00E22407" w:rsidP="00E22407">
      <w:pPr>
        <w:ind w:left="1080"/>
        <w:jc w:val="both"/>
        <w:rPr>
          <w:i/>
          <w:iCs/>
          <w:lang w:val="en-AU"/>
        </w:rPr>
      </w:pPr>
      <w:r w:rsidRPr="00EE5C30">
        <w:rPr>
          <w:i/>
          <w:iCs/>
          <w:lang w:val="en-AU"/>
        </w:rPr>
        <w:t>That would be my preferred approach going forward.</w:t>
      </w:r>
    </w:p>
    <w:p w14:paraId="76FD6E4D" w14:textId="737D7156" w:rsidR="00E22407" w:rsidRDefault="00E22407" w:rsidP="00E22407">
      <w:pPr>
        <w:ind w:left="1080"/>
        <w:jc w:val="both"/>
        <w:rPr>
          <w:lang w:val="en-AU"/>
        </w:rPr>
      </w:pPr>
    </w:p>
    <w:p w14:paraId="2E71E9B4" w14:textId="2E19A185" w:rsidR="00E22407" w:rsidRPr="00EE5C30" w:rsidRDefault="00E22407" w:rsidP="00E22407">
      <w:pPr>
        <w:ind w:left="1080"/>
        <w:jc w:val="both"/>
        <w:rPr>
          <w:i/>
          <w:iCs/>
          <w:lang w:val="en-AU"/>
        </w:rPr>
      </w:pPr>
      <w:r w:rsidRPr="00EE5C30">
        <w:rPr>
          <w:i/>
          <w:iCs/>
          <w:lang w:val="en-AU"/>
        </w:rPr>
        <w:t>Thanks,</w:t>
      </w:r>
    </w:p>
    <w:p w14:paraId="28562C48" w14:textId="466E9EA9" w:rsidR="00E22407" w:rsidRDefault="00E22407" w:rsidP="00E22407">
      <w:pPr>
        <w:ind w:left="1080"/>
        <w:jc w:val="both"/>
        <w:rPr>
          <w:i/>
          <w:iCs/>
          <w:lang w:val="en-AU"/>
        </w:rPr>
      </w:pPr>
      <w:r w:rsidRPr="00EE5C30">
        <w:rPr>
          <w:i/>
          <w:iCs/>
          <w:lang w:val="en-AU"/>
        </w:rPr>
        <w:t>Michelle</w:t>
      </w:r>
    </w:p>
    <w:p w14:paraId="1CC991D0" w14:textId="0F098977" w:rsidR="00E22407" w:rsidRDefault="00E22407" w:rsidP="00E22407">
      <w:pPr>
        <w:ind w:left="1080"/>
        <w:jc w:val="both"/>
        <w:rPr>
          <w:i/>
          <w:iCs/>
          <w:lang w:val="en-AU"/>
        </w:rPr>
      </w:pPr>
      <w:r>
        <w:rPr>
          <w:i/>
          <w:iCs/>
          <w:lang w:val="en-AU"/>
        </w:rPr>
        <w:t>Sent from my Iphone</w:t>
      </w:r>
    </w:p>
    <w:p w14:paraId="7BEB5545" w14:textId="77777777" w:rsidR="00E22407" w:rsidRPr="00EE5C30" w:rsidRDefault="00E22407" w:rsidP="00E22407">
      <w:pPr>
        <w:ind w:left="1080"/>
        <w:jc w:val="both"/>
        <w:rPr>
          <w:i/>
          <w:iCs/>
          <w:lang w:val="en-AU"/>
        </w:rPr>
      </w:pPr>
    </w:p>
    <w:p w14:paraId="5ACB5AFE" w14:textId="03B8221A" w:rsidR="00E22407" w:rsidRPr="00EE5C30" w:rsidRDefault="006E6850" w:rsidP="00EE5C30">
      <w:pPr>
        <w:pStyle w:val="ListParagraph"/>
        <w:numPr>
          <w:ilvl w:val="0"/>
          <w:numId w:val="1"/>
        </w:numPr>
        <w:jc w:val="both"/>
        <w:rPr>
          <w:lang w:val="en-AU"/>
        </w:rPr>
      </w:pPr>
      <w:r w:rsidRPr="00EE5C30">
        <w:rPr>
          <w:lang w:val="en-AU"/>
        </w:rPr>
        <w:t>Ms Bruton responded in a further email, again on 9 March 2017, at 3.14pm</w:t>
      </w:r>
      <w:r w:rsidR="005C5AB4">
        <w:rPr>
          <w:lang w:val="en-AU"/>
        </w:rPr>
        <w:t>,</w:t>
      </w:r>
      <w:r w:rsidRPr="00EE5C30">
        <w:rPr>
          <w:lang w:val="en-AU"/>
        </w:rPr>
        <w:t xml:space="preserve"> as follows</w:t>
      </w:r>
      <w:r w:rsidRPr="00EE5C30">
        <w:rPr>
          <w:rStyle w:val="FootnoteReference"/>
          <w:lang w:val="en-AU"/>
        </w:rPr>
        <w:footnoteReference w:id="42"/>
      </w:r>
      <w:r w:rsidRPr="00EE5C30">
        <w:rPr>
          <w:lang w:val="en-AU"/>
        </w:rPr>
        <w:t>:</w:t>
      </w:r>
    </w:p>
    <w:p w14:paraId="5DAD4DFE" w14:textId="798649FB" w:rsidR="006E6850" w:rsidRDefault="006E6850" w:rsidP="006E6850">
      <w:pPr>
        <w:ind w:left="1080"/>
        <w:jc w:val="both"/>
        <w:rPr>
          <w:i/>
          <w:iCs/>
          <w:lang w:val="en-AU"/>
        </w:rPr>
      </w:pPr>
    </w:p>
    <w:p w14:paraId="5CB671DF" w14:textId="39125FFF" w:rsidR="006E6850" w:rsidRDefault="006E6850" w:rsidP="006E6850">
      <w:pPr>
        <w:ind w:left="1080"/>
        <w:jc w:val="both"/>
        <w:rPr>
          <w:i/>
          <w:iCs/>
          <w:lang w:val="en-AU"/>
        </w:rPr>
      </w:pPr>
      <w:r>
        <w:rPr>
          <w:i/>
          <w:iCs/>
          <w:lang w:val="en-AU"/>
        </w:rPr>
        <w:t>Hi Michelle, yes we can. Being unbiased, TIO are the best for the Territory. However, you are free to choose, if you wish to speak to anyone you can call Jackson</w:t>
      </w:r>
      <w:r w:rsidR="00C12DC5">
        <w:rPr>
          <w:rStyle w:val="FootnoteReference"/>
          <w:i/>
          <w:iCs/>
          <w:lang w:val="en-AU"/>
        </w:rPr>
        <w:footnoteReference w:id="43"/>
      </w:r>
      <w:r>
        <w:rPr>
          <w:i/>
          <w:iCs/>
          <w:lang w:val="en-AU"/>
        </w:rPr>
        <w:t xml:space="preserve"> on 8943 1256. </w:t>
      </w:r>
    </w:p>
    <w:p w14:paraId="5D3B199E" w14:textId="14D442BE" w:rsidR="006E6850" w:rsidRDefault="006E6850" w:rsidP="006E6850">
      <w:pPr>
        <w:ind w:left="1080"/>
        <w:jc w:val="both"/>
        <w:rPr>
          <w:i/>
          <w:iCs/>
          <w:lang w:val="en-AU"/>
        </w:rPr>
      </w:pPr>
      <w:r>
        <w:rPr>
          <w:i/>
          <w:iCs/>
          <w:lang w:val="en-AU"/>
        </w:rPr>
        <w:br/>
        <w:t xml:space="preserve">Kind regards, </w:t>
      </w:r>
    </w:p>
    <w:p w14:paraId="2E112BAC" w14:textId="41BF0491" w:rsidR="006E6850" w:rsidRDefault="006E6850" w:rsidP="006E6850">
      <w:pPr>
        <w:ind w:left="1080"/>
        <w:jc w:val="both"/>
        <w:rPr>
          <w:i/>
          <w:iCs/>
          <w:lang w:val="en-AU"/>
        </w:rPr>
      </w:pPr>
      <w:r>
        <w:rPr>
          <w:i/>
          <w:iCs/>
          <w:lang w:val="en-AU"/>
        </w:rPr>
        <w:t>Casey Bruton</w:t>
      </w:r>
    </w:p>
    <w:p w14:paraId="581F0EBC" w14:textId="77777777" w:rsidR="006E6850" w:rsidRPr="00EE5C30" w:rsidRDefault="006E6850" w:rsidP="00362C1D">
      <w:pPr>
        <w:ind w:left="1080"/>
        <w:jc w:val="both"/>
        <w:rPr>
          <w:i/>
          <w:iCs/>
          <w:lang w:val="en-AU"/>
        </w:rPr>
      </w:pPr>
    </w:p>
    <w:p w14:paraId="74278814" w14:textId="34C35CE3" w:rsidR="002511F0" w:rsidRPr="006F4347" w:rsidRDefault="00783917" w:rsidP="00EE5C30">
      <w:pPr>
        <w:pStyle w:val="ListParagraph"/>
        <w:numPr>
          <w:ilvl w:val="0"/>
          <w:numId w:val="1"/>
        </w:numPr>
        <w:jc w:val="both"/>
        <w:rPr>
          <w:lang w:val="en-AU"/>
        </w:rPr>
      </w:pPr>
      <w:r>
        <w:rPr>
          <w:lang w:val="en-AU"/>
        </w:rPr>
        <w:t xml:space="preserve">There is no evidence that any </w:t>
      </w:r>
      <w:r w:rsidR="00AA5002" w:rsidRPr="006F4347">
        <w:rPr>
          <w:lang w:val="en-AU"/>
        </w:rPr>
        <w:t>instructions were</w:t>
      </w:r>
      <w:r w:rsidR="002511F0" w:rsidRPr="006F4347">
        <w:rPr>
          <w:lang w:val="en-AU"/>
        </w:rPr>
        <w:t xml:space="preserve"> received in reply to the email </w:t>
      </w:r>
      <w:r>
        <w:rPr>
          <w:lang w:val="en-AU"/>
        </w:rPr>
        <w:t xml:space="preserve">from the owner of Unit 1 (Isabel) or </w:t>
      </w:r>
      <w:r w:rsidR="00BD291D">
        <w:rPr>
          <w:lang w:val="en-AU"/>
        </w:rPr>
        <w:t xml:space="preserve">owner of unit 4 (Dani &amp; Tode). </w:t>
      </w:r>
      <w:r w:rsidR="002511F0" w:rsidRPr="006F4347">
        <w:rPr>
          <w:lang w:val="en-AU"/>
        </w:rPr>
        <w:t xml:space="preserve"> The only response was </w:t>
      </w:r>
      <w:r w:rsidR="00BD291D">
        <w:rPr>
          <w:lang w:val="en-AU"/>
        </w:rPr>
        <w:t>the</w:t>
      </w:r>
      <w:r w:rsidR="00AA5002" w:rsidRPr="006F4347">
        <w:rPr>
          <w:lang w:val="en-AU"/>
        </w:rPr>
        <w:t xml:space="preserve"> query </w:t>
      </w:r>
      <w:r w:rsidR="00BD291D">
        <w:rPr>
          <w:lang w:val="en-AU"/>
        </w:rPr>
        <w:t xml:space="preserve">specified above </w:t>
      </w:r>
      <w:r w:rsidR="00AA5002" w:rsidRPr="006F4347">
        <w:rPr>
          <w:lang w:val="en-AU"/>
        </w:rPr>
        <w:t>from Ms Roberts</w:t>
      </w:r>
      <w:r w:rsidR="00BD291D">
        <w:rPr>
          <w:lang w:val="en-AU"/>
        </w:rPr>
        <w:t>.</w:t>
      </w:r>
      <w:r w:rsidR="002511F0" w:rsidRPr="006F4347">
        <w:rPr>
          <w:lang w:val="en-AU"/>
        </w:rPr>
        <w:t xml:space="preserve"> </w:t>
      </w:r>
      <w:r w:rsidR="006F4347">
        <w:rPr>
          <w:lang w:val="en-AU"/>
        </w:rPr>
        <w:t>With no further correspondence or i</w:t>
      </w:r>
      <w:r w:rsidR="002511F0" w:rsidRPr="006F4347">
        <w:rPr>
          <w:lang w:val="en-AU"/>
        </w:rPr>
        <w:t>nstructions received, the insurance policy</w:t>
      </w:r>
      <w:r w:rsidR="006F4347">
        <w:rPr>
          <w:lang w:val="en-AU"/>
        </w:rPr>
        <w:t xml:space="preserve"> </w:t>
      </w:r>
      <w:r w:rsidR="002511F0" w:rsidRPr="006F4347">
        <w:rPr>
          <w:lang w:val="en-AU"/>
        </w:rPr>
        <w:t xml:space="preserve">lapsed. </w:t>
      </w:r>
    </w:p>
    <w:p w14:paraId="1D1BDA09" w14:textId="77777777" w:rsidR="002511F0" w:rsidRPr="002511F0" w:rsidRDefault="002511F0" w:rsidP="00C758F1">
      <w:pPr>
        <w:pStyle w:val="ListParagraph"/>
        <w:jc w:val="both"/>
        <w:rPr>
          <w:lang w:val="en-AU"/>
        </w:rPr>
      </w:pPr>
    </w:p>
    <w:p w14:paraId="64BB72C6" w14:textId="49CCACDD" w:rsidR="00982DE3" w:rsidRDefault="002511F0" w:rsidP="00EE5C30">
      <w:pPr>
        <w:pStyle w:val="ListParagraph"/>
        <w:numPr>
          <w:ilvl w:val="0"/>
          <w:numId w:val="1"/>
        </w:numPr>
        <w:jc w:val="both"/>
        <w:rPr>
          <w:lang w:val="en-AU"/>
        </w:rPr>
      </w:pPr>
      <w:r w:rsidRPr="00B0212B">
        <w:rPr>
          <w:lang w:val="en-AU"/>
        </w:rPr>
        <w:t xml:space="preserve">On 11 July 2017, </w:t>
      </w:r>
      <w:r w:rsidR="00E168B5">
        <w:rPr>
          <w:lang w:val="en-AU"/>
        </w:rPr>
        <w:t xml:space="preserve">Ms </w:t>
      </w:r>
      <w:r w:rsidR="00CF78B0">
        <w:rPr>
          <w:lang w:val="en-AU"/>
        </w:rPr>
        <w:t>Bruton sent an e-mail to</w:t>
      </w:r>
      <w:r w:rsidRPr="00B0212B">
        <w:rPr>
          <w:lang w:val="en-AU"/>
        </w:rPr>
        <w:t xml:space="preserve"> Corporation members</w:t>
      </w:r>
      <w:r w:rsidR="00982DE3">
        <w:rPr>
          <w:rStyle w:val="FootnoteReference"/>
          <w:lang w:val="en-AU"/>
        </w:rPr>
        <w:footnoteReference w:id="44"/>
      </w:r>
      <w:r w:rsidRPr="00B0212B">
        <w:rPr>
          <w:lang w:val="en-AU"/>
        </w:rPr>
        <w:t xml:space="preserve"> seeking their </w:t>
      </w:r>
      <w:r>
        <w:rPr>
          <w:lang w:val="en-AU"/>
        </w:rPr>
        <w:t xml:space="preserve">urgent </w:t>
      </w:r>
      <w:r w:rsidRPr="00B0212B">
        <w:rPr>
          <w:lang w:val="en-AU"/>
        </w:rPr>
        <w:t>instructions</w:t>
      </w:r>
      <w:r w:rsidR="00982DE3">
        <w:rPr>
          <w:lang w:val="en-AU"/>
        </w:rPr>
        <w:t>, as follows</w:t>
      </w:r>
      <w:r w:rsidR="00982DE3">
        <w:rPr>
          <w:rStyle w:val="FootnoteReference"/>
          <w:lang w:val="en-AU"/>
        </w:rPr>
        <w:footnoteReference w:id="45"/>
      </w:r>
      <w:r w:rsidR="00982DE3">
        <w:rPr>
          <w:lang w:val="en-AU"/>
        </w:rPr>
        <w:t>:</w:t>
      </w:r>
    </w:p>
    <w:p w14:paraId="2E6C85D7" w14:textId="77777777" w:rsidR="00982DE3" w:rsidRPr="00982DE3" w:rsidRDefault="00982DE3" w:rsidP="00EE5C30">
      <w:pPr>
        <w:pStyle w:val="ListParagraph"/>
        <w:rPr>
          <w:lang w:val="en-AU"/>
        </w:rPr>
      </w:pPr>
    </w:p>
    <w:p w14:paraId="6BE0E98C" w14:textId="77603E1D" w:rsidR="00982DE3" w:rsidRPr="00EE5C30" w:rsidRDefault="00982DE3" w:rsidP="00982DE3">
      <w:pPr>
        <w:pStyle w:val="ListParagraph"/>
        <w:ind w:left="1080"/>
        <w:jc w:val="both"/>
        <w:rPr>
          <w:i/>
          <w:iCs/>
          <w:lang w:val="en-AU"/>
        </w:rPr>
      </w:pPr>
      <w:r w:rsidRPr="00EE5C30">
        <w:rPr>
          <w:i/>
          <w:iCs/>
          <w:lang w:val="en-AU"/>
        </w:rPr>
        <w:t>Hi all, Can I please ask you to reply to this email if you are happy for MGA to provide cover as a broker alongside with TIO for your insurance as you are not currently insured.</w:t>
      </w:r>
    </w:p>
    <w:p w14:paraId="423BC410" w14:textId="09DD7873" w:rsidR="00982DE3" w:rsidRPr="00EE5C30" w:rsidRDefault="00982DE3" w:rsidP="00982DE3">
      <w:pPr>
        <w:pStyle w:val="ListParagraph"/>
        <w:ind w:left="1080"/>
        <w:jc w:val="both"/>
        <w:rPr>
          <w:i/>
          <w:iCs/>
          <w:lang w:val="en-AU"/>
        </w:rPr>
      </w:pPr>
    </w:p>
    <w:p w14:paraId="10629711" w14:textId="535CA015" w:rsidR="00982DE3" w:rsidRPr="00EE5C30" w:rsidRDefault="00982DE3" w:rsidP="00982DE3">
      <w:pPr>
        <w:pStyle w:val="ListParagraph"/>
        <w:ind w:left="1080"/>
        <w:jc w:val="both"/>
        <w:rPr>
          <w:i/>
          <w:iCs/>
          <w:lang w:val="en-AU"/>
        </w:rPr>
      </w:pPr>
      <w:r w:rsidRPr="00EE5C30">
        <w:rPr>
          <w:i/>
          <w:iCs/>
          <w:lang w:val="en-AU"/>
        </w:rPr>
        <w:t xml:space="preserve">A broker is required for your strata cover as Whittles work alongside we suggest to go with MGA, however, it is up to you who you choose, however you are not currently insured as there is no broker selected. </w:t>
      </w:r>
    </w:p>
    <w:p w14:paraId="23763606" w14:textId="09034958" w:rsidR="00982DE3" w:rsidRPr="00EE5C30" w:rsidRDefault="00982DE3" w:rsidP="00982DE3">
      <w:pPr>
        <w:pStyle w:val="ListParagraph"/>
        <w:ind w:left="1080"/>
        <w:jc w:val="both"/>
        <w:rPr>
          <w:i/>
          <w:iCs/>
          <w:lang w:val="en-AU"/>
        </w:rPr>
      </w:pPr>
    </w:p>
    <w:p w14:paraId="5E215B2E" w14:textId="5627083F" w:rsidR="00982DE3" w:rsidRPr="00EE5C30" w:rsidRDefault="00982DE3" w:rsidP="00982DE3">
      <w:pPr>
        <w:pStyle w:val="ListParagraph"/>
        <w:ind w:left="1080"/>
        <w:jc w:val="both"/>
        <w:rPr>
          <w:i/>
          <w:iCs/>
          <w:lang w:val="en-AU"/>
        </w:rPr>
      </w:pPr>
      <w:r w:rsidRPr="00EE5C30">
        <w:rPr>
          <w:i/>
          <w:iCs/>
          <w:lang w:val="en-AU"/>
        </w:rPr>
        <w:t>Please reply with your approval to go with MGA, or your thoughts.</w:t>
      </w:r>
    </w:p>
    <w:p w14:paraId="32744190" w14:textId="2CE94908" w:rsidR="00982DE3" w:rsidRDefault="00982DE3" w:rsidP="00EE5C30">
      <w:pPr>
        <w:pStyle w:val="ListParagraph"/>
        <w:ind w:left="1080"/>
        <w:jc w:val="both"/>
        <w:rPr>
          <w:lang w:val="en-AU"/>
        </w:rPr>
      </w:pPr>
      <w:r w:rsidRPr="00EE5C30">
        <w:rPr>
          <w:i/>
          <w:iCs/>
          <w:lang w:val="en-AU"/>
        </w:rPr>
        <w:t xml:space="preserve">Casey Bruton </w:t>
      </w:r>
      <w:r>
        <w:rPr>
          <w:lang w:val="en-AU"/>
        </w:rPr>
        <w:t>(who noted that she was away for the rest of the week from tomorrow)</w:t>
      </w:r>
    </w:p>
    <w:p w14:paraId="062EFAA3" w14:textId="77777777" w:rsidR="00982DE3" w:rsidRPr="00982DE3" w:rsidRDefault="00982DE3" w:rsidP="00EE5C30">
      <w:pPr>
        <w:pStyle w:val="ListParagraph"/>
        <w:rPr>
          <w:lang w:val="en-AU"/>
        </w:rPr>
      </w:pPr>
    </w:p>
    <w:p w14:paraId="0B96AEB6" w14:textId="7148A3DD" w:rsidR="002511F0" w:rsidRDefault="002511F0" w:rsidP="00E37C32">
      <w:pPr>
        <w:pStyle w:val="ListParagraph"/>
        <w:numPr>
          <w:ilvl w:val="0"/>
          <w:numId w:val="1"/>
        </w:numPr>
        <w:jc w:val="both"/>
        <w:rPr>
          <w:lang w:val="en-AU"/>
        </w:rPr>
      </w:pPr>
      <w:r>
        <w:rPr>
          <w:lang w:val="en-AU"/>
        </w:rPr>
        <w:t xml:space="preserve">Whittles </w:t>
      </w:r>
      <w:r w:rsidR="00A53E01">
        <w:rPr>
          <w:lang w:val="en-AU"/>
        </w:rPr>
        <w:t xml:space="preserve">immediately </w:t>
      </w:r>
      <w:r>
        <w:rPr>
          <w:lang w:val="en-AU"/>
        </w:rPr>
        <w:t>obtain</w:t>
      </w:r>
      <w:r w:rsidR="00BD5E95">
        <w:rPr>
          <w:lang w:val="en-AU"/>
        </w:rPr>
        <w:t>ed</w:t>
      </w:r>
      <w:r>
        <w:rPr>
          <w:lang w:val="en-AU"/>
        </w:rPr>
        <w:t xml:space="preserve"> insurance </w:t>
      </w:r>
      <w:r w:rsidR="00BD5E95">
        <w:rPr>
          <w:lang w:val="en-AU"/>
        </w:rPr>
        <w:t xml:space="preserve">cover </w:t>
      </w:r>
      <w:r>
        <w:rPr>
          <w:lang w:val="en-AU"/>
        </w:rPr>
        <w:t>for the Corporation.</w:t>
      </w:r>
    </w:p>
    <w:p w14:paraId="73804DC2" w14:textId="77777777" w:rsidR="0037087E" w:rsidRDefault="0037087E" w:rsidP="00EE5C30">
      <w:pPr>
        <w:pStyle w:val="ListParagraph"/>
        <w:ind w:left="1080"/>
        <w:jc w:val="both"/>
        <w:rPr>
          <w:lang w:val="en-AU"/>
        </w:rPr>
      </w:pPr>
    </w:p>
    <w:p w14:paraId="1E060FAC" w14:textId="04BEFF85" w:rsidR="00F15DA8" w:rsidRPr="005E4F06" w:rsidRDefault="00317BA1" w:rsidP="00C758F1">
      <w:pPr>
        <w:pStyle w:val="ListParagraph"/>
        <w:ind w:left="1080"/>
        <w:jc w:val="both"/>
        <w:rPr>
          <w:b/>
          <w:bCs/>
          <w:lang w:val="en-AU"/>
        </w:rPr>
      </w:pPr>
      <w:r w:rsidRPr="005E4F06">
        <w:rPr>
          <w:b/>
          <w:bCs/>
          <w:lang w:val="en-AU"/>
        </w:rPr>
        <w:t>THE SERVICE AGREEMENT</w:t>
      </w:r>
    </w:p>
    <w:p w14:paraId="5FD956AF" w14:textId="77777777" w:rsidR="00317BA1" w:rsidRDefault="00317BA1" w:rsidP="00C758F1">
      <w:pPr>
        <w:pStyle w:val="ListParagraph"/>
        <w:ind w:left="1080"/>
        <w:jc w:val="both"/>
        <w:rPr>
          <w:lang w:val="en-AU"/>
        </w:rPr>
      </w:pPr>
    </w:p>
    <w:p w14:paraId="1BC68FA5" w14:textId="5A4CCC1A" w:rsidR="009E2AE7" w:rsidRDefault="00735AE9" w:rsidP="00E37C32">
      <w:pPr>
        <w:pStyle w:val="ListParagraph"/>
        <w:numPr>
          <w:ilvl w:val="0"/>
          <w:numId w:val="1"/>
        </w:numPr>
        <w:jc w:val="both"/>
        <w:rPr>
          <w:lang w:val="en-AU"/>
        </w:rPr>
      </w:pPr>
      <w:r>
        <w:rPr>
          <w:lang w:val="en-AU"/>
        </w:rPr>
        <w:t>Whittl</w:t>
      </w:r>
      <w:r w:rsidR="00D63D1C">
        <w:rPr>
          <w:lang w:val="en-AU"/>
        </w:rPr>
        <w:t>es was a party to the Services A</w:t>
      </w:r>
      <w:r>
        <w:rPr>
          <w:lang w:val="en-AU"/>
        </w:rPr>
        <w:t xml:space="preserve">greement, which has previously been referred to. </w:t>
      </w:r>
      <w:r w:rsidR="00F15DA8">
        <w:rPr>
          <w:lang w:val="en-AU"/>
        </w:rPr>
        <w:t xml:space="preserve"> </w:t>
      </w:r>
      <w:r w:rsidR="009E2AE7">
        <w:rPr>
          <w:lang w:val="en-AU"/>
        </w:rPr>
        <w:t xml:space="preserve">There are several key clauses of relevance. They are as follows. </w:t>
      </w:r>
      <w:r>
        <w:rPr>
          <w:lang w:val="en-AU"/>
        </w:rPr>
        <w:t>Clause</w:t>
      </w:r>
      <w:r w:rsidR="00134764">
        <w:rPr>
          <w:lang w:val="en-AU"/>
        </w:rPr>
        <w:t> </w:t>
      </w:r>
      <w:r>
        <w:rPr>
          <w:lang w:val="en-AU"/>
        </w:rPr>
        <w:t>3.6 states that the Manager (Whittles) is only authorised to give general advice about insurance relating to the Body Corporate.</w:t>
      </w:r>
      <w:r w:rsidR="00EB426F">
        <w:rPr>
          <w:rStyle w:val="FootnoteReference"/>
          <w:lang w:val="en-AU"/>
        </w:rPr>
        <w:footnoteReference w:id="46"/>
      </w:r>
      <w:r>
        <w:rPr>
          <w:lang w:val="en-AU"/>
        </w:rPr>
        <w:t xml:space="preserve"> If states that if the Body Corporate requires specialist insurance advice the Manager can refer the Body Corporate to an insurance advisor</w:t>
      </w:r>
      <w:r>
        <w:rPr>
          <w:rStyle w:val="FootnoteReference"/>
          <w:lang w:val="en-AU"/>
        </w:rPr>
        <w:footnoteReference w:id="47"/>
      </w:r>
      <w:r>
        <w:rPr>
          <w:lang w:val="en-AU"/>
        </w:rPr>
        <w:t xml:space="preserve">. </w:t>
      </w:r>
    </w:p>
    <w:p w14:paraId="4E4D58A9" w14:textId="77777777" w:rsidR="009E2AE7" w:rsidRDefault="009E2AE7" w:rsidP="00EE5C30">
      <w:pPr>
        <w:pStyle w:val="ListParagraph"/>
        <w:ind w:left="1080"/>
        <w:jc w:val="both"/>
        <w:rPr>
          <w:lang w:val="en-AU"/>
        </w:rPr>
      </w:pPr>
    </w:p>
    <w:p w14:paraId="1FC3DEDF" w14:textId="13A370B3" w:rsidR="009E2AE7" w:rsidRDefault="009E2AE7" w:rsidP="00C53805">
      <w:pPr>
        <w:pStyle w:val="ListParagraph"/>
        <w:ind w:left="1080"/>
        <w:jc w:val="both"/>
        <w:rPr>
          <w:lang w:val="en-AU"/>
        </w:rPr>
      </w:pPr>
      <w:r>
        <w:rPr>
          <w:lang w:val="en-AU"/>
        </w:rPr>
        <w:t>Authorised powers of the Manager</w:t>
      </w:r>
    </w:p>
    <w:p w14:paraId="0027341C" w14:textId="77777777" w:rsidR="009E2AE7" w:rsidRDefault="009E2AE7" w:rsidP="00EE5C30">
      <w:pPr>
        <w:pStyle w:val="ListParagraph"/>
        <w:ind w:left="1080"/>
        <w:jc w:val="both"/>
        <w:rPr>
          <w:lang w:val="en-AU"/>
        </w:rPr>
      </w:pPr>
    </w:p>
    <w:p w14:paraId="216B2CC6" w14:textId="7B870246" w:rsidR="00F15DA8" w:rsidRDefault="009E2AE7" w:rsidP="00E37C32">
      <w:pPr>
        <w:pStyle w:val="ListParagraph"/>
        <w:numPr>
          <w:ilvl w:val="0"/>
          <w:numId w:val="1"/>
        </w:numPr>
        <w:jc w:val="both"/>
        <w:rPr>
          <w:lang w:val="en-AU"/>
        </w:rPr>
      </w:pPr>
      <w:r>
        <w:rPr>
          <w:lang w:val="en-AU"/>
        </w:rPr>
        <w:t>Clause 4.1 states that the Body Corporate authorises the Manager to exercise all of the powers of the Executive and committee members to the full extent permitted by law in performing services set out in this agreement.</w:t>
      </w:r>
      <w:r w:rsidR="00D067BA">
        <w:rPr>
          <w:lang w:val="en-AU"/>
        </w:rPr>
        <w:t xml:space="preserve"> </w:t>
      </w:r>
      <w:r w:rsidR="00735AE9">
        <w:rPr>
          <w:lang w:val="en-AU"/>
        </w:rPr>
        <w:t>Clause 4.2 states that the Manager must only use au</w:t>
      </w:r>
      <w:r w:rsidR="00134764">
        <w:rPr>
          <w:lang w:val="en-AU"/>
        </w:rPr>
        <w:t>thorised powers pursuant to C</w:t>
      </w:r>
      <w:r w:rsidR="00735AE9">
        <w:rPr>
          <w:lang w:val="en-AU"/>
        </w:rPr>
        <w:t xml:space="preserve">lause 4.1 </w:t>
      </w:r>
      <w:r>
        <w:rPr>
          <w:lang w:val="en-AU"/>
        </w:rPr>
        <w:t xml:space="preserve">Clause 4.3 states that the authorisation granted to the Manager does not make the Manager responsible for performing any of the powers that the Body Corporate or the Committee is required to perform under the Act, nor does the authorisation relieve the Body Corporate or the Committee of those powers. </w:t>
      </w:r>
      <w:r w:rsidR="00C53805">
        <w:rPr>
          <w:rStyle w:val="FootnoteReference"/>
          <w:lang w:val="en-AU"/>
        </w:rPr>
        <w:footnoteReference w:id="48"/>
      </w:r>
    </w:p>
    <w:p w14:paraId="49595021" w14:textId="77777777" w:rsidR="008A7792" w:rsidRDefault="008A7792" w:rsidP="00EE5C30">
      <w:pPr>
        <w:pStyle w:val="ListParagraph"/>
        <w:ind w:left="1080"/>
        <w:jc w:val="both"/>
        <w:rPr>
          <w:lang w:val="en-AU"/>
        </w:rPr>
      </w:pPr>
    </w:p>
    <w:p w14:paraId="6F7FE8DB" w14:textId="5E28418B" w:rsidR="00C53805" w:rsidRDefault="00C53805" w:rsidP="00C53805">
      <w:pPr>
        <w:ind w:left="1080"/>
        <w:jc w:val="both"/>
        <w:rPr>
          <w:lang w:val="en-AU"/>
        </w:rPr>
      </w:pPr>
      <w:r>
        <w:rPr>
          <w:lang w:val="en-AU"/>
        </w:rPr>
        <w:t>Liability</w:t>
      </w:r>
      <w:r w:rsidR="008A7792">
        <w:rPr>
          <w:rStyle w:val="FootnoteReference"/>
          <w:lang w:val="en-AU"/>
        </w:rPr>
        <w:footnoteReference w:id="49"/>
      </w:r>
    </w:p>
    <w:p w14:paraId="20B90451" w14:textId="74E75AB5" w:rsidR="00C53805" w:rsidRDefault="00C53805" w:rsidP="00C53805">
      <w:pPr>
        <w:ind w:left="1080"/>
        <w:jc w:val="both"/>
        <w:rPr>
          <w:lang w:val="en-AU"/>
        </w:rPr>
      </w:pPr>
    </w:p>
    <w:p w14:paraId="6A8FD64D" w14:textId="4B0EF63D" w:rsidR="00C53805" w:rsidRDefault="008A7792" w:rsidP="00C53805">
      <w:pPr>
        <w:pStyle w:val="ListParagraph"/>
        <w:numPr>
          <w:ilvl w:val="0"/>
          <w:numId w:val="1"/>
        </w:numPr>
        <w:jc w:val="both"/>
        <w:rPr>
          <w:lang w:val="en-AU"/>
        </w:rPr>
      </w:pPr>
      <w:r>
        <w:rPr>
          <w:lang w:val="en-AU"/>
        </w:rPr>
        <w:t xml:space="preserve">Clause 10.1 states that the Body Corporate is </w:t>
      </w:r>
      <w:r w:rsidR="00666216">
        <w:rPr>
          <w:lang w:val="en-AU"/>
        </w:rPr>
        <w:t>solely</w:t>
      </w:r>
      <w:r>
        <w:rPr>
          <w:lang w:val="en-AU"/>
        </w:rPr>
        <w:t xml:space="preserve"> liable for all claims brought against it, and all actions taken against it, and it will maintain public liability insurance cover of an appropriate level and such other insurance that a reasonably prudent person would do. </w:t>
      </w:r>
    </w:p>
    <w:p w14:paraId="0E7E747C" w14:textId="77777777" w:rsidR="00390B2B" w:rsidRDefault="00390B2B" w:rsidP="00EE5C30">
      <w:pPr>
        <w:pStyle w:val="ListParagraph"/>
        <w:ind w:left="1080"/>
        <w:jc w:val="both"/>
        <w:rPr>
          <w:lang w:val="en-AU"/>
        </w:rPr>
      </w:pPr>
    </w:p>
    <w:p w14:paraId="43604B78" w14:textId="2447622F" w:rsidR="008A7792" w:rsidRDefault="008A7792" w:rsidP="00C53805">
      <w:pPr>
        <w:pStyle w:val="ListParagraph"/>
        <w:numPr>
          <w:ilvl w:val="0"/>
          <w:numId w:val="1"/>
        </w:numPr>
        <w:jc w:val="both"/>
        <w:rPr>
          <w:lang w:val="en-AU"/>
        </w:rPr>
      </w:pPr>
      <w:r>
        <w:rPr>
          <w:lang w:val="en-AU"/>
        </w:rPr>
        <w:t>Clause 10.2 states that the Manager will at all times maintain professional indemnity insurance of sufficient level, and in accordance with the specific requirements of the Act.</w:t>
      </w:r>
    </w:p>
    <w:p w14:paraId="310C9B2D" w14:textId="77777777" w:rsidR="00390B2B" w:rsidRPr="00390B2B" w:rsidRDefault="00390B2B" w:rsidP="00EE5C30">
      <w:pPr>
        <w:pStyle w:val="ListParagraph"/>
        <w:rPr>
          <w:lang w:val="en-AU"/>
        </w:rPr>
      </w:pPr>
    </w:p>
    <w:p w14:paraId="618E7432" w14:textId="77777777" w:rsidR="00390B2B" w:rsidRDefault="00390B2B" w:rsidP="00EE5C30">
      <w:pPr>
        <w:pStyle w:val="ListParagraph"/>
        <w:ind w:left="1080"/>
        <w:jc w:val="both"/>
        <w:rPr>
          <w:lang w:val="en-AU"/>
        </w:rPr>
      </w:pPr>
    </w:p>
    <w:p w14:paraId="79585640" w14:textId="728D2136" w:rsidR="00550158" w:rsidRDefault="00550158" w:rsidP="00C53805">
      <w:pPr>
        <w:pStyle w:val="ListParagraph"/>
        <w:numPr>
          <w:ilvl w:val="0"/>
          <w:numId w:val="1"/>
        </w:numPr>
        <w:jc w:val="both"/>
        <w:rPr>
          <w:lang w:val="en-AU"/>
        </w:rPr>
      </w:pPr>
      <w:r>
        <w:rPr>
          <w:lang w:val="en-AU"/>
        </w:rPr>
        <w:lastRenderedPageBreak/>
        <w:t xml:space="preserve">Clause 10.6.1 states that the Manager will not be liable to the Body Corporate for any claim loss or damage suffered due to – 10.6.1- a failure of the Manager to perform the Services as set out in this Agreement, because the Body Corporate or Committee fails to make an appropriate decision in relation to the provision of such services or does not have sufficient funds to allow the </w:t>
      </w:r>
      <w:r w:rsidR="004822B0">
        <w:rPr>
          <w:lang w:val="en-AU"/>
        </w:rPr>
        <w:t>Manager</w:t>
      </w:r>
      <w:r>
        <w:rPr>
          <w:lang w:val="en-AU"/>
        </w:rPr>
        <w:t xml:space="preserve"> to carry out its functions.</w:t>
      </w:r>
    </w:p>
    <w:p w14:paraId="507692AF" w14:textId="701028BB" w:rsidR="00AE671F" w:rsidRDefault="00AE671F" w:rsidP="00AE671F">
      <w:pPr>
        <w:jc w:val="both"/>
        <w:rPr>
          <w:lang w:val="en-AU"/>
        </w:rPr>
      </w:pPr>
    </w:p>
    <w:p w14:paraId="4FED057F" w14:textId="1B0C7F7A" w:rsidR="00AE671F" w:rsidRPr="00EE5C30" w:rsidRDefault="00AE671F" w:rsidP="00AE671F">
      <w:pPr>
        <w:ind w:left="1080"/>
        <w:jc w:val="both"/>
        <w:rPr>
          <w:u w:val="single"/>
          <w:lang w:val="en-AU"/>
        </w:rPr>
      </w:pPr>
      <w:r w:rsidRPr="00EE5C30">
        <w:rPr>
          <w:u w:val="single"/>
          <w:lang w:val="en-AU"/>
        </w:rPr>
        <w:t>Schedule A- Agreed Services- two key clauses</w:t>
      </w:r>
    </w:p>
    <w:p w14:paraId="5B1E57AF" w14:textId="77777777" w:rsidR="00AE671F" w:rsidRPr="00EE5C30" w:rsidRDefault="00AE671F" w:rsidP="00EE5C30">
      <w:pPr>
        <w:jc w:val="both"/>
        <w:rPr>
          <w:u w:val="single"/>
          <w:lang w:val="en-AU"/>
        </w:rPr>
      </w:pPr>
    </w:p>
    <w:p w14:paraId="59D98F2D" w14:textId="3616C98A" w:rsidR="00AE671F" w:rsidRDefault="00AE671F" w:rsidP="00AE671F">
      <w:pPr>
        <w:ind w:left="1080"/>
        <w:jc w:val="both"/>
        <w:rPr>
          <w:lang w:val="en-AU"/>
        </w:rPr>
      </w:pPr>
      <w:r>
        <w:rPr>
          <w:lang w:val="en-AU"/>
        </w:rPr>
        <w:t>Clause 1.4</w:t>
      </w:r>
    </w:p>
    <w:p w14:paraId="233E7B5E" w14:textId="2F0F7C86" w:rsidR="00AE671F" w:rsidRDefault="00AE671F" w:rsidP="00AE671F">
      <w:pPr>
        <w:ind w:left="1080"/>
        <w:jc w:val="both"/>
        <w:rPr>
          <w:lang w:val="en-AU"/>
        </w:rPr>
      </w:pPr>
    </w:p>
    <w:p w14:paraId="0028DD13" w14:textId="5E687EC0" w:rsidR="00AE671F" w:rsidRDefault="000E2DB5" w:rsidP="00AE671F">
      <w:pPr>
        <w:pStyle w:val="ListParagraph"/>
        <w:numPr>
          <w:ilvl w:val="0"/>
          <w:numId w:val="1"/>
        </w:numPr>
        <w:jc w:val="both"/>
        <w:rPr>
          <w:lang w:val="en-AU"/>
        </w:rPr>
      </w:pPr>
      <w:r>
        <w:rPr>
          <w:lang w:val="en-AU"/>
        </w:rPr>
        <w:t>To ensure that insurances are renewed in accordance with resolutions of the Committee and Body Corporate and the terms of this Engagement</w:t>
      </w:r>
    </w:p>
    <w:p w14:paraId="69D38090" w14:textId="77F0374C" w:rsidR="000E2DB5" w:rsidRDefault="000E2DB5" w:rsidP="000E2DB5">
      <w:pPr>
        <w:ind w:left="720"/>
        <w:jc w:val="both"/>
        <w:rPr>
          <w:lang w:val="en-AU"/>
        </w:rPr>
      </w:pPr>
    </w:p>
    <w:p w14:paraId="55865B97" w14:textId="625A4623" w:rsidR="000E2DB5" w:rsidRDefault="000E2DB5" w:rsidP="000E2DB5">
      <w:pPr>
        <w:ind w:left="1080"/>
        <w:jc w:val="both"/>
        <w:rPr>
          <w:lang w:val="en-AU"/>
        </w:rPr>
      </w:pPr>
      <w:r>
        <w:rPr>
          <w:lang w:val="en-AU"/>
        </w:rPr>
        <w:t>Clause 1.9</w:t>
      </w:r>
    </w:p>
    <w:p w14:paraId="3C41A4C0" w14:textId="3D5A3324" w:rsidR="000E2DB5" w:rsidRDefault="000E2DB5" w:rsidP="000E2DB5">
      <w:pPr>
        <w:ind w:left="1080"/>
        <w:jc w:val="both"/>
        <w:rPr>
          <w:lang w:val="en-AU"/>
        </w:rPr>
      </w:pPr>
    </w:p>
    <w:p w14:paraId="4868BA4E" w14:textId="2A4422F8" w:rsidR="000E2DB5" w:rsidRDefault="006D3EDA" w:rsidP="000E2DB5">
      <w:pPr>
        <w:pStyle w:val="ListParagraph"/>
        <w:numPr>
          <w:ilvl w:val="0"/>
          <w:numId w:val="1"/>
        </w:numPr>
        <w:jc w:val="both"/>
        <w:rPr>
          <w:lang w:val="en-AU"/>
        </w:rPr>
      </w:pPr>
      <w:r>
        <w:rPr>
          <w:lang w:val="en-AU"/>
        </w:rPr>
        <w:t>To deal with inward and outward correspondence that can be reasonably expected in the normal managing of the Body Corporate and to inform the Committee Nominee of its nature and importance wherever necessary.</w:t>
      </w:r>
    </w:p>
    <w:p w14:paraId="12FE3B2B" w14:textId="77777777" w:rsidR="006D3EDA" w:rsidRPr="006D3EDA" w:rsidRDefault="006D3EDA" w:rsidP="00362C1D">
      <w:pPr>
        <w:ind w:left="720"/>
        <w:jc w:val="both"/>
        <w:rPr>
          <w:lang w:val="en-AU"/>
        </w:rPr>
      </w:pPr>
    </w:p>
    <w:p w14:paraId="7FFBAA6B" w14:textId="32C065F7" w:rsidR="00AA5002" w:rsidRPr="00904462" w:rsidRDefault="00191D1B" w:rsidP="00B57C6C">
      <w:pPr>
        <w:ind w:left="720"/>
        <w:jc w:val="both"/>
        <w:rPr>
          <w:b/>
          <w:bCs/>
          <w:u w:val="single"/>
          <w:lang w:val="en-AU"/>
        </w:rPr>
      </w:pPr>
      <w:r w:rsidRPr="00904462">
        <w:rPr>
          <w:b/>
          <w:bCs/>
          <w:u w:val="single"/>
          <w:lang w:val="en-AU"/>
        </w:rPr>
        <w:t>ANALYSIS</w:t>
      </w:r>
      <w:r w:rsidR="00820D8C" w:rsidRPr="00904462">
        <w:rPr>
          <w:b/>
          <w:bCs/>
          <w:u w:val="single"/>
          <w:lang w:val="en-AU"/>
        </w:rPr>
        <w:t xml:space="preserve"> &amp; FINDINGS</w:t>
      </w:r>
    </w:p>
    <w:p w14:paraId="336AC919" w14:textId="77777777" w:rsidR="00191D1B" w:rsidRPr="00AA5002" w:rsidRDefault="00191D1B" w:rsidP="00362C1D">
      <w:pPr>
        <w:ind w:left="720"/>
        <w:jc w:val="both"/>
        <w:rPr>
          <w:lang w:val="en-AU"/>
        </w:rPr>
      </w:pPr>
    </w:p>
    <w:p w14:paraId="5889199A" w14:textId="26A9D477" w:rsidR="00B57C6C" w:rsidRDefault="00B57C6C" w:rsidP="00B57C6C">
      <w:pPr>
        <w:pStyle w:val="ListParagraph"/>
        <w:numPr>
          <w:ilvl w:val="0"/>
          <w:numId w:val="1"/>
        </w:numPr>
        <w:jc w:val="both"/>
        <w:rPr>
          <w:lang w:val="en-AU"/>
        </w:rPr>
      </w:pPr>
      <w:r>
        <w:rPr>
          <w:lang w:val="en-AU"/>
        </w:rPr>
        <w:t xml:space="preserve">There are two </w:t>
      </w:r>
      <w:r w:rsidR="00D03C57">
        <w:rPr>
          <w:lang w:val="en-AU"/>
        </w:rPr>
        <w:t xml:space="preserve">potential </w:t>
      </w:r>
      <w:r>
        <w:rPr>
          <w:lang w:val="en-AU"/>
        </w:rPr>
        <w:t>bases of liability, which are:</w:t>
      </w:r>
    </w:p>
    <w:p w14:paraId="108EC017" w14:textId="7A6AF981" w:rsidR="00B57C6C" w:rsidRDefault="00B57C6C" w:rsidP="00B57C6C">
      <w:pPr>
        <w:pStyle w:val="ListParagraph"/>
        <w:numPr>
          <w:ilvl w:val="1"/>
          <w:numId w:val="1"/>
        </w:numPr>
        <w:jc w:val="both"/>
        <w:rPr>
          <w:lang w:val="en-AU"/>
        </w:rPr>
      </w:pPr>
      <w:r>
        <w:rPr>
          <w:lang w:val="en-AU"/>
        </w:rPr>
        <w:t>A failure to perform a duty to the principal,</w:t>
      </w:r>
      <w:r w:rsidR="00BD44FE">
        <w:rPr>
          <w:lang w:val="en-AU"/>
        </w:rPr>
        <w:t xml:space="preserve"> (s 65(1)(c)</w:t>
      </w:r>
      <w:r>
        <w:rPr>
          <w:lang w:val="en-AU"/>
        </w:rPr>
        <w:t xml:space="preserve"> and/or</w:t>
      </w:r>
    </w:p>
    <w:p w14:paraId="4269AB4C" w14:textId="35BA696C" w:rsidR="00B57C6C" w:rsidRDefault="00B57C6C" w:rsidP="00B57C6C">
      <w:pPr>
        <w:pStyle w:val="ListParagraph"/>
        <w:numPr>
          <w:ilvl w:val="1"/>
          <w:numId w:val="1"/>
        </w:numPr>
        <w:jc w:val="both"/>
        <w:rPr>
          <w:lang w:val="en-AU"/>
        </w:rPr>
      </w:pPr>
      <w:r>
        <w:rPr>
          <w:lang w:val="en-AU"/>
        </w:rPr>
        <w:t xml:space="preserve">A failure to exercise due skill, care and diligence in carrying out duties on behalf of the principal. </w:t>
      </w:r>
      <w:r w:rsidR="00BD44FE">
        <w:rPr>
          <w:lang w:val="en-AU"/>
        </w:rPr>
        <w:t>(s 65(1) (d)</w:t>
      </w:r>
    </w:p>
    <w:p w14:paraId="00EA69BA" w14:textId="3BE6BB0B" w:rsidR="00C135CB" w:rsidRDefault="00C135CB" w:rsidP="0081629A">
      <w:pPr>
        <w:pStyle w:val="ListParagraph"/>
        <w:ind w:left="1800"/>
        <w:jc w:val="both"/>
        <w:rPr>
          <w:lang w:val="en-AU"/>
        </w:rPr>
      </w:pPr>
    </w:p>
    <w:p w14:paraId="1DA270DD" w14:textId="1D69231D" w:rsidR="00C135CB" w:rsidRPr="00904462" w:rsidRDefault="00C135CB" w:rsidP="0081629A">
      <w:pPr>
        <w:pStyle w:val="ListParagraph"/>
        <w:ind w:left="1800"/>
        <w:jc w:val="both"/>
        <w:rPr>
          <w:b/>
          <w:bCs/>
          <w:lang w:val="en-AU"/>
        </w:rPr>
      </w:pPr>
      <w:r w:rsidRPr="00904462">
        <w:rPr>
          <w:b/>
          <w:bCs/>
          <w:lang w:val="en-AU"/>
        </w:rPr>
        <w:t>Section 65(1)(c)</w:t>
      </w:r>
    </w:p>
    <w:p w14:paraId="4BAB4771" w14:textId="77777777" w:rsidR="00C135CB" w:rsidRDefault="00C135CB" w:rsidP="00362C1D">
      <w:pPr>
        <w:pStyle w:val="ListParagraph"/>
        <w:ind w:left="1800"/>
        <w:jc w:val="both"/>
        <w:rPr>
          <w:lang w:val="en-AU"/>
        </w:rPr>
      </w:pPr>
    </w:p>
    <w:p w14:paraId="5F5397E2" w14:textId="5EF697F9" w:rsidR="000D5827" w:rsidRDefault="00B57C6C" w:rsidP="00EC3402">
      <w:pPr>
        <w:pStyle w:val="ListParagraph"/>
        <w:numPr>
          <w:ilvl w:val="0"/>
          <w:numId w:val="1"/>
        </w:numPr>
        <w:jc w:val="both"/>
        <w:rPr>
          <w:lang w:val="en-AU"/>
        </w:rPr>
      </w:pPr>
      <w:r w:rsidRPr="00EC3402">
        <w:rPr>
          <w:lang w:val="en-AU"/>
        </w:rPr>
        <w:t xml:space="preserve"> When examined carefully the bases of liability are quite different. </w:t>
      </w:r>
      <w:r w:rsidR="000D5827" w:rsidRPr="00EC3402">
        <w:rPr>
          <w:lang w:val="en-AU"/>
        </w:rPr>
        <w:t xml:space="preserve">Turning firstly to a </w:t>
      </w:r>
      <w:r w:rsidR="000D5827" w:rsidRPr="00063BCF">
        <w:rPr>
          <w:lang w:val="en-AU"/>
        </w:rPr>
        <w:t xml:space="preserve">purported failure to perform </w:t>
      </w:r>
      <w:r w:rsidR="000D5827" w:rsidRPr="0081629A">
        <w:rPr>
          <w:lang w:val="en-AU"/>
        </w:rPr>
        <w:t xml:space="preserve">a duty to its principal, what is alleged against </w:t>
      </w:r>
      <w:r w:rsidR="000D5827" w:rsidRPr="00E05CB4">
        <w:rPr>
          <w:lang w:val="en-AU"/>
        </w:rPr>
        <w:t xml:space="preserve">Whittles is that it had a duty to ensure that the </w:t>
      </w:r>
      <w:r w:rsidR="00AC23A3">
        <w:rPr>
          <w:lang w:val="en-AU"/>
        </w:rPr>
        <w:t>Body Corporate</w:t>
      </w:r>
      <w:r w:rsidR="000D5827" w:rsidRPr="009E7E39">
        <w:rPr>
          <w:lang w:val="en-AU"/>
        </w:rPr>
        <w:t>’</w:t>
      </w:r>
      <w:r w:rsidR="000D5827" w:rsidRPr="00ED7DA3">
        <w:rPr>
          <w:lang w:val="en-AU"/>
        </w:rPr>
        <w:t xml:space="preserve">s </w:t>
      </w:r>
      <w:r w:rsidR="000D5827" w:rsidRPr="00430B1F">
        <w:rPr>
          <w:lang w:val="en-AU"/>
        </w:rPr>
        <w:t>insurance</w:t>
      </w:r>
      <w:r w:rsidR="000D5827" w:rsidRPr="00BD44FE">
        <w:rPr>
          <w:lang w:val="en-AU"/>
        </w:rPr>
        <w:t xml:space="preserve"> co</w:t>
      </w:r>
      <w:r w:rsidR="000D5827" w:rsidRPr="00E73BDB">
        <w:rPr>
          <w:lang w:val="en-AU"/>
        </w:rPr>
        <w:t>ver (essentially public liability</w:t>
      </w:r>
      <w:r w:rsidR="00F907F8">
        <w:rPr>
          <w:lang w:val="en-AU"/>
        </w:rPr>
        <w:t xml:space="preserve"> insurance</w:t>
      </w:r>
      <w:r w:rsidR="000D5827" w:rsidRPr="00E73BDB">
        <w:rPr>
          <w:lang w:val="en-AU"/>
        </w:rPr>
        <w:t xml:space="preserve">) </w:t>
      </w:r>
      <w:r w:rsidR="00063BCF">
        <w:rPr>
          <w:lang w:val="en-AU"/>
        </w:rPr>
        <w:t xml:space="preserve">was </w:t>
      </w:r>
      <w:r w:rsidR="000D5827" w:rsidRPr="00EC3402">
        <w:rPr>
          <w:lang w:val="en-AU"/>
        </w:rPr>
        <w:t>renewed on time.</w:t>
      </w:r>
      <w:r w:rsidR="00063BCF">
        <w:rPr>
          <w:rStyle w:val="FootnoteReference"/>
          <w:lang w:val="en-AU"/>
        </w:rPr>
        <w:footnoteReference w:id="50"/>
      </w:r>
      <w:r w:rsidR="000D5827" w:rsidRPr="00063BCF">
        <w:rPr>
          <w:lang w:val="en-AU"/>
        </w:rPr>
        <w:t xml:space="preserve"> </w:t>
      </w:r>
      <w:r w:rsidR="00EC3402" w:rsidRPr="00063BCF">
        <w:rPr>
          <w:lang w:val="en-AU"/>
        </w:rPr>
        <w:t>T</w:t>
      </w:r>
      <w:r w:rsidR="00EC3402" w:rsidRPr="0081629A">
        <w:rPr>
          <w:lang w:val="en-AU"/>
        </w:rPr>
        <w:t xml:space="preserve">he case against it principally rests upon </w:t>
      </w:r>
      <w:r w:rsidR="00E05CB4">
        <w:rPr>
          <w:lang w:val="en-AU"/>
        </w:rPr>
        <w:t xml:space="preserve">an interpretation of </w:t>
      </w:r>
      <w:r w:rsidR="00134764">
        <w:rPr>
          <w:lang w:val="en-AU"/>
        </w:rPr>
        <w:t>C</w:t>
      </w:r>
      <w:r w:rsidR="00EC3402" w:rsidRPr="0081629A">
        <w:rPr>
          <w:lang w:val="en-AU"/>
        </w:rPr>
        <w:t>lause 1.</w:t>
      </w:r>
      <w:r w:rsidR="00EC3402" w:rsidRPr="00E05CB4">
        <w:rPr>
          <w:lang w:val="en-AU"/>
        </w:rPr>
        <w:t>4.</w:t>
      </w:r>
      <w:r w:rsidR="0081629A">
        <w:rPr>
          <w:rStyle w:val="FootnoteReference"/>
          <w:lang w:val="en-AU"/>
        </w:rPr>
        <w:footnoteReference w:id="51"/>
      </w:r>
      <w:r w:rsidR="00EC3402" w:rsidRPr="0081629A">
        <w:rPr>
          <w:lang w:val="en-AU"/>
        </w:rPr>
        <w:t xml:space="preserve">, which </w:t>
      </w:r>
      <w:r w:rsidR="00EC3402" w:rsidRPr="00E05CB4">
        <w:rPr>
          <w:lang w:val="en-AU"/>
        </w:rPr>
        <w:t xml:space="preserve">states that the Manager (Whittles) is to </w:t>
      </w:r>
      <w:r w:rsidR="00E05CB4">
        <w:rPr>
          <w:lang w:val="en-AU"/>
        </w:rPr>
        <w:t>“</w:t>
      </w:r>
      <w:r w:rsidR="00EC3402" w:rsidRPr="00E05CB4">
        <w:rPr>
          <w:lang w:val="en-AU"/>
        </w:rPr>
        <w:t>ensure that the insurances are renewed in accordance with resolutions of the committee</w:t>
      </w:r>
      <w:r w:rsidR="00EC3402" w:rsidRPr="009E7E39">
        <w:rPr>
          <w:lang w:val="en-AU"/>
        </w:rPr>
        <w:t xml:space="preserve"> </w:t>
      </w:r>
      <w:r w:rsidR="00EC3402" w:rsidRPr="00ED7DA3">
        <w:rPr>
          <w:lang w:val="en-AU"/>
        </w:rPr>
        <w:t>and the Bod</w:t>
      </w:r>
      <w:r w:rsidR="00EC3402" w:rsidRPr="00430B1F">
        <w:rPr>
          <w:lang w:val="en-AU"/>
        </w:rPr>
        <w:t>y Corporate and the terms of this engagement</w:t>
      </w:r>
      <w:r w:rsidR="00E05CB4">
        <w:rPr>
          <w:lang w:val="en-AU"/>
        </w:rPr>
        <w:t>”</w:t>
      </w:r>
      <w:r w:rsidR="00EC3402" w:rsidRPr="00E05CB4">
        <w:rPr>
          <w:lang w:val="en-AU"/>
        </w:rPr>
        <w:t xml:space="preserve">. </w:t>
      </w:r>
      <w:r w:rsidR="0093577C">
        <w:rPr>
          <w:lang w:val="en-AU"/>
        </w:rPr>
        <w:t xml:space="preserve">The word </w:t>
      </w:r>
      <w:r w:rsidR="00063BCF">
        <w:rPr>
          <w:lang w:val="en-AU"/>
        </w:rPr>
        <w:t>“ensure” is</w:t>
      </w:r>
      <w:r w:rsidR="0093577C">
        <w:rPr>
          <w:lang w:val="en-AU"/>
        </w:rPr>
        <w:t xml:space="preserve"> </w:t>
      </w:r>
      <w:r w:rsidR="00063BCF">
        <w:rPr>
          <w:lang w:val="en-AU"/>
        </w:rPr>
        <w:t>not without significance. However, the difficulty here</w:t>
      </w:r>
      <w:r w:rsidR="0081629A">
        <w:rPr>
          <w:lang w:val="en-AU"/>
        </w:rPr>
        <w:t xml:space="preserve"> for the </w:t>
      </w:r>
      <w:r w:rsidR="00EC22B7">
        <w:rPr>
          <w:lang w:val="en-AU"/>
        </w:rPr>
        <w:t>argument</w:t>
      </w:r>
      <w:r w:rsidR="0081629A">
        <w:rPr>
          <w:lang w:val="en-AU"/>
        </w:rPr>
        <w:t xml:space="preserve"> against </w:t>
      </w:r>
      <w:r w:rsidR="00666216">
        <w:rPr>
          <w:lang w:val="en-AU"/>
        </w:rPr>
        <w:t xml:space="preserve">Whittles </w:t>
      </w:r>
      <w:r w:rsidR="00666216" w:rsidRPr="00063BCF">
        <w:rPr>
          <w:lang w:val="en-AU"/>
        </w:rPr>
        <w:t>is</w:t>
      </w:r>
      <w:r w:rsidR="00EC3402" w:rsidRPr="00063BCF">
        <w:rPr>
          <w:lang w:val="en-AU"/>
        </w:rPr>
        <w:t xml:space="preserve"> that there is no evidence provided to the Board of a resolution of the Committee and/or the Body Corporate</w:t>
      </w:r>
      <w:r w:rsidR="00063BCF">
        <w:rPr>
          <w:lang w:val="en-AU"/>
        </w:rPr>
        <w:t>- with regard to the renewal of the particular insurance policy or indeed any other</w:t>
      </w:r>
      <w:r w:rsidR="0081629A">
        <w:rPr>
          <w:lang w:val="en-AU"/>
        </w:rPr>
        <w:t xml:space="preserve"> insurance policy</w:t>
      </w:r>
      <w:r w:rsidR="00EC3402">
        <w:rPr>
          <w:lang w:val="en-AU"/>
        </w:rPr>
        <w:t xml:space="preserve">. </w:t>
      </w:r>
      <w:r w:rsidR="00D067BA">
        <w:rPr>
          <w:lang w:val="en-AU"/>
        </w:rPr>
        <w:t>It</w:t>
      </w:r>
      <w:r w:rsidR="00063BCF">
        <w:rPr>
          <w:lang w:val="en-AU"/>
        </w:rPr>
        <w:t xml:space="preserve"> </w:t>
      </w:r>
      <w:r w:rsidR="0081629A">
        <w:rPr>
          <w:lang w:val="en-AU"/>
        </w:rPr>
        <w:t xml:space="preserve">is </w:t>
      </w:r>
      <w:r w:rsidR="0093577C">
        <w:rPr>
          <w:lang w:val="en-AU"/>
        </w:rPr>
        <w:t xml:space="preserve">reasonable </w:t>
      </w:r>
      <w:r w:rsidR="00063BCF">
        <w:rPr>
          <w:lang w:val="en-AU"/>
        </w:rPr>
        <w:t>to assume that</w:t>
      </w:r>
      <w:r w:rsidR="0093577C">
        <w:rPr>
          <w:lang w:val="en-AU"/>
        </w:rPr>
        <w:t xml:space="preserve"> </w:t>
      </w:r>
      <w:r w:rsidR="00390B2B">
        <w:rPr>
          <w:lang w:val="en-AU"/>
        </w:rPr>
        <w:t>proper</w:t>
      </w:r>
      <w:r w:rsidR="00D067BA">
        <w:rPr>
          <w:lang w:val="en-AU"/>
        </w:rPr>
        <w:t xml:space="preserve"> business practice is that </w:t>
      </w:r>
      <w:r w:rsidR="00063BCF">
        <w:rPr>
          <w:lang w:val="en-AU"/>
        </w:rPr>
        <w:t xml:space="preserve">the old insurance policy is not to be renewed unless there is a </w:t>
      </w:r>
      <w:r w:rsidR="00063BCF">
        <w:rPr>
          <w:lang w:val="en-AU"/>
        </w:rPr>
        <w:lastRenderedPageBreak/>
        <w:t xml:space="preserve">resolution from the Committee in this regard. </w:t>
      </w:r>
      <w:r w:rsidR="00D067BA">
        <w:rPr>
          <w:lang w:val="en-AU"/>
        </w:rPr>
        <w:t xml:space="preserve">This accords with a </w:t>
      </w:r>
      <w:r w:rsidR="00134DB8">
        <w:rPr>
          <w:lang w:val="en-AU"/>
        </w:rPr>
        <w:t>common-sense</w:t>
      </w:r>
      <w:r w:rsidR="00D067BA">
        <w:rPr>
          <w:lang w:val="en-AU"/>
        </w:rPr>
        <w:t xml:space="preserve"> interpretation of </w:t>
      </w:r>
      <w:r w:rsidR="00134764">
        <w:rPr>
          <w:lang w:val="en-AU"/>
        </w:rPr>
        <w:t>C</w:t>
      </w:r>
      <w:r w:rsidR="00D067BA">
        <w:rPr>
          <w:lang w:val="en-AU"/>
        </w:rPr>
        <w:t>lause 1.</w:t>
      </w:r>
      <w:r w:rsidR="00390B2B">
        <w:rPr>
          <w:lang w:val="en-AU"/>
        </w:rPr>
        <w:t>4</w:t>
      </w:r>
      <w:r w:rsidR="00D067BA">
        <w:rPr>
          <w:lang w:val="en-AU"/>
        </w:rPr>
        <w:t xml:space="preserve">. </w:t>
      </w:r>
      <w:r w:rsidR="00063BCF">
        <w:rPr>
          <w:lang w:val="en-AU"/>
        </w:rPr>
        <w:t xml:space="preserve">In the absence of </w:t>
      </w:r>
      <w:r w:rsidR="00D067BA">
        <w:rPr>
          <w:lang w:val="en-AU"/>
        </w:rPr>
        <w:t>such a resolution</w:t>
      </w:r>
      <w:r w:rsidR="00063BCF">
        <w:rPr>
          <w:lang w:val="en-AU"/>
        </w:rPr>
        <w:t xml:space="preserve">, Whittles’ argument that it had neither a duty to ensure that the corporation renew its insurance policy, nor the power to do so, has merit. Accordingly, the argument against Whittles on this </w:t>
      </w:r>
      <w:r w:rsidR="00E05CB4">
        <w:rPr>
          <w:lang w:val="en-AU"/>
        </w:rPr>
        <w:t xml:space="preserve">ground </w:t>
      </w:r>
      <w:r w:rsidR="00063BCF">
        <w:rPr>
          <w:lang w:val="en-AU"/>
        </w:rPr>
        <w:t xml:space="preserve">must fail. </w:t>
      </w:r>
      <w:r w:rsidR="0093577C">
        <w:rPr>
          <w:lang w:val="en-AU"/>
        </w:rPr>
        <w:t xml:space="preserve">It is not necessary to </w:t>
      </w:r>
      <w:r w:rsidR="0081629A">
        <w:rPr>
          <w:lang w:val="en-AU"/>
        </w:rPr>
        <w:t>turn to an argument concerning failure to carry out lawful instruction</w:t>
      </w:r>
      <w:r w:rsidR="00D067BA">
        <w:rPr>
          <w:lang w:val="en-AU"/>
        </w:rPr>
        <w:t xml:space="preserve">, </w:t>
      </w:r>
      <w:r w:rsidR="0081629A">
        <w:rPr>
          <w:lang w:val="en-AU"/>
        </w:rPr>
        <w:t>which has not been alleged in the case against Whitt</w:t>
      </w:r>
      <w:r w:rsidR="009D0F74">
        <w:rPr>
          <w:lang w:val="en-AU"/>
        </w:rPr>
        <w:t>l</w:t>
      </w:r>
      <w:r w:rsidR="0081629A">
        <w:rPr>
          <w:lang w:val="en-AU"/>
        </w:rPr>
        <w:t xml:space="preserve">es, and </w:t>
      </w:r>
      <w:r w:rsidR="009D0F74">
        <w:rPr>
          <w:lang w:val="en-AU"/>
        </w:rPr>
        <w:t xml:space="preserve">which </w:t>
      </w:r>
      <w:r w:rsidR="0081629A">
        <w:rPr>
          <w:lang w:val="en-AU"/>
        </w:rPr>
        <w:t>is, in any event, without foundation.</w:t>
      </w:r>
    </w:p>
    <w:p w14:paraId="39F4BCB4" w14:textId="7CF81616" w:rsidR="00C135CB" w:rsidRDefault="00C135CB" w:rsidP="00D229A7">
      <w:pPr>
        <w:pStyle w:val="ListParagraph"/>
        <w:ind w:left="1080"/>
        <w:jc w:val="both"/>
        <w:rPr>
          <w:lang w:val="en-AU"/>
        </w:rPr>
      </w:pPr>
    </w:p>
    <w:p w14:paraId="54743BE2" w14:textId="1B57D166" w:rsidR="00C135CB" w:rsidRPr="00904462" w:rsidRDefault="00DF040B" w:rsidP="00C135CB">
      <w:pPr>
        <w:pStyle w:val="ListParagraph"/>
        <w:ind w:left="1440"/>
        <w:jc w:val="both"/>
        <w:rPr>
          <w:b/>
          <w:bCs/>
          <w:u w:val="single"/>
          <w:lang w:val="en-AU"/>
        </w:rPr>
      </w:pPr>
      <w:r>
        <w:rPr>
          <w:b/>
          <w:bCs/>
          <w:u w:val="single"/>
          <w:lang w:val="en-AU"/>
        </w:rPr>
        <w:t>Section 65</w:t>
      </w:r>
      <w:r w:rsidR="00C135CB" w:rsidRPr="00904462">
        <w:rPr>
          <w:b/>
          <w:bCs/>
          <w:u w:val="single"/>
          <w:lang w:val="en-AU"/>
        </w:rPr>
        <w:t>(1)(d)</w:t>
      </w:r>
    </w:p>
    <w:p w14:paraId="0FCC19F9" w14:textId="77777777" w:rsidR="00C135CB" w:rsidRDefault="00C135CB" w:rsidP="00362C1D">
      <w:pPr>
        <w:pStyle w:val="ListParagraph"/>
        <w:ind w:left="1440"/>
        <w:jc w:val="both"/>
        <w:rPr>
          <w:lang w:val="en-AU"/>
        </w:rPr>
      </w:pPr>
    </w:p>
    <w:p w14:paraId="293AE108" w14:textId="565136D4" w:rsidR="0081629A" w:rsidRDefault="00E05CB4" w:rsidP="00EC3402">
      <w:pPr>
        <w:pStyle w:val="ListParagraph"/>
        <w:numPr>
          <w:ilvl w:val="0"/>
          <w:numId w:val="1"/>
        </w:numPr>
        <w:jc w:val="both"/>
        <w:rPr>
          <w:lang w:val="en-AU"/>
        </w:rPr>
      </w:pPr>
      <w:r>
        <w:rPr>
          <w:lang w:val="en-AU"/>
        </w:rPr>
        <w:t xml:space="preserve">It is the second ground, namely that which </w:t>
      </w:r>
      <w:r w:rsidR="009E7E39">
        <w:rPr>
          <w:lang w:val="en-AU"/>
        </w:rPr>
        <w:t>concern</w:t>
      </w:r>
      <w:r>
        <w:rPr>
          <w:lang w:val="en-AU"/>
        </w:rPr>
        <w:t>s an allegation of fa</w:t>
      </w:r>
      <w:r w:rsidR="009E7E39">
        <w:rPr>
          <w:lang w:val="en-AU"/>
        </w:rPr>
        <w:t>ilure to exercise due skill, care or diligence in carrying out its duties on behalf of its principal, which provides greater difficulty for Whittles. As counsel for Whittles accepts,</w:t>
      </w:r>
      <w:r w:rsidR="009529BC">
        <w:rPr>
          <w:rStyle w:val="FootnoteReference"/>
          <w:lang w:val="en-AU"/>
        </w:rPr>
        <w:footnoteReference w:id="52"/>
      </w:r>
      <w:r w:rsidR="009E7E39">
        <w:rPr>
          <w:lang w:val="en-AU"/>
        </w:rPr>
        <w:t xml:space="preserve"> the extent of the duty depends on the terms and limits of the retainer and any duty of care to be implied must be related to what the [</w:t>
      </w:r>
      <w:r w:rsidR="00D067BA">
        <w:rPr>
          <w:lang w:val="en-AU"/>
        </w:rPr>
        <w:t>agent</w:t>
      </w:r>
      <w:r w:rsidR="009E7E39">
        <w:rPr>
          <w:lang w:val="en-AU"/>
        </w:rPr>
        <w:t>]</w:t>
      </w:r>
      <w:r w:rsidR="00D51E50">
        <w:rPr>
          <w:rStyle w:val="FootnoteReference"/>
          <w:lang w:val="en-AU"/>
        </w:rPr>
        <w:footnoteReference w:id="53"/>
      </w:r>
      <w:r w:rsidR="009E7E39">
        <w:rPr>
          <w:lang w:val="en-AU"/>
        </w:rPr>
        <w:t xml:space="preserve"> was instructed to do: </w:t>
      </w:r>
      <w:r w:rsidR="009E7E39" w:rsidRPr="00362C1D">
        <w:rPr>
          <w:b/>
          <w:bCs/>
          <w:lang w:val="en-AU"/>
        </w:rPr>
        <w:t>Midland Bank Trust Co. Ltd and Anor. V Hett Stubbs &amp; Kemp (a</w:t>
      </w:r>
      <w:r w:rsidR="00E25DCF">
        <w:rPr>
          <w:b/>
          <w:bCs/>
          <w:lang w:val="en-AU"/>
        </w:rPr>
        <w:t> </w:t>
      </w:r>
      <w:r w:rsidR="009E7E39" w:rsidRPr="00362C1D">
        <w:rPr>
          <w:b/>
          <w:bCs/>
          <w:lang w:val="en-AU"/>
        </w:rPr>
        <w:t>firm)</w:t>
      </w:r>
      <w:r w:rsidR="00D51E50">
        <w:rPr>
          <w:rStyle w:val="FootnoteReference"/>
          <w:b/>
          <w:bCs/>
          <w:lang w:val="en-AU"/>
        </w:rPr>
        <w:footnoteReference w:id="54"/>
      </w:r>
      <w:r w:rsidR="009E7E39" w:rsidRPr="00362C1D">
        <w:rPr>
          <w:b/>
          <w:bCs/>
          <w:lang w:val="en-AU"/>
        </w:rPr>
        <w:t xml:space="preserve"> </w:t>
      </w:r>
      <w:r w:rsidR="009E7E39">
        <w:rPr>
          <w:rStyle w:val="FootnoteReference"/>
          <w:lang w:val="en-AU"/>
        </w:rPr>
        <w:footnoteReference w:id="55"/>
      </w:r>
      <w:r w:rsidR="009E7E39">
        <w:rPr>
          <w:lang w:val="en-AU"/>
        </w:rPr>
        <w:t xml:space="preserve"> Mr Maher accepted that the same principle applies to agents generally. </w:t>
      </w:r>
    </w:p>
    <w:p w14:paraId="19447F99" w14:textId="77777777" w:rsidR="009E7E39" w:rsidRPr="009E7E39" w:rsidRDefault="009E7E39" w:rsidP="00362C1D">
      <w:pPr>
        <w:pStyle w:val="ListParagraph"/>
        <w:rPr>
          <w:lang w:val="en-AU"/>
        </w:rPr>
      </w:pPr>
    </w:p>
    <w:p w14:paraId="11482F1F" w14:textId="610E9335" w:rsidR="009E7E39" w:rsidRDefault="009E7E39" w:rsidP="00EC3402">
      <w:pPr>
        <w:pStyle w:val="ListParagraph"/>
        <w:numPr>
          <w:ilvl w:val="0"/>
          <w:numId w:val="1"/>
        </w:numPr>
        <w:jc w:val="both"/>
        <w:rPr>
          <w:lang w:val="en-AU"/>
        </w:rPr>
      </w:pPr>
      <w:r>
        <w:rPr>
          <w:lang w:val="en-AU"/>
        </w:rPr>
        <w:t xml:space="preserve">The </w:t>
      </w:r>
      <w:r w:rsidR="003D329A">
        <w:rPr>
          <w:lang w:val="en-AU"/>
        </w:rPr>
        <w:t>parameters</w:t>
      </w:r>
      <w:r>
        <w:rPr>
          <w:lang w:val="en-AU"/>
        </w:rPr>
        <w:t xml:space="preserve"> of the retaine</w:t>
      </w:r>
      <w:r w:rsidR="006260B2">
        <w:rPr>
          <w:lang w:val="en-AU"/>
        </w:rPr>
        <w:t xml:space="preserve">r include </w:t>
      </w:r>
      <w:r w:rsidR="00134764">
        <w:rPr>
          <w:lang w:val="en-AU"/>
        </w:rPr>
        <w:t>C</w:t>
      </w:r>
      <w:r w:rsidR="006260B2">
        <w:rPr>
          <w:lang w:val="en-AU"/>
        </w:rPr>
        <w:t xml:space="preserve">lause 1.9 of the Services Agreement. This refers to correspondence that can be reasonably be expected in managing a body corporate and to inform the Committee nominee of its nature and importance wherever necessary. The case against Whittles on this point is that it should have done more than </w:t>
      </w:r>
      <w:r w:rsidR="00212A39">
        <w:rPr>
          <w:lang w:val="en-AU"/>
        </w:rPr>
        <w:t xml:space="preserve">send </w:t>
      </w:r>
      <w:r w:rsidR="006260B2">
        <w:rPr>
          <w:lang w:val="en-AU"/>
        </w:rPr>
        <w:t>the 2 emails, namely</w:t>
      </w:r>
      <w:r w:rsidR="00FB032D">
        <w:rPr>
          <w:lang w:val="en-AU"/>
        </w:rPr>
        <w:t>,</w:t>
      </w:r>
      <w:r w:rsidR="006260B2">
        <w:rPr>
          <w:lang w:val="en-AU"/>
        </w:rPr>
        <w:t xml:space="preserve"> it should have followed up with the Body Corporate by the end of April, or at least at some point before 21 May 2017. Not to do so, it is alleged</w:t>
      </w:r>
      <w:r w:rsidR="00212A39">
        <w:rPr>
          <w:lang w:val="en-AU"/>
        </w:rPr>
        <w:t xml:space="preserve">, </w:t>
      </w:r>
      <w:r w:rsidR="006260B2">
        <w:rPr>
          <w:lang w:val="en-AU"/>
        </w:rPr>
        <w:t>constituted a breach of the standards of due skill, care or diligence.</w:t>
      </w:r>
      <w:r w:rsidR="00212A39">
        <w:rPr>
          <w:lang w:val="en-AU"/>
        </w:rPr>
        <w:t xml:space="preserve"> The correspondence on 9 March was left on the basis that a formal decision was required by the Body Corporate. An initial indication for Whittles to be the Broker was stated</w:t>
      </w:r>
      <w:r w:rsidR="0093577C">
        <w:rPr>
          <w:lang w:val="en-AU"/>
        </w:rPr>
        <w:t xml:space="preserve"> (by Ms Roberts). The argument </w:t>
      </w:r>
      <w:r w:rsidR="00212A39">
        <w:rPr>
          <w:lang w:val="en-AU"/>
        </w:rPr>
        <w:t>against Whittles is that it needed to chase this up</w:t>
      </w:r>
      <w:r w:rsidR="0091601C">
        <w:rPr>
          <w:lang w:val="en-AU"/>
        </w:rPr>
        <w:t>- and to do so</w:t>
      </w:r>
      <w:r w:rsidR="00212A39">
        <w:rPr>
          <w:lang w:val="en-AU"/>
        </w:rPr>
        <w:t xml:space="preserve"> </w:t>
      </w:r>
      <w:r w:rsidR="0091601C">
        <w:rPr>
          <w:lang w:val="en-AU"/>
        </w:rPr>
        <w:t>before the insurance policy lapsed</w:t>
      </w:r>
      <w:r w:rsidR="00B060D4">
        <w:rPr>
          <w:lang w:val="en-AU"/>
        </w:rPr>
        <w:t xml:space="preserve">. </w:t>
      </w:r>
      <w:r w:rsidR="0091601C">
        <w:rPr>
          <w:lang w:val="en-AU"/>
        </w:rPr>
        <w:t xml:space="preserve"> </w:t>
      </w:r>
      <w:r w:rsidR="00212A39">
        <w:rPr>
          <w:lang w:val="en-AU"/>
        </w:rPr>
        <w:t xml:space="preserve">The fact that it ultimately did </w:t>
      </w:r>
      <w:r w:rsidR="0091601C">
        <w:rPr>
          <w:lang w:val="en-AU"/>
        </w:rPr>
        <w:t xml:space="preserve">chase the problem up </w:t>
      </w:r>
      <w:r w:rsidR="00212A39">
        <w:rPr>
          <w:lang w:val="en-AU"/>
        </w:rPr>
        <w:t>in July,</w:t>
      </w:r>
      <w:r w:rsidR="0091601C">
        <w:rPr>
          <w:lang w:val="en-AU"/>
        </w:rPr>
        <w:t xml:space="preserve"> (by taking out a cover note impromptu) </w:t>
      </w:r>
      <w:r w:rsidR="00212A39">
        <w:rPr>
          <w:lang w:val="en-AU"/>
        </w:rPr>
        <w:t xml:space="preserve">suggests that </w:t>
      </w:r>
      <w:r w:rsidR="0091601C">
        <w:rPr>
          <w:lang w:val="en-AU"/>
        </w:rPr>
        <w:t xml:space="preserve">the problem would not </w:t>
      </w:r>
      <w:r w:rsidR="00373941">
        <w:rPr>
          <w:lang w:val="en-AU"/>
        </w:rPr>
        <w:t xml:space="preserve">otherwise </w:t>
      </w:r>
      <w:r w:rsidR="0091601C">
        <w:rPr>
          <w:lang w:val="en-AU"/>
        </w:rPr>
        <w:t>have been attended to</w:t>
      </w:r>
      <w:r w:rsidR="00AB5151">
        <w:rPr>
          <w:lang w:val="en-AU"/>
        </w:rPr>
        <w:t>, which would have exposed the Body Corporate to ongoing risk of a claim being made against it- without any insurance to cover it.</w:t>
      </w:r>
    </w:p>
    <w:p w14:paraId="113AA316" w14:textId="77777777" w:rsidR="006260B2" w:rsidRPr="006260B2" w:rsidRDefault="006260B2" w:rsidP="00362C1D">
      <w:pPr>
        <w:pStyle w:val="ListParagraph"/>
        <w:rPr>
          <w:lang w:val="en-AU"/>
        </w:rPr>
      </w:pPr>
    </w:p>
    <w:p w14:paraId="516D92FE" w14:textId="246C5FE8" w:rsidR="00430B1F" w:rsidRDefault="00430B1F" w:rsidP="00430B1F">
      <w:pPr>
        <w:pStyle w:val="ListParagraph"/>
        <w:numPr>
          <w:ilvl w:val="0"/>
          <w:numId w:val="1"/>
        </w:numPr>
        <w:jc w:val="both"/>
        <w:rPr>
          <w:lang w:val="en-AU"/>
        </w:rPr>
      </w:pPr>
      <w:r>
        <w:rPr>
          <w:lang w:val="en-AU"/>
        </w:rPr>
        <w:t>T</w:t>
      </w:r>
      <w:r w:rsidR="006260B2" w:rsidRPr="00430B1F">
        <w:rPr>
          <w:lang w:val="en-AU"/>
        </w:rPr>
        <w:t xml:space="preserve">he Act does not define </w:t>
      </w:r>
      <w:r>
        <w:rPr>
          <w:lang w:val="en-AU"/>
        </w:rPr>
        <w:t>“</w:t>
      </w:r>
      <w:r w:rsidR="006260B2" w:rsidRPr="00430B1F">
        <w:rPr>
          <w:lang w:val="en-AU"/>
        </w:rPr>
        <w:t>due skill, care or diligence</w:t>
      </w:r>
      <w:r>
        <w:rPr>
          <w:lang w:val="en-AU"/>
        </w:rPr>
        <w:t>”</w:t>
      </w:r>
      <w:r w:rsidR="006260B2" w:rsidRPr="00430B1F">
        <w:rPr>
          <w:lang w:val="en-AU"/>
        </w:rPr>
        <w:t xml:space="preserve">. Whittles argues that it discharged </w:t>
      </w:r>
      <w:r w:rsidR="006260B2" w:rsidRPr="00463263">
        <w:rPr>
          <w:lang w:val="en-AU"/>
        </w:rPr>
        <w:t>its obligatio</w:t>
      </w:r>
      <w:r w:rsidR="006260B2" w:rsidRPr="003375BD">
        <w:rPr>
          <w:lang w:val="en-AU"/>
        </w:rPr>
        <w:t>ns -</w:t>
      </w:r>
      <w:r w:rsidR="006260B2" w:rsidRPr="004605F8">
        <w:rPr>
          <w:lang w:val="en-AU"/>
        </w:rPr>
        <w:t xml:space="preserve"> in dealing with in</w:t>
      </w:r>
      <w:r w:rsidR="006260B2" w:rsidRPr="00A13401">
        <w:rPr>
          <w:lang w:val="en-AU"/>
        </w:rPr>
        <w:t xml:space="preserve">ternal correspondence </w:t>
      </w:r>
      <w:r w:rsidR="006260B2" w:rsidRPr="003D329A">
        <w:rPr>
          <w:lang w:val="en-AU"/>
        </w:rPr>
        <w:t xml:space="preserve">and fully informing </w:t>
      </w:r>
      <w:r w:rsidR="006260B2" w:rsidRPr="00D51E50">
        <w:rPr>
          <w:lang w:val="en-AU"/>
        </w:rPr>
        <w:t xml:space="preserve">members of the body corporate in a timely manner </w:t>
      </w:r>
      <w:r w:rsidR="006260B2" w:rsidRPr="00212A39">
        <w:rPr>
          <w:lang w:val="en-AU"/>
        </w:rPr>
        <w:t xml:space="preserve">of the nature and importance of the matter. </w:t>
      </w:r>
      <w:r w:rsidR="006260B2" w:rsidRPr="009C695D">
        <w:rPr>
          <w:lang w:val="en-AU"/>
        </w:rPr>
        <w:t xml:space="preserve">It says that as no resolution was made </w:t>
      </w:r>
      <w:r w:rsidR="006260B2" w:rsidRPr="00444696">
        <w:rPr>
          <w:lang w:val="en-AU"/>
        </w:rPr>
        <w:t xml:space="preserve">no duty under </w:t>
      </w:r>
      <w:r w:rsidR="00134764">
        <w:rPr>
          <w:lang w:val="en-AU"/>
        </w:rPr>
        <w:t>C</w:t>
      </w:r>
      <w:r>
        <w:rPr>
          <w:lang w:val="en-AU"/>
        </w:rPr>
        <w:t xml:space="preserve">lause </w:t>
      </w:r>
      <w:r w:rsidR="006260B2" w:rsidRPr="00430B1F">
        <w:rPr>
          <w:lang w:val="en-AU"/>
        </w:rPr>
        <w:t>1.4 arose for the reasons previously outlined</w:t>
      </w:r>
      <w:r w:rsidR="00D229A7" w:rsidRPr="00430B1F">
        <w:rPr>
          <w:lang w:val="en-AU"/>
        </w:rPr>
        <w:t>. It adds that the TIO corresponden</w:t>
      </w:r>
      <w:r w:rsidR="00D229A7" w:rsidRPr="00463263">
        <w:rPr>
          <w:lang w:val="en-AU"/>
        </w:rPr>
        <w:t>ce was sent to all members. It had no obligation to go any fu</w:t>
      </w:r>
      <w:r w:rsidR="00D229A7" w:rsidRPr="003375BD">
        <w:rPr>
          <w:lang w:val="en-AU"/>
        </w:rPr>
        <w:t>rther</w:t>
      </w:r>
      <w:r w:rsidR="00983EC4">
        <w:rPr>
          <w:lang w:val="en-AU"/>
        </w:rPr>
        <w:t xml:space="preserve">, it </w:t>
      </w:r>
      <w:r w:rsidR="00983EC4">
        <w:rPr>
          <w:lang w:val="en-AU"/>
        </w:rPr>
        <w:lastRenderedPageBreak/>
        <w:t xml:space="preserve">argues. </w:t>
      </w:r>
      <w:r w:rsidR="00D229A7" w:rsidRPr="003375BD">
        <w:rPr>
          <w:lang w:val="en-AU"/>
        </w:rPr>
        <w:t xml:space="preserve"> </w:t>
      </w:r>
      <w:r w:rsidR="00D229A7" w:rsidRPr="004605F8">
        <w:rPr>
          <w:lang w:val="en-AU"/>
        </w:rPr>
        <w:t>Fi</w:t>
      </w:r>
      <w:r w:rsidR="00D229A7" w:rsidRPr="00A13401">
        <w:rPr>
          <w:lang w:val="en-AU"/>
        </w:rPr>
        <w:t>nall</w:t>
      </w:r>
      <w:r w:rsidR="00D229A7" w:rsidRPr="003D329A">
        <w:rPr>
          <w:lang w:val="en-AU"/>
        </w:rPr>
        <w:t>y</w:t>
      </w:r>
      <w:r w:rsidR="00D229A7" w:rsidRPr="00EC503D">
        <w:rPr>
          <w:lang w:val="en-AU"/>
        </w:rPr>
        <w:t xml:space="preserve">, Whittles adds </w:t>
      </w:r>
      <w:r w:rsidR="00D229A7" w:rsidRPr="00BD44FE">
        <w:rPr>
          <w:lang w:val="en-AU"/>
        </w:rPr>
        <w:t>that</w:t>
      </w:r>
      <w:r w:rsidR="00D229A7" w:rsidRPr="00D067BA">
        <w:rPr>
          <w:lang w:val="en-AU"/>
        </w:rPr>
        <w:t xml:space="preserve"> </w:t>
      </w:r>
      <w:r w:rsidR="00D229A7" w:rsidRPr="00D51E50">
        <w:rPr>
          <w:lang w:val="en-AU"/>
        </w:rPr>
        <w:t>there is a fatal flaw in the argument that it s</w:t>
      </w:r>
      <w:r w:rsidR="00D229A7" w:rsidRPr="00212A39">
        <w:rPr>
          <w:lang w:val="en-AU"/>
        </w:rPr>
        <w:t xml:space="preserve">hould have </w:t>
      </w:r>
      <w:r w:rsidR="00D229A7" w:rsidRPr="00983EC4">
        <w:rPr>
          <w:lang w:val="en-AU"/>
        </w:rPr>
        <w:t xml:space="preserve">done more- this </w:t>
      </w:r>
      <w:r w:rsidR="003718E4">
        <w:rPr>
          <w:lang w:val="en-AU"/>
        </w:rPr>
        <w:t xml:space="preserve">flaw it argues </w:t>
      </w:r>
      <w:r w:rsidR="00D229A7" w:rsidRPr="00983EC4">
        <w:rPr>
          <w:lang w:val="en-AU"/>
        </w:rPr>
        <w:t>is that it must be capable of precise articulation</w:t>
      </w:r>
      <w:r w:rsidR="003718E4">
        <w:rPr>
          <w:lang w:val="en-AU"/>
        </w:rPr>
        <w:t>- which it was not</w:t>
      </w:r>
      <w:r w:rsidR="00D229A7" w:rsidRPr="00983EC4">
        <w:rPr>
          <w:lang w:val="en-AU"/>
        </w:rPr>
        <w:t>. It is not eno</w:t>
      </w:r>
      <w:r w:rsidR="00D229A7" w:rsidRPr="00FC2100">
        <w:rPr>
          <w:lang w:val="en-AU"/>
        </w:rPr>
        <w:t>ugh</w:t>
      </w:r>
      <w:r w:rsidR="003718E4">
        <w:rPr>
          <w:lang w:val="en-AU"/>
        </w:rPr>
        <w:t>,</w:t>
      </w:r>
      <w:r w:rsidR="00D229A7" w:rsidRPr="00FC2100">
        <w:rPr>
          <w:lang w:val="en-AU"/>
        </w:rPr>
        <w:t xml:space="preserve"> </w:t>
      </w:r>
      <w:r w:rsidR="00D229A7" w:rsidRPr="009C695D">
        <w:rPr>
          <w:lang w:val="en-AU"/>
        </w:rPr>
        <w:t>i</w:t>
      </w:r>
      <w:r>
        <w:rPr>
          <w:lang w:val="en-AU"/>
        </w:rPr>
        <w:t>t</w:t>
      </w:r>
      <w:r w:rsidR="00D229A7" w:rsidRPr="00430B1F">
        <w:rPr>
          <w:lang w:val="en-AU"/>
        </w:rPr>
        <w:t xml:space="preserve"> </w:t>
      </w:r>
      <w:r w:rsidR="003718E4">
        <w:rPr>
          <w:lang w:val="en-AU"/>
        </w:rPr>
        <w:t>argues</w:t>
      </w:r>
      <w:r w:rsidR="003D7E98">
        <w:rPr>
          <w:lang w:val="en-AU"/>
        </w:rPr>
        <w:t>,</w:t>
      </w:r>
      <w:r w:rsidR="00D229A7" w:rsidRPr="00430B1F">
        <w:rPr>
          <w:lang w:val="en-AU"/>
        </w:rPr>
        <w:t xml:space="preserve"> to speak of </w:t>
      </w:r>
      <w:r w:rsidR="003718E4">
        <w:rPr>
          <w:lang w:val="en-AU"/>
        </w:rPr>
        <w:t xml:space="preserve">a range of </w:t>
      </w:r>
      <w:r w:rsidR="00D229A7" w:rsidRPr="003718E4">
        <w:rPr>
          <w:lang w:val="en-AU"/>
        </w:rPr>
        <w:t xml:space="preserve">possible things it could have done. </w:t>
      </w:r>
      <w:r w:rsidR="00444696">
        <w:rPr>
          <w:lang w:val="en-AU"/>
        </w:rPr>
        <w:t>Consequently</w:t>
      </w:r>
      <w:r w:rsidR="003718E4">
        <w:rPr>
          <w:lang w:val="en-AU"/>
        </w:rPr>
        <w:t xml:space="preserve"> Mr Maher</w:t>
      </w:r>
      <w:r w:rsidR="00444696">
        <w:rPr>
          <w:lang w:val="en-AU"/>
        </w:rPr>
        <w:t xml:space="preserve"> argues that there was not a duty imposed on Whittles at all</w:t>
      </w:r>
      <w:r w:rsidR="003D7E98">
        <w:rPr>
          <w:lang w:val="en-AU"/>
        </w:rPr>
        <w:t xml:space="preserve"> </w:t>
      </w:r>
      <w:r w:rsidR="00C70FD0">
        <w:rPr>
          <w:lang w:val="en-AU"/>
        </w:rPr>
        <w:t>(</w:t>
      </w:r>
      <w:r w:rsidR="003D7E98">
        <w:rPr>
          <w:lang w:val="en-AU"/>
        </w:rPr>
        <w:t>to do anything more than it had done</w:t>
      </w:r>
      <w:r w:rsidR="00C70FD0">
        <w:rPr>
          <w:lang w:val="en-AU"/>
        </w:rPr>
        <w:t>)</w:t>
      </w:r>
      <w:r w:rsidR="00444696">
        <w:rPr>
          <w:rStyle w:val="FootnoteReference"/>
          <w:lang w:val="en-AU"/>
        </w:rPr>
        <w:footnoteReference w:id="56"/>
      </w:r>
    </w:p>
    <w:p w14:paraId="416CC740" w14:textId="77777777" w:rsidR="004605F8" w:rsidRPr="004605F8" w:rsidRDefault="004605F8" w:rsidP="00306F5B">
      <w:pPr>
        <w:pStyle w:val="ListParagraph"/>
        <w:jc w:val="both"/>
        <w:rPr>
          <w:lang w:val="en-AU"/>
        </w:rPr>
      </w:pPr>
    </w:p>
    <w:p w14:paraId="23C4CE8B" w14:textId="1815C671" w:rsidR="00C135CB" w:rsidRDefault="004605F8" w:rsidP="00306F5B">
      <w:pPr>
        <w:pStyle w:val="ListParagraph"/>
        <w:numPr>
          <w:ilvl w:val="0"/>
          <w:numId w:val="1"/>
        </w:numPr>
        <w:jc w:val="both"/>
        <w:rPr>
          <w:lang w:val="en-AU"/>
        </w:rPr>
      </w:pPr>
      <w:r w:rsidRPr="00C135CB">
        <w:rPr>
          <w:lang w:val="en-AU"/>
        </w:rPr>
        <w:t xml:space="preserve">An additional </w:t>
      </w:r>
      <w:r w:rsidRPr="00FE139D">
        <w:rPr>
          <w:lang w:val="en-AU"/>
        </w:rPr>
        <w:t>matter is that arguably the member</w:t>
      </w:r>
      <w:r w:rsidR="004822B0">
        <w:rPr>
          <w:lang w:val="en-AU"/>
        </w:rPr>
        <w:t xml:space="preserve">s </w:t>
      </w:r>
      <w:r w:rsidRPr="00FE139D">
        <w:rPr>
          <w:lang w:val="en-AU"/>
        </w:rPr>
        <w:t>of the Body Corporate were de</w:t>
      </w:r>
      <w:r w:rsidR="00FE139D">
        <w:rPr>
          <w:lang w:val="en-AU"/>
        </w:rPr>
        <w:t>ficient</w:t>
      </w:r>
      <w:r w:rsidRPr="00C135CB">
        <w:rPr>
          <w:lang w:val="en-AU"/>
        </w:rPr>
        <w:t xml:space="preserve"> in not responding to the matter of what to do regarding selection of a broker.  A </w:t>
      </w:r>
      <w:r w:rsidR="007C4517" w:rsidRPr="00C135CB">
        <w:rPr>
          <w:lang w:val="en-AU"/>
        </w:rPr>
        <w:t xml:space="preserve">formal </w:t>
      </w:r>
      <w:r w:rsidRPr="00C135CB">
        <w:rPr>
          <w:lang w:val="en-AU"/>
        </w:rPr>
        <w:t xml:space="preserve">decision was needed and they had considerable time to make it and they did not. Clause 10.1 refers to their obligation to maintain public liability insurance cover and any other insurance that a reasonably prudent person would do. Their failure to respond was not reasonably prudent. </w:t>
      </w:r>
      <w:r w:rsidR="00453C80" w:rsidRPr="00C135CB">
        <w:rPr>
          <w:lang w:val="en-AU"/>
        </w:rPr>
        <w:t>However, this matter would not appear to excuse a breach of section 65. This</w:t>
      </w:r>
      <w:r w:rsidR="00134764">
        <w:rPr>
          <w:lang w:val="en-AU"/>
        </w:rPr>
        <w:t xml:space="preserve"> is because C</w:t>
      </w:r>
      <w:r w:rsidR="00453C80" w:rsidRPr="00C135CB">
        <w:rPr>
          <w:lang w:val="en-AU"/>
        </w:rPr>
        <w:t>lause 10.1 is concerned with liability.</w:t>
      </w:r>
    </w:p>
    <w:p w14:paraId="0328F813" w14:textId="24753233" w:rsidR="00C135CB" w:rsidRDefault="00C135CB" w:rsidP="00306F5B">
      <w:pPr>
        <w:ind w:left="1080"/>
        <w:jc w:val="both"/>
        <w:rPr>
          <w:lang w:val="en-AU"/>
        </w:rPr>
      </w:pPr>
    </w:p>
    <w:p w14:paraId="095E07AA" w14:textId="345EC655" w:rsidR="007A71B0" w:rsidRPr="00A77CD7" w:rsidRDefault="007670F3" w:rsidP="00362C1D">
      <w:pPr>
        <w:ind w:left="1080"/>
        <w:jc w:val="both"/>
        <w:rPr>
          <w:u w:val="single"/>
          <w:lang w:val="en-AU"/>
        </w:rPr>
      </w:pPr>
      <w:r w:rsidRPr="00A77CD7">
        <w:rPr>
          <w:u w:val="single"/>
          <w:lang w:val="en-AU"/>
        </w:rPr>
        <w:t>F</w:t>
      </w:r>
      <w:r w:rsidR="00904462">
        <w:rPr>
          <w:u w:val="single"/>
          <w:lang w:val="en-AU"/>
        </w:rPr>
        <w:t>urther Legal Principles</w:t>
      </w:r>
    </w:p>
    <w:p w14:paraId="00115C06" w14:textId="77777777" w:rsidR="00C81B68" w:rsidRPr="00453C80" w:rsidRDefault="00C81B68" w:rsidP="00362C1D">
      <w:pPr>
        <w:pStyle w:val="ListParagraph"/>
        <w:ind w:left="1080"/>
        <w:jc w:val="both"/>
        <w:rPr>
          <w:lang w:val="en-AU"/>
        </w:rPr>
      </w:pPr>
    </w:p>
    <w:p w14:paraId="78791742" w14:textId="0FED50E4" w:rsidR="00C81B68" w:rsidRDefault="00AB5151">
      <w:pPr>
        <w:pStyle w:val="ListParagraph"/>
        <w:numPr>
          <w:ilvl w:val="0"/>
          <w:numId w:val="1"/>
        </w:numPr>
        <w:jc w:val="both"/>
        <w:rPr>
          <w:lang w:val="en-AU"/>
        </w:rPr>
      </w:pPr>
      <w:r>
        <w:rPr>
          <w:lang w:val="en-AU"/>
        </w:rPr>
        <w:t xml:space="preserve">Mr Maher has supplied a helpful extract from </w:t>
      </w:r>
      <w:r w:rsidR="006B1933" w:rsidRPr="00362C1D">
        <w:rPr>
          <w:b/>
          <w:bCs/>
          <w:u w:val="single"/>
          <w:lang w:val="en-AU"/>
        </w:rPr>
        <w:t>Halsbury’s Laws of Australia, “Duties of Agent to Principal”</w:t>
      </w:r>
      <w:r w:rsidR="006B1933">
        <w:rPr>
          <w:lang w:val="en-AU"/>
        </w:rPr>
        <w:t>, by Professor Dal Pont. The following are useful quotes from this paper</w:t>
      </w:r>
      <w:r w:rsidR="006B1933">
        <w:rPr>
          <w:rStyle w:val="FootnoteReference"/>
          <w:lang w:val="en-AU"/>
        </w:rPr>
        <w:footnoteReference w:id="57"/>
      </w:r>
      <w:r w:rsidR="006B1933">
        <w:rPr>
          <w:lang w:val="en-AU"/>
        </w:rPr>
        <w:t>:</w:t>
      </w:r>
    </w:p>
    <w:p w14:paraId="141C678C" w14:textId="20BD2002" w:rsidR="006B1933" w:rsidRDefault="006B1933" w:rsidP="006B1933">
      <w:pPr>
        <w:pStyle w:val="ListParagraph"/>
        <w:ind w:left="1080"/>
        <w:jc w:val="both"/>
        <w:rPr>
          <w:lang w:val="en-AU"/>
        </w:rPr>
      </w:pPr>
    </w:p>
    <w:p w14:paraId="12819E68" w14:textId="5090A632" w:rsidR="006B1933" w:rsidRPr="00B5057A" w:rsidRDefault="006B1933" w:rsidP="006B1933">
      <w:pPr>
        <w:pStyle w:val="ListParagraph"/>
        <w:ind w:left="1440"/>
        <w:jc w:val="both"/>
        <w:rPr>
          <w:i/>
          <w:iCs/>
          <w:sz w:val="22"/>
          <w:szCs w:val="22"/>
          <w:lang w:val="en-AU"/>
        </w:rPr>
      </w:pPr>
      <w:r w:rsidRPr="00B5057A">
        <w:rPr>
          <w:i/>
          <w:iCs/>
          <w:sz w:val="22"/>
          <w:szCs w:val="22"/>
          <w:lang w:val="en-AU"/>
        </w:rPr>
        <w:t>“Where no definite instructions have been given to the agent, or where the instructions leave a discretion to him or her, the agent must be guided by the honest exercise of his or her judgement and the interest of the principal “</w:t>
      </w:r>
      <w:r w:rsidRPr="00B5057A">
        <w:rPr>
          <w:rStyle w:val="FootnoteReference"/>
          <w:i/>
          <w:iCs/>
          <w:sz w:val="22"/>
          <w:szCs w:val="22"/>
          <w:lang w:val="en-AU"/>
        </w:rPr>
        <w:footnoteReference w:id="58"/>
      </w:r>
    </w:p>
    <w:p w14:paraId="5844AD58" w14:textId="5DBAF95C" w:rsidR="00F50A71" w:rsidRPr="00B5057A" w:rsidRDefault="00F50A71" w:rsidP="006B1933">
      <w:pPr>
        <w:pStyle w:val="ListParagraph"/>
        <w:ind w:left="1440"/>
        <w:jc w:val="both"/>
        <w:rPr>
          <w:i/>
          <w:iCs/>
          <w:sz w:val="22"/>
          <w:szCs w:val="22"/>
          <w:lang w:val="en-AU"/>
        </w:rPr>
      </w:pPr>
    </w:p>
    <w:p w14:paraId="68FD29F1" w14:textId="202341C2" w:rsidR="00F50A71" w:rsidRPr="00B5057A" w:rsidRDefault="00F50A71" w:rsidP="006B1933">
      <w:pPr>
        <w:pStyle w:val="ListParagraph"/>
        <w:ind w:left="1440"/>
        <w:jc w:val="both"/>
        <w:rPr>
          <w:i/>
          <w:iCs/>
          <w:sz w:val="22"/>
          <w:szCs w:val="22"/>
          <w:lang w:val="en-AU"/>
        </w:rPr>
      </w:pPr>
      <w:r w:rsidRPr="00B5057A">
        <w:rPr>
          <w:i/>
          <w:iCs/>
          <w:sz w:val="22"/>
          <w:szCs w:val="22"/>
          <w:lang w:val="en-AU"/>
        </w:rPr>
        <w:t>And</w:t>
      </w:r>
    </w:p>
    <w:p w14:paraId="2C4C4CF4" w14:textId="039E66DA" w:rsidR="00F50A71" w:rsidRPr="00B5057A" w:rsidRDefault="00F50A71" w:rsidP="006B1933">
      <w:pPr>
        <w:pStyle w:val="ListParagraph"/>
        <w:ind w:left="1440"/>
        <w:jc w:val="both"/>
        <w:rPr>
          <w:i/>
          <w:iCs/>
          <w:sz w:val="22"/>
          <w:szCs w:val="22"/>
          <w:lang w:val="en-AU"/>
        </w:rPr>
      </w:pPr>
    </w:p>
    <w:p w14:paraId="503014FC" w14:textId="15CF9E7C" w:rsidR="00F50A71" w:rsidRPr="00B5057A" w:rsidRDefault="006F270C" w:rsidP="00362C1D">
      <w:pPr>
        <w:pStyle w:val="ListParagraph"/>
        <w:ind w:left="1440"/>
        <w:jc w:val="both"/>
        <w:rPr>
          <w:i/>
          <w:iCs/>
          <w:sz w:val="22"/>
          <w:szCs w:val="22"/>
          <w:lang w:val="en-AU"/>
        </w:rPr>
      </w:pPr>
      <w:r w:rsidRPr="00B5057A">
        <w:rPr>
          <w:i/>
          <w:iCs/>
          <w:sz w:val="22"/>
          <w:szCs w:val="22"/>
          <w:lang w:val="en-AU"/>
        </w:rPr>
        <w:t>“</w:t>
      </w:r>
      <w:r w:rsidR="00F50A71" w:rsidRPr="00B5057A">
        <w:rPr>
          <w:i/>
          <w:iCs/>
          <w:sz w:val="22"/>
          <w:szCs w:val="22"/>
          <w:lang w:val="en-AU"/>
        </w:rPr>
        <w:t>Where the agent is a professional agent, he or she must follow the ordinary course of business</w:t>
      </w:r>
      <w:r w:rsidR="00F50A71" w:rsidRPr="00B5057A">
        <w:rPr>
          <w:rStyle w:val="FootnoteReference"/>
          <w:i/>
          <w:iCs/>
          <w:sz w:val="22"/>
          <w:szCs w:val="22"/>
          <w:lang w:val="en-AU"/>
        </w:rPr>
        <w:footnoteReference w:id="59"/>
      </w:r>
      <w:r w:rsidRPr="00B5057A">
        <w:rPr>
          <w:i/>
          <w:iCs/>
          <w:sz w:val="22"/>
          <w:szCs w:val="22"/>
          <w:lang w:val="en-AU"/>
        </w:rPr>
        <w:t xml:space="preserve">which includes the </w:t>
      </w:r>
      <w:r w:rsidR="00DF040B" w:rsidRPr="00B5057A">
        <w:rPr>
          <w:i/>
          <w:iCs/>
          <w:sz w:val="22"/>
          <w:szCs w:val="22"/>
          <w:lang w:val="en-AU"/>
        </w:rPr>
        <w:t>ordinary course</w:t>
      </w:r>
      <w:r w:rsidRPr="00B5057A">
        <w:rPr>
          <w:i/>
          <w:iCs/>
          <w:sz w:val="22"/>
          <w:szCs w:val="22"/>
          <w:lang w:val="en-AU"/>
        </w:rPr>
        <w:t xml:space="preserve"> of any previous business as between the principal and the agent </w:t>
      </w:r>
      <w:r w:rsidRPr="00B5057A">
        <w:rPr>
          <w:rStyle w:val="FootnoteReference"/>
          <w:i/>
          <w:iCs/>
          <w:sz w:val="22"/>
          <w:szCs w:val="22"/>
          <w:lang w:val="en-AU"/>
        </w:rPr>
        <w:footnoteReference w:id="60"/>
      </w:r>
      <w:r w:rsidR="00B17F93" w:rsidRPr="00B5057A">
        <w:rPr>
          <w:i/>
          <w:iCs/>
          <w:sz w:val="22"/>
          <w:szCs w:val="22"/>
          <w:lang w:val="en-AU"/>
        </w:rPr>
        <w:t xml:space="preserve"> and any special usages applicable to the particular case.”</w:t>
      </w:r>
      <w:r w:rsidR="00B17F93" w:rsidRPr="00B5057A">
        <w:rPr>
          <w:rStyle w:val="FootnoteReference"/>
          <w:i/>
          <w:iCs/>
          <w:sz w:val="22"/>
          <w:szCs w:val="22"/>
          <w:lang w:val="en-AU"/>
        </w:rPr>
        <w:footnoteReference w:id="61"/>
      </w:r>
    </w:p>
    <w:p w14:paraId="4F647D5A" w14:textId="77777777" w:rsidR="00594042" w:rsidRDefault="00594042" w:rsidP="00362C1D">
      <w:pPr>
        <w:pStyle w:val="ListParagraph"/>
        <w:ind w:left="1080"/>
        <w:jc w:val="both"/>
        <w:rPr>
          <w:lang w:val="en-AU"/>
        </w:rPr>
      </w:pPr>
    </w:p>
    <w:p w14:paraId="6AF0A65F" w14:textId="02AECBBC" w:rsidR="00104A04" w:rsidRPr="00607762" w:rsidRDefault="00ED7DA3" w:rsidP="00362C1D">
      <w:pPr>
        <w:pStyle w:val="ListParagraph"/>
        <w:numPr>
          <w:ilvl w:val="0"/>
          <w:numId w:val="1"/>
        </w:numPr>
        <w:jc w:val="both"/>
        <w:rPr>
          <w:lang w:val="en-AU"/>
        </w:rPr>
      </w:pPr>
      <w:r w:rsidRPr="00430B1F">
        <w:rPr>
          <w:lang w:val="en-AU"/>
        </w:rPr>
        <w:t xml:space="preserve">Whilst </w:t>
      </w:r>
      <w:r w:rsidRPr="00463263">
        <w:rPr>
          <w:lang w:val="en-AU"/>
        </w:rPr>
        <w:t xml:space="preserve">section </w:t>
      </w:r>
      <w:r w:rsidR="00DF040B">
        <w:rPr>
          <w:lang w:val="en-AU"/>
        </w:rPr>
        <w:t>65</w:t>
      </w:r>
      <w:r w:rsidRPr="003375BD">
        <w:rPr>
          <w:lang w:val="en-AU"/>
        </w:rPr>
        <w:t>(1)(d</w:t>
      </w:r>
      <w:r w:rsidR="0093577C">
        <w:rPr>
          <w:lang w:val="en-AU"/>
        </w:rPr>
        <w:t xml:space="preserve">) does not incorporate the word </w:t>
      </w:r>
      <w:r w:rsidRPr="00A13401">
        <w:rPr>
          <w:lang w:val="en-AU"/>
        </w:rPr>
        <w:t>“</w:t>
      </w:r>
      <w:r w:rsidRPr="003D329A">
        <w:rPr>
          <w:lang w:val="en-AU"/>
        </w:rPr>
        <w:t>reasonable</w:t>
      </w:r>
      <w:r w:rsidRPr="00EC503D">
        <w:rPr>
          <w:lang w:val="en-AU"/>
        </w:rPr>
        <w:t>”</w:t>
      </w:r>
      <w:r w:rsidRPr="00BD44FE">
        <w:rPr>
          <w:lang w:val="en-AU"/>
        </w:rPr>
        <w:t>,</w:t>
      </w:r>
      <w:r w:rsidR="00CF78B0">
        <w:rPr>
          <w:lang w:val="en-AU"/>
        </w:rPr>
        <w:t xml:space="preserve"> </w:t>
      </w:r>
      <w:r w:rsidR="00E21CDD">
        <w:rPr>
          <w:lang w:val="en-AU"/>
        </w:rPr>
        <w:t>Professor</w:t>
      </w:r>
      <w:r w:rsidR="0093577C">
        <w:rPr>
          <w:lang w:val="en-AU"/>
        </w:rPr>
        <w:t> </w:t>
      </w:r>
      <w:r w:rsidR="00E21CDD">
        <w:rPr>
          <w:lang w:val="en-AU"/>
        </w:rPr>
        <w:t xml:space="preserve">Dal Pont at </w:t>
      </w:r>
      <w:r w:rsidR="006B5899">
        <w:rPr>
          <w:lang w:val="en-AU"/>
        </w:rPr>
        <w:t>[</w:t>
      </w:r>
      <w:r w:rsidR="00E21CDD">
        <w:rPr>
          <w:lang w:val="en-AU"/>
        </w:rPr>
        <w:t>15-170</w:t>
      </w:r>
      <w:r w:rsidR="006B5899">
        <w:rPr>
          <w:lang w:val="en-AU"/>
        </w:rPr>
        <w:t>]</w:t>
      </w:r>
      <w:r w:rsidR="00E21CDD">
        <w:rPr>
          <w:lang w:val="en-AU"/>
        </w:rPr>
        <w:t xml:space="preserve"> states </w:t>
      </w:r>
      <w:r w:rsidR="0093577C">
        <w:rPr>
          <w:lang w:val="en-AU"/>
        </w:rPr>
        <w:t xml:space="preserve">a </w:t>
      </w:r>
      <w:r w:rsidR="00E21CDD">
        <w:rPr>
          <w:lang w:val="en-AU"/>
        </w:rPr>
        <w:t>core principle, which is that “an agent for reward is requi</w:t>
      </w:r>
      <w:r w:rsidR="0074239C">
        <w:rPr>
          <w:lang w:val="en-AU"/>
        </w:rPr>
        <w:t>r</w:t>
      </w:r>
      <w:r w:rsidR="00E21CDD">
        <w:rPr>
          <w:lang w:val="en-AU"/>
        </w:rPr>
        <w:t xml:space="preserve">ed to exercise the degree of care, skill and diligence which is </w:t>
      </w:r>
      <w:r w:rsidR="00E21CDD" w:rsidRPr="00362C1D">
        <w:rPr>
          <w:i/>
          <w:iCs/>
          <w:lang w:val="en-AU"/>
        </w:rPr>
        <w:t>reasonably</w:t>
      </w:r>
      <w:r w:rsidR="00E21CDD">
        <w:rPr>
          <w:lang w:val="en-AU"/>
        </w:rPr>
        <w:t xml:space="preserve"> </w:t>
      </w:r>
      <w:r w:rsidR="00E21CDD">
        <w:rPr>
          <w:lang w:val="en-AU"/>
        </w:rPr>
        <w:lastRenderedPageBreak/>
        <w:t>necessary for the due performance of the undertaking.”</w:t>
      </w:r>
      <w:r w:rsidR="00E21CDD">
        <w:rPr>
          <w:rStyle w:val="FootnoteReference"/>
          <w:lang w:val="en-AU"/>
        </w:rPr>
        <w:footnoteReference w:id="62"/>
      </w:r>
      <w:r w:rsidR="00B97AB8">
        <w:rPr>
          <w:lang w:val="en-AU"/>
        </w:rPr>
        <w:t xml:space="preserve"> Additionally, “ the agent must show at l</w:t>
      </w:r>
      <w:r w:rsidR="0093577C">
        <w:rPr>
          <w:lang w:val="en-AU"/>
        </w:rPr>
        <w:t xml:space="preserve">east the level of diligence in </w:t>
      </w:r>
      <w:r w:rsidR="00B97AB8">
        <w:rPr>
          <w:lang w:val="en-AU"/>
        </w:rPr>
        <w:t xml:space="preserve">conducting the principal’s business that the principal would </w:t>
      </w:r>
      <w:r w:rsidR="00B97AB8" w:rsidRPr="00362C1D">
        <w:rPr>
          <w:i/>
          <w:iCs/>
          <w:lang w:val="en-AU"/>
        </w:rPr>
        <w:t>reasonably</w:t>
      </w:r>
      <w:r w:rsidR="00B97AB8">
        <w:rPr>
          <w:lang w:val="en-AU"/>
        </w:rPr>
        <w:t xml:space="preserve"> ha</w:t>
      </w:r>
      <w:r w:rsidR="00CF78B0">
        <w:rPr>
          <w:lang w:val="en-AU"/>
        </w:rPr>
        <w:t xml:space="preserve">ve been able to display if the </w:t>
      </w:r>
      <w:r w:rsidR="00B97AB8">
        <w:rPr>
          <w:lang w:val="en-AU"/>
        </w:rPr>
        <w:t>principal had undertaken the business personally.</w:t>
      </w:r>
      <w:r w:rsidR="00B97AB8">
        <w:rPr>
          <w:rStyle w:val="FootnoteReference"/>
          <w:lang w:val="en-AU"/>
        </w:rPr>
        <w:footnoteReference w:id="63"/>
      </w:r>
      <w:r w:rsidR="0074239C">
        <w:rPr>
          <w:lang w:val="en-AU"/>
        </w:rPr>
        <w:t xml:space="preserve"> The Professor adds “The </w:t>
      </w:r>
      <w:r w:rsidR="00320C09">
        <w:rPr>
          <w:lang w:val="en-AU"/>
        </w:rPr>
        <w:t>agent is not responsible for the failure to go beyond his or her r</w:t>
      </w:r>
      <w:r w:rsidR="00320C09" w:rsidRPr="00362C1D">
        <w:rPr>
          <w:i/>
          <w:iCs/>
          <w:lang w:val="en-AU"/>
        </w:rPr>
        <w:t>easonable</w:t>
      </w:r>
      <w:r w:rsidR="00320C09">
        <w:rPr>
          <w:lang w:val="en-AU"/>
        </w:rPr>
        <w:t xml:space="preserve"> duty, even though a loss is occasioned thereby which might have been avoided by extra care, skill or diligence.</w:t>
      </w:r>
      <w:r w:rsidR="00320C09">
        <w:rPr>
          <w:rStyle w:val="FootnoteReference"/>
          <w:lang w:val="en-AU"/>
        </w:rPr>
        <w:footnoteReference w:id="64"/>
      </w:r>
      <w:r w:rsidR="008F36CC">
        <w:rPr>
          <w:lang w:val="en-AU"/>
        </w:rPr>
        <w:t xml:space="preserve"> (italics added)</w:t>
      </w:r>
    </w:p>
    <w:p w14:paraId="42DD7DCC" w14:textId="77777777" w:rsidR="00104A04" w:rsidRPr="00104A04" w:rsidRDefault="00104A04" w:rsidP="00104A04">
      <w:pPr>
        <w:pStyle w:val="ListParagraph"/>
        <w:rPr>
          <w:lang w:val="en-AU"/>
        </w:rPr>
      </w:pPr>
    </w:p>
    <w:p w14:paraId="23C88D1F" w14:textId="33756046" w:rsidR="006417AC" w:rsidRDefault="00AC4412" w:rsidP="000B4510">
      <w:pPr>
        <w:pStyle w:val="ListParagraph"/>
        <w:numPr>
          <w:ilvl w:val="0"/>
          <w:numId w:val="1"/>
        </w:numPr>
        <w:jc w:val="both"/>
        <w:rPr>
          <w:lang w:val="en-AU"/>
        </w:rPr>
      </w:pPr>
      <w:r>
        <w:rPr>
          <w:lang w:val="en-AU"/>
        </w:rPr>
        <w:t>Consistent with these principles, in</w:t>
      </w:r>
      <w:r w:rsidR="003375BD">
        <w:rPr>
          <w:lang w:val="en-AU"/>
        </w:rPr>
        <w:t xml:space="preserve"> </w:t>
      </w:r>
      <w:r w:rsidR="00B44657" w:rsidRPr="00362C1D">
        <w:rPr>
          <w:b/>
          <w:bCs/>
          <w:u w:val="single"/>
          <w:lang w:val="en-AU"/>
        </w:rPr>
        <w:t>Georgieff v Athans</w:t>
      </w:r>
      <w:r w:rsidR="00693E1F">
        <w:rPr>
          <w:rStyle w:val="FootnoteReference"/>
          <w:lang w:val="en-AU"/>
        </w:rPr>
        <w:footnoteReference w:id="65"/>
      </w:r>
      <w:r w:rsidR="00693E1F">
        <w:rPr>
          <w:lang w:val="en-AU"/>
        </w:rPr>
        <w:t xml:space="preserve"> </w:t>
      </w:r>
      <w:r w:rsidR="00B44657">
        <w:rPr>
          <w:lang w:val="en-AU"/>
        </w:rPr>
        <w:t>a decision of Walters J in the South Australian Supreme Court</w:t>
      </w:r>
      <w:r w:rsidR="00693E1F">
        <w:rPr>
          <w:lang w:val="en-AU"/>
        </w:rPr>
        <w:t xml:space="preserve"> </w:t>
      </w:r>
      <w:r w:rsidR="00527ECE">
        <w:rPr>
          <w:lang w:val="en-AU"/>
        </w:rPr>
        <w:t>his Honour</w:t>
      </w:r>
      <w:r w:rsidR="003375BD">
        <w:rPr>
          <w:lang w:val="en-AU"/>
        </w:rPr>
        <w:t xml:space="preserve"> stated </w:t>
      </w:r>
      <w:r w:rsidR="00E81C6C">
        <w:rPr>
          <w:rStyle w:val="FootnoteReference"/>
          <w:lang w:val="en-AU"/>
        </w:rPr>
        <w:footnoteReference w:id="66"/>
      </w:r>
      <w:r w:rsidR="00693E1F">
        <w:rPr>
          <w:lang w:val="en-AU"/>
        </w:rPr>
        <w:t>that</w:t>
      </w:r>
      <w:r w:rsidR="00FC195C">
        <w:rPr>
          <w:lang w:val="en-AU"/>
        </w:rPr>
        <w:t xml:space="preserve"> licensed land</w:t>
      </w:r>
      <w:r w:rsidR="00693E1F">
        <w:rPr>
          <w:lang w:val="en-AU"/>
        </w:rPr>
        <w:t xml:space="preserve"> agents</w:t>
      </w:r>
      <w:r w:rsidR="00FC195C">
        <w:rPr>
          <w:rStyle w:val="FootnoteReference"/>
          <w:lang w:val="en-AU"/>
        </w:rPr>
        <w:footnoteReference w:id="67"/>
      </w:r>
      <w:r w:rsidR="0093577C">
        <w:rPr>
          <w:lang w:val="en-AU"/>
        </w:rPr>
        <w:t xml:space="preserve"> as an agent for reward he was </w:t>
      </w:r>
      <w:r w:rsidR="00043BD9">
        <w:rPr>
          <w:lang w:val="en-AU"/>
        </w:rPr>
        <w:t>bound to “exercise such skill, care and diligence in the performance of his undertaking as [was] usual or necessary for the ordinary or proper conduct of the business or profession in which he was employed or was reasonably necessary for the proper performance of the duties undertaken by him” (Lunghi v Sinclair</w:t>
      </w:r>
      <w:r w:rsidR="00043BD9">
        <w:rPr>
          <w:rStyle w:val="FootnoteReference"/>
          <w:lang w:val="en-AU"/>
        </w:rPr>
        <w:footnoteReference w:id="68"/>
      </w:r>
      <w:r w:rsidR="00043BD9">
        <w:rPr>
          <w:lang w:val="en-AU"/>
        </w:rPr>
        <w:t>, per Virtue</w:t>
      </w:r>
      <w:r w:rsidR="0093577C">
        <w:rPr>
          <w:lang w:val="en-AU"/>
        </w:rPr>
        <w:t xml:space="preserve"> J at 176 citing Bowstead </w:t>
      </w:r>
      <w:r w:rsidR="00043BD9">
        <w:rPr>
          <w:lang w:val="en-AU"/>
        </w:rPr>
        <w:t>on Agency, Art.46)</w:t>
      </w:r>
    </w:p>
    <w:p w14:paraId="27E1736E" w14:textId="77777777" w:rsidR="006417AC" w:rsidRDefault="006417AC" w:rsidP="00362C1D">
      <w:pPr>
        <w:pStyle w:val="ListParagraph"/>
        <w:ind w:left="1080"/>
        <w:jc w:val="both"/>
        <w:rPr>
          <w:lang w:val="en-AU"/>
        </w:rPr>
      </w:pPr>
    </w:p>
    <w:p w14:paraId="4AB0F774" w14:textId="79CE0169" w:rsidR="000B4510" w:rsidRDefault="006417AC" w:rsidP="00362C1D">
      <w:pPr>
        <w:pStyle w:val="ListParagraph"/>
        <w:numPr>
          <w:ilvl w:val="0"/>
          <w:numId w:val="1"/>
        </w:numPr>
        <w:jc w:val="both"/>
        <w:rPr>
          <w:lang w:val="en-AU"/>
        </w:rPr>
      </w:pPr>
      <w:r>
        <w:rPr>
          <w:lang w:val="en-AU"/>
        </w:rPr>
        <w:t>Professor Dal Pont also stated the followi</w:t>
      </w:r>
      <w:r w:rsidR="000B4510">
        <w:rPr>
          <w:lang w:val="en-AU"/>
        </w:rPr>
        <w:t>ng</w:t>
      </w:r>
      <w:r w:rsidR="000B4510">
        <w:rPr>
          <w:rStyle w:val="FootnoteReference"/>
          <w:lang w:val="en-AU"/>
        </w:rPr>
        <w:footnoteReference w:id="69"/>
      </w:r>
      <w:r w:rsidR="000B4510">
        <w:rPr>
          <w:lang w:val="en-AU"/>
        </w:rPr>
        <w:t>:</w:t>
      </w:r>
    </w:p>
    <w:p w14:paraId="7698C99A" w14:textId="7910B0D7" w:rsidR="000B4510" w:rsidRDefault="000B4510" w:rsidP="00362C1D">
      <w:pPr>
        <w:pStyle w:val="ListParagraph"/>
        <w:ind w:left="1080"/>
        <w:jc w:val="both"/>
        <w:rPr>
          <w:lang w:val="en-AU"/>
        </w:rPr>
      </w:pPr>
    </w:p>
    <w:p w14:paraId="1D2D7E7B" w14:textId="13160C1B" w:rsidR="000B4510" w:rsidRPr="00B5057A" w:rsidRDefault="000B4510" w:rsidP="00362C1D">
      <w:pPr>
        <w:pStyle w:val="ListParagraph"/>
        <w:ind w:left="1440"/>
        <w:jc w:val="both"/>
        <w:rPr>
          <w:i/>
          <w:iCs/>
          <w:sz w:val="22"/>
          <w:szCs w:val="22"/>
          <w:lang w:val="en-AU"/>
        </w:rPr>
      </w:pPr>
      <w:r>
        <w:rPr>
          <w:lang w:val="en-AU"/>
        </w:rPr>
        <w:t>“</w:t>
      </w:r>
      <w:r w:rsidR="00DF040B" w:rsidRPr="00B5057A">
        <w:rPr>
          <w:i/>
          <w:iCs/>
          <w:sz w:val="22"/>
          <w:szCs w:val="22"/>
          <w:lang w:val="en-AU"/>
        </w:rPr>
        <w:t>Expert evidence</w:t>
      </w:r>
      <w:r w:rsidRPr="00B5057A">
        <w:rPr>
          <w:i/>
          <w:iCs/>
          <w:sz w:val="22"/>
          <w:szCs w:val="22"/>
          <w:lang w:val="en-AU"/>
        </w:rPr>
        <w:t xml:space="preserve"> may be adduced to </w:t>
      </w:r>
      <w:r w:rsidR="00DF040B" w:rsidRPr="00B5057A">
        <w:rPr>
          <w:i/>
          <w:iCs/>
          <w:sz w:val="22"/>
          <w:szCs w:val="22"/>
          <w:lang w:val="en-AU"/>
        </w:rPr>
        <w:t>ascertain how</w:t>
      </w:r>
      <w:r w:rsidRPr="00B5057A">
        <w:rPr>
          <w:i/>
          <w:iCs/>
          <w:sz w:val="22"/>
          <w:szCs w:val="22"/>
          <w:lang w:val="en-AU"/>
        </w:rPr>
        <w:t xml:space="preserve"> an ordinarily skilled and competent professional agent would have behaved in the circumstances.</w:t>
      </w:r>
      <w:r w:rsidRPr="00B5057A">
        <w:rPr>
          <w:rStyle w:val="FootnoteReference"/>
          <w:i/>
          <w:iCs/>
          <w:sz w:val="22"/>
          <w:szCs w:val="22"/>
          <w:lang w:val="en-AU"/>
        </w:rPr>
        <w:footnoteReference w:id="70"/>
      </w:r>
      <w:r w:rsidRPr="00B5057A">
        <w:rPr>
          <w:i/>
          <w:iCs/>
          <w:sz w:val="22"/>
          <w:szCs w:val="22"/>
          <w:lang w:val="en-AU"/>
        </w:rPr>
        <w:t xml:space="preserve"> Yet, if the default in question is ‘so rudimentary and obvious’ such expert evidence will be unnecessary.</w:t>
      </w:r>
      <w:r w:rsidR="004E2928" w:rsidRPr="00B5057A">
        <w:rPr>
          <w:rStyle w:val="FootnoteReference"/>
          <w:i/>
          <w:iCs/>
          <w:sz w:val="22"/>
          <w:szCs w:val="22"/>
          <w:lang w:val="en-AU"/>
        </w:rPr>
        <w:footnoteReference w:id="71"/>
      </w:r>
      <w:r w:rsidRPr="00B5057A">
        <w:rPr>
          <w:i/>
          <w:iCs/>
          <w:sz w:val="22"/>
          <w:szCs w:val="22"/>
          <w:lang w:val="en-AU"/>
        </w:rPr>
        <w:t xml:space="preserve"> The failure of an agent to take a step which was obviously necessary and prudent will entitle the Court to reach its own conclusion of negligence.</w:t>
      </w:r>
      <w:r w:rsidR="00FD3368" w:rsidRPr="00B5057A">
        <w:rPr>
          <w:rStyle w:val="FootnoteReference"/>
          <w:i/>
          <w:iCs/>
          <w:sz w:val="22"/>
          <w:szCs w:val="22"/>
          <w:lang w:val="en-AU"/>
        </w:rPr>
        <w:footnoteReference w:id="72"/>
      </w:r>
      <w:r w:rsidRPr="00B5057A">
        <w:rPr>
          <w:i/>
          <w:iCs/>
          <w:sz w:val="22"/>
          <w:szCs w:val="22"/>
          <w:lang w:val="en-AU"/>
        </w:rPr>
        <w:t xml:space="preserve"> A professional agent who holds himself or herself out as possessing special expertise in a particular</w:t>
      </w:r>
      <w:r w:rsidR="00CF78B0">
        <w:rPr>
          <w:i/>
          <w:iCs/>
          <w:sz w:val="22"/>
          <w:szCs w:val="22"/>
          <w:lang w:val="en-AU"/>
        </w:rPr>
        <w:t xml:space="preserve"> field is likely to be subject </w:t>
      </w:r>
      <w:r w:rsidRPr="00B5057A">
        <w:rPr>
          <w:i/>
          <w:iCs/>
          <w:sz w:val="22"/>
          <w:szCs w:val="22"/>
          <w:lang w:val="en-AU"/>
        </w:rPr>
        <w:t>to a higher standard of care”.</w:t>
      </w:r>
      <w:r w:rsidR="00E90009" w:rsidRPr="00B5057A">
        <w:rPr>
          <w:rStyle w:val="FootnoteReference"/>
          <w:i/>
          <w:iCs/>
          <w:sz w:val="22"/>
          <w:szCs w:val="22"/>
          <w:lang w:val="en-AU"/>
        </w:rPr>
        <w:footnoteReference w:id="73"/>
      </w:r>
      <w:r w:rsidR="00C95002" w:rsidRPr="00B5057A">
        <w:rPr>
          <w:i/>
          <w:iCs/>
          <w:sz w:val="22"/>
          <w:szCs w:val="22"/>
          <w:lang w:val="en-AU"/>
        </w:rPr>
        <w:t xml:space="preserve"> The agent must </w:t>
      </w:r>
      <w:r w:rsidR="00C95002" w:rsidRPr="00B5057A">
        <w:rPr>
          <w:i/>
          <w:iCs/>
          <w:sz w:val="22"/>
          <w:szCs w:val="22"/>
          <w:lang w:val="en-AU"/>
        </w:rPr>
        <w:lastRenderedPageBreak/>
        <w:t xml:space="preserve">not be guilty of unreasonable delay in carrying out his or her instructions </w:t>
      </w:r>
      <w:r w:rsidR="00C95002" w:rsidRPr="00B5057A">
        <w:rPr>
          <w:rStyle w:val="FootnoteReference"/>
          <w:i/>
          <w:iCs/>
          <w:sz w:val="22"/>
          <w:szCs w:val="22"/>
          <w:lang w:val="en-AU"/>
        </w:rPr>
        <w:footnoteReference w:id="74"/>
      </w:r>
      <w:r w:rsidR="00C95002" w:rsidRPr="00B5057A">
        <w:rPr>
          <w:i/>
          <w:iCs/>
          <w:sz w:val="22"/>
          <w:szCs w:val="22"/>
          <w:lang w:val="en-AU"/>
        </w:rPr>
        <w:t xml:space="preserve"> or in communicating to the principal any material information.</w:t>
      </w:r>
      <w:r w:rsidR="00C95002" w:rsidRPr="00B5057A">
        <w:rPr>
          <w:rStyle w:val="FootnoteReference"/>
          <w:i/>
          <w:iCs/>
          <w:sz w:val="22"/>
          <w:szCs w:val="22"/>
          <w:lang w:val="en-AU"/>
        </w:rPr>
        <w:footnoteReference w:id="75"/>
      </w:r>
      <w:r w:rsidR="00E4159F" w:rsidRPr="00B5057A">
        <w:rPr>
          <w:i/>
          <w:iCs/>
          <w:sz w:val="22"/>
          <w:szCs w:val="22"/>
          <w:lang w:val="en-AU"/>
        </w:rPr>
        <w:t>”</w:t>
      </w:r>
    </w:p>
    <w:p w14:paraId="3B1D678A" w14:textId="77777777" w:rsidR="00076E13" w:rsidRDefault="00076E13" w:rsidP="00AA3F7E">
      <w:pPr>
        <w:pStyle w:val="ListParagraph"/>
        <w:jc w:val="both"/>
        <w:rPr>
          <w:lang w:val="en-AU"/>
        </w:rPr>
      </w:pPr>
    </w:p>
    <w:p w14:paraId="62EB9199" w14:textId="3D9BBC20" w:rsidR="00AA3F7E" w:rsidRPr="00A77CD7" w:rsidRDefault="00AA3F7E" w:rsidP="00362C1D">
      <w:pPr>
        <w:pStyle w:val="ListParagraph"/>
        <w:ind w:left="1080"/>
        <w:jc w:val="both"/>
        <w:rPr>
          <w:b/>
          <w:bCs/>
          <w:lang w:val="en-AU"/>
        </w:rPr>
      </w:pPr>
      <w:r w:rsidRPr="00A77CD7">
        <w:rPr>
          <w:b/>
          <w:bCs/>
          <w:lang w:val="en-AU"/>
        </w:rPr>
        <w:t xml:space="preserve">The wording of </w:t>
      </w:r>
      <w:r w:rsidR="00DF040B" w:rsidRPr="00A77CD7">
        <w:rPr>
          <w:b/>
          <w:bCs/>
          <w:lang w:val="en-AU"/>
        </w:rPr>
        <w:t>Clause 1.9</w:t>
      </w:r>
    </w:p>
    <w:p w14:paraId="1B33053E" w14:textId="77777777" w:rsidR="00D34211" w:rsidRPr="00D34211" w:rsidRDefault="00D34211" w:rsidP="00C758F1">
      <w:pPr>
        <w:pStyle w:val="ListParagraph"/>
        <w:jc w:val="both"/>
        <w:rPr>
          <w:lang w:val="en-AU"/>
        </w:rPr>
      </w:pPr>
    </w:p>
    <w:p w14:paraId="67C972D7" w14:textId="2FEAD625" w:rsidR="009E1463" w:rsidRDefault="00D34211" w:rsidP="005C0F7C">
      <w:pPr>
        <w:pStyle w:val="ListParagraph"/>
        <w:numPr>
          <w:ilvl w:val="0"/>
          <w:numId w:val="1"/>
        </w:numPr>
        <w:jc w:val="both"/>
        <w:rPr>
          <w:lang w:val="en-AU"/>
        </w:rPr>
      </w:pPr>
      <w:r w:rsidRPr="008D6699">
        <w:rPr>
          <w:lang w:val="en-AU"/>
        </w:rPr>
        <w:t>In considering whether Whittles has</w:t>
      </w:r>
      <w:r w:rsidR="003F3C02" w:rsidRPr="008D6699">
        <w:rPr>
          <w:lang w:val="en-AU"/>
        </w:rPr>
        <w:t xml:space="preserve"> breached s</w:t>
      </w:r>
      <w:r w:rsidR="00DF040B">
        <w:rPr>
          <w:lang w:val="en-AU"/>
        </w:rPr>
        <w:t>ection</w:t>
      </w:r>
      <w:r w:rsidR="003F3C02" w:rsidRPr="008D6699">
        <w:rPr>
          <w:lang w:val="en-AU"/>
        </w:rPr>
        <w:t xml:space="preserve"> 65(1)(</w:t>
      </w:r>
      <w:r w:rsidR="00CF78B0">
        <w:rPr>
          <w:lang w:val="en-AU"/>
        </w:rPr>
        <w:t>d</w:t>
      </w:r>
      <w:r w:rsidR="003F3C02" w:rsidRPr="008D6699">
        <w:rPr>
          <w:lang w:val="en-AU"/>
        </w:rPr>
        <w:t>)</w:t>
      </w:r>
      <w:r w:rsidRPr="008D6699">
        <w:rPr>
          <w:lang w:val="en-AU"/>
        </w:rPr>
        <w:t xml:space="preserve"> </w:t>
      </w:r>
      <w:r w:rsidR="00444696">
        <w:rPr>
          <w:lang w:val="en-AU"/>
        </w:rPr>
        <w:t>t</w:t>
      </w:r>
      <w:r w:rsidR="00FC2100" w:rsidRPr="008D6699">
        <w:rPr>
          <w:lang w:val="en-AU"/>
        </w:rPr>
        <w:t xml:space="preserve">he </w:t>
      </w:r>
      <w:r w:rsidR="009C695D" w:rsidRPr="008D6699">
        <w:rPr>
          <w:lang w:val="en-AU"/>
        </w:rPr>
        <w:t xml:space="preserve">precise </w:t>
      </w:r>
      <w:r w:rsidR="00FC2100" w:rsidRPr="008D6699">
        <w:rPr>
          <w:lang w:val="en-AU"/>
        </w:rPr>
        <w:t xml:space="preserve">terms of Clause 1.9 </w:t>
      </w:r>
      <w:r w:rsidR="009C695D" w:rsidRPr="008D6699">
        <w:rPr>
          <w:lang w:val="en-AU"/>
        </w:rPr>
        <w:t xml:space="preserve">are </w:t>
      </w:r>
      <w:r w:rsidR="00FC2100" w:rsidRPr="008D6699">
        <w:rPr>
          <w:lang w:val="en-AU"/>
        </w:rPr>
        <w:t xml:space="preserve">important. It </w:t>
      </w:r>
      <w:r w:rsidR="00444696">
        <w:rPr>
          <w:lang w:val="en-AU"/>
        </w:rPr>
        <w:t xml:space="preserve">states that the Manager </w:t>
      </w:r>
      <w:r w:rsidR="00FC2100" w:rsidRPr="00444696">
        <w:rPr>
          <w:lang w:val="en-AU"/>
        </w:rPr>
        <w:t xml:space="preserve">was required to deal with inward and outward </w:t>
      </w:r>
      <w:r w:rsidR="00FC2100" w:rsidRPr="00362C1D">
        <w:rPr>
          <w:i/>
          <w:iCs/>
          <w:lang w:val="en-AU"/>
        </w:rPr>
        <w:t>correspondence</w:t>
      </w:r>
      <w:r w:rsidR="00CF78B0">
        <w:rPr>
          <w:lang w:val="en-AU"/>
        </w:rPr>
        <w:t xml:space="preserve"> </w:t>
      </w:r>
      <w:r w:rsidR="00FC2100" w:rsidRPr="008D6699">
        <w:rPr>
          <w:lang w:val="en-AU"/>
        </w:rPr>
        <w:t xml:space="preserve">that can be </w:t>
      </w:r>
      <w:r w:rsidR="00FC2100" w:rsidRPr="00362C1D">
        <w:rPr>
          <w:i/>
          <w:iCs/>
          <w:lang w:val="en-AU"/>
        </w:rPr>
        <w:t>reasonably</w:t>
      </w:r>
      <w:r w:rsidR="00FC2100" w:rsidRPr="008D6699">
        <w:rPr>
          <w:lang w:val="en-AU"/>
        </w:rPr>
        <w:t xml:space="preserve"> be expected</w:t>
      </w:r>
      <w:r w:rsidR="0094328D" w:rsidRPr="008D6699">
        <w:rPr>
          <w:lang w:val="en-AU"/>
        </w:rPr>
        <w:t xml:space="preserve"> in the </w:t>
      </w:r>
      <w:r w:rsidR="0094328D" w:rsidRPr="00362C1D">
        <w:rPr>
          <w:i/>
          <w:iCs/>
          <w:lang w:val="en-AU"/>
        </w:rPr>
        <w:t>normal</w:t>
      </w:r>
      <w:r w:rsidR="0094328D" w:rsidRPr="008D6699">
        <w:rPr>
          <w:lang w:val="en-AU"/>
        </w:rPr>
        <w:t xml:space="preserve"> </w:t>
      </w:r>
      <w:r w:rsidR="0094328D" w:rsidRPr="00362C1D">
        <w:rPr>
          <w:i/>
          <w:iCs/>
          <w:lang w:val="en-AU"/>
        </w:rPr>
        <w:t>managing</w:t>
      </w:r>
      <w:r w:rsidR="0094328D" w:rsidRPr="008D6699">
        <w:rPr>
          <w:lang w:val="en-AU"/>
        </w:rPr>
        <w:t xml:space="preserve"> of the</w:t>
      </w:r>
      <w:r w:rsidR="0094328D" w:rsidRPr="00507E60">
        <w:rPr>
          <w:lang w:val="en-AU"/>
        </w:rPr>
        <w:t xml:space="preserve"> </w:t>
      </w:r>
      <w:r w:rsidR="0094328D" w:rsidRPr="00DE079C">
        <w:rPr>
          <w:lang w:val="en-AU"/>
        </w:rPr>
        <w:t>Body Corporate</w:t>
      </w:r>
      <w:r w:rsidR="0094328D" w:rsidRPr="00CA4846">
        <w:rPr>
          <w:lang w:val="en-AU"/>
        </w:rPr>
        <w:t xml:space="preserve"> and to inform the </w:t>
      </w:r>
      <w:r w:rsidR="0094328D" w:rsidRPr="00A47C5A">
        <w:rPr>
          <w:lang w:val="en-AU"/>
        </w:rPr>
        <w:t>committee no</w:t>
      </w:r>
      <w:r w:rsidR="0094328D" w:rsidRPr="002566B5">
        <w:rPr>
          <w:lang w:val="en-AU"/>
        </w:rPr>
        <w:t>minee</w:t>
      </w:r>
      <w:r w:rsidR="009C695D">
        <w:rPr>
          <w:rStyle w:val="FootnoteReference"/>
          <w:lang w:val="en-AU"/>
        </w:rPr>
        <w:footnoteReference w:id="76"/>
      </w:r>
      <w:r w:rsidR="0094328D" w:rsidRPr="008D6699">
        <w:rPr>
          <w:lang w:val="en-AU"/>
        </w:rPr>
        <w:t xml:space="preserve"> of its nature and </w:t>
      </w:r>
      <w:r w:rsidR="0094328D" w:rsidRPr="00362C1D">
        <w:rPr>
          <w:i/>
          <w:iCs/>
          <w:lang w:val="en-AU"/>
        </w:rPr>
        <w:t>importance</w:t>
      </w:r>
      <w:r w:rsidR="0094328D" w:rsidRPr="008D6699">
        <w:rPr>
          <w:lang w:val="en-AU"/>
        </w:rPr>
        <w:t xml:space="preserve"> wherever necessary. T</w:t>
      </w:r>
      <w:r w:rsidR="0094328D" w:rsidRPr="00507E60">
        <w:rPr>
          <w:lang w:val="en-AU"/>
        </w:rPr>
        <w:t xml:space="preserve">he </w:t>
      </w:r>
      <w:r w:rsidR="0094328D" w:rsidRPr="00DE079C">
        <w:rPr>
          <w:lang w:val="en-AU"/>
        </w:rPr>
        <w:t>importance</w:t>
      </w:r>
      <w:r w:rsidR="0094328D" w:rsidRPr="00CA4846">
        <w:rPr>
          <w:lang w:val="en-AU"/>
        </w:rPr>
        <w:t xml:space="preserve"> </w:t>
      </w:r>
      <w:r w:rsidR="0094328D" w:rsidRPr="00A47C5A">
        <w:rPr>
          <w:lang w:val="en-AU"/>
        </w:rPr>
        <w:t xml:space="preserve">of </w:t>
      </w:r>
      <w:r w:rsidR="0094328D" w:rsidRPr="002566B5">
        <w:rPr>
          <w:lang w:val="en-AU"/>
        </w:rPr>
        <w:t>Str</w:t>
      </w:r>
      <w:r w:rsidR="0094328D" w:rsidRPr="005C0F7C">
        <w:rPr>
          <w:lang w:val="en-AU"/>
        </w:rPr>
        <w:t>ata public liability insu</w:t>
      </w:r>
      <w:r w:rsidR="0094328D" w:rsidRPr="004036F9">
        <w:rPr>
          <w:lang w:val="en-AU"/>
        </w:rPr>
        <w:t>rance is</w:t>
      </w:r>
      <w:r w:rsidR="0094328D" w:rsidRPr="004A5F12">
        <w:rPr>
          <w:lang w:val="en-AU"/>
        </w:rPr>
        <w:t xml:space="preserve"> </w:t>
      </w:r>
      <w:r w:rsidR="009C695D" w:rsidRPr="00B17B73">
        <w:rPr>
          <w:lang w:val="en-AU"/>
        </w:rPr>
        <w:t>obvious</w:t>
      </w:r>
      <w:r w:rsidR="0094328D" w:rsidRPr="00444696">
        <w:rPr>
          <w:lang w:val="en-AU"/>
        </w:rPr>
        <w:t xml:space="preserve">. Failure to have it </w:t>
      </w:r>
      <w:r w:rsidR="00FE33A5">
        <w:rPr>
          <w:lang w:val="en-AU"/>
        </w:rPr>
        <w:t xml:space="preserve">in place </w:t>
      </w:r>
      <w:r w:rsidR="0094328D" w:rsidRPr="007A0216">
        <w:rPr>
          <w:lang w:val="en-AU"/>
        </w:rPr>
        <w:t>could</w:t>
      </w:r>
      <w:r w:rsidR="0094328D" w:rsidRPr="00975213">
        <w:rPr>
          <w:lang w:val="en-AU"/>
        </w:rPr>
        <w:t xml:space="preserve"> </w:t>
      </w:r>
      <w:r w:rsidR="0094328D" w:rsidRPr="00FE33A5">
        <w:rPr>
          <w:lang w:val="en-AU"/>
        </w:rPr>
        <w:t xml:space="preserve">be potentially devastating for </w:t>
      </w:r>
      <w:r w:rsidR="009C695D" w:rsidRPr="00FE33A5">
        <w:rPr>
          <w:lang w:val="en-AU"/>
        </w:rPr>
        <w:t>a</w:t>
      </w:r>
      <w:r w:rsidR="0094328D" w:rsidRPr="00FE33A5">
        <w:rPr>
          <w:lang w:val="en-AU"/>
        </w:rPr>
        <w:t xml:space="preserve"> Body Corporate. I</w:t>
      </w:r>
      <w:r w:rsidR="0094328D" w:rsidRPr="00FB78FB">
        <w:rPr>
          <w:lang w:val="en-AU"/>
        </w:rPr>
        <w:t xml:space="preserve">n </w:t>
      </w:r>
      <w:r w:rsidR="0094328D" w:rsidRPr="00650511">
        <w:rPr>
          <w:lang w:val="en-AU"/>
        </w:rPr>
        <w:t>this case that failure las</w:t>
      </w:r>
      <w:r w:rsidR="0094328D" w:rsidRPr="00390B2B">
        <w:rPr>
          <w:lang w:val="en-AU"/>
        </w:rPr>
        <w:t>ted from 21 May</w:t>
      </w:r>
      <w:r w:rsidR="00E12A93">
        <w:rPr>
          <w:lang w:val="en-AU"/>
        </w:rPr>
        <w:t xml:space="preserve"> 2017</w:t>
      </w:r>
      <w:r w:rsidR="0094328D" w:rsidRPr="00390B2B">
        <w:rPr>
          <w:lang w:val="en-AU"/>
        </w:rPr>
        <w:t xml:space="preserve"> to 11 July</w:t>
      </w:r>
      <w:r w:rsidR="005F62E4" w:rsidRPr="009529BC">
        <w:rPr>
          <w:lang w:val="en-AU"/>
        </w:rPr>
        <w:t>- a per</w:t>
      </w:r>
      <w:r w:rsidR="005F62E4" w:rsidRPr="007C4517">
        <w:rPr>
          <w:lang w:val="en-AU"/>
        </w:rPr>
        <w:t>iod of</w:t>
      </w:r>
      <w:r w:rsidR="009C695D" w:rsidRPr="00E12A93">
        <w:rPr>
          <w:lang w:val="en-AU"/>
        </w:rPr>
        <w:t xml:space="preserve"> 51 days</w:t>
      </w:r>
      <w:r w:rsidR="00CF78B0">
        <w:rPr>
          <w:lang w:val="en-AU"/>
        </w:rPr>
        <w:t xml:space="preserve"> or </w:t>
      </w:r>
      <w:r w:rsidR="009C695D" w:rsidRPr="00C135CB">
        <w:rPr>
          <w:lang w:val="en-AU"/>
        </w:rPr>
        <w:t>7 weeks</w:t>
      </w:r>
      <w:r w:rsidR="00F3686E">
        <w:rPr>
          <w:lang w:val="en-AU"/>
        </w:rPr>
        <w:t xml:space="preserve"> and 2 days</w:t>
      </w:r>
      <w:r w:rsidR="009C695D" w:rsidRPr="00C135CB">
        <w:rPr>
          <w:lang w:val="en-AU"/>
        </w:rPr>
        <w:t xml:space="preserve">. </w:t>
      </w:r>
      <w:r w:rsidR="00E4159F">
        <w:rPr>
          <w:lang w:val="en-AU"/>
        </w:rPr>
        <w:t xml:space="preserve">Professor Dal Pont’s extract refers to the importance of the avoidance of unreasonable delay in carrying out instructions. </w:t>
      </w:r>
      <w:r w:rsidR="009C695D" w:rsidRPr="00C135CB">
        <w:rPr>
          <w:lang w:val="en-AU"/>
        </w:rPr>
        <w:t xml:space="preserve">The importance of </w:t>
      </w:r>
      <w:r w:rsidR="00E4159F">
        <w:rPr>
          <w:lang w:val="en-AU"/>
        </w:rPr>
        <w:t xml:space="preserve">attending to the problem- via correspondence issued in a timely fashion- </w:t>
      </w:r>
      <w:r w:rsidR="00EC34A8" w:rsidRPr="00EB426F">
        <w:rPr>
          <w:lang w:val="en-AU"/>
        </w:rPr>
        <w:t xml:space="preserve">is </w:t>
      </w:r>
      <w:r w:rsidR="009C695D" w:rsidRPr="00EB426F">
        <w:rPr>
          <w:lang w:val="en-AU"/>
        </w:rPr>
        <w:t>undersco</w:t>
      </w:r>
      <w:r w:rsidR="009C695D" w:rsidRPr="00016A78">
        <w:rPr>
          <w:lang w:val="en-AU"/>
        </w:rPr>
        <w:t xml:space="preserve">red </w:t>
      </w:r>
      <w:r w:rsidR="00EC34A8" w:rsidRPr="004822B0">
        <w:rPr>
          <w:lang w:val="en-AU"/>
        </w:rPr>
        <w:t>by the fact that the follow up on 11 July</w:t>
      </w:r>
      <w:r w:rsidR="00EC34A8" w:rsidRPr="00F67643">
        <w:rPr>
          <w:lang w:val="en-AU"/>
        </w:rPr>
        <w:t xml:space="preserve"> led to insurance </w:t>
      </w:r>
      <w:r w:rsidR="00EC34A8" w:rsidRPr="008D6699">
        <w:rPr>
          <w:lang w:val="en-AU"/>
        </w:rPr>
        <w:t xml:space="preserve">cover; but for this, it would </w:t>
      </w:r>
      <w:r w:rsidR="005F6E00" w:rsidRPr="008D6699">
        <w:rPr>
          <w:lang w:val="en-AU"/>
        </w:rPr>
        <w:t xml:space="preserve">appear </w:t>
      </w:r>
      <w:r w:rsidR="006A4B2A">
        <w:rPr>
          <w:lang w:val="en-AU"/>
        </w:rPr>
        <w:t xml:space="preserve">likely </w:t>
      </w:r>
      <w:r w:rsidR="005F6E00" w:rsidRPr="006A4B2A">
        <w:rPr>
          <w:lang w:val="en-AU"/>
        </w:rPr>
        <w:t xml:space="preserve">to </w:t>
      </w:r>
      <w:r w:rsidR="00EC34A8" w:rsidRPr="006A4B2A">
        <w:rPr>
          <w:lang w:val="en-AU"/>
        </w:rPr>
        <w:t>have remained outstanding</w:t>
      </w:r>
      <w:r w:rsidR="00EC34A8" w:rsidRPr="008D6699">
        <w:rPr>
          <w:lang w:val="en-AU"/>
        </w:rPr>
        <w:t>. This</w:t>
      </w:r>
      <w:r w:rsidR="00E23E77">
        <w:rPr>
          <w:lang w:val="en-AU"/>
        </w:rPr>
        <w:t xml:space="preserve"> elevates</w:t>
      </w:r>
      <w:r w:rsidR="00EC34A8" w:rsidRPr="008D6699">
        <w:rPr>
          <w:lang w:val="en-AU"/>
        </w:rPr>
        <w:t xml:space="preserve"> the importance of the Manager in this instance to follow up</w:t>
      </w:r>
      <w:r w:rsidR="005F6E00" w:rsidRPr="008D6699">
        <w:rPr>
          <w:lang w:val="en-AU"/>
        </w:rPr>
        <w:t xml:space="preserve"> with the Body Corporate</w:t>
      </w:r>
      <w:r w:rsidR="008653F7">
        <w:rPr>
          <w:lang w:val="en-AU"/>
        </w:rPr>
        <w:t xml:space="preserve"> in a timely fashion</w:t>
      </w:r>
      <w:r w:rsidR="00EC34A8" w:rsidRPr="008D6699">
        <w:rPr>
          <w:lang w:val="en-AU"/>
        </w:rPr>
        <w:t>.</w:t>
      </w:r>
      <w:r w:rsidR="00FE33A5">
        <w:rPr>
          <w:lang w:val="en-AU"/>
        </w:rPr>
        <w:t xml:space="preserve"> </w:t>
      </w:r>
      <w:r w:rsidR="004036F9">
        <w:rPr>
          <w:lang w:val="en-AU"/>
        </w:rPr>
        <w:t xml:space="preserve">There </w:t>
      </w:r>
      <w:r w:rsidR="004A5F12">
        <w:rPr>
          <w:lang w:val="en-AU"/>
        </w:rPr>
        <w:t>was</w:t>
      </w:r>
      <w:r w:rsidR="00CF78B0">
        <w:rPr>
          <w:lang w:val="en-AU"/>
        </w:rPr>
        <w:t xml:space="preserve"> no reason </w:t>
      </w:r>
      <w:r w:rsidR="004036F9">
        <w:rPr>
          <w:lang w:val="en-AU"/>
        </w:rPr>
        <w:t xml:space="preserve">indicated as to why the follow up on 11 July occurred. </w:t>
      </w:r>
      <w:r w:rsidR="004A5F12">
        <w:rPr>
          <w:lang w:val="en-AU"/>
        </w:rPr>
        <w:t>Nor</w:t>
      </w:r>
      <w:r w:rsidR="004036F9">
        <w:rPr>
          <w:lang w:val="en-AU"/>
        </w:rPr>
        <w:t xml:space="preserve"> was</w:t>
      </w:r>
      <w:r w:rsidR="004A5F12">
        <w:rPr>
          <w:lang w:val="en-AU"/>
        </w:rPr>
        <w:t xml:space="preserve"> there</w:t>
      </w:r>
      <w:r w:rsidR="004036F9">
        <w:rPr>
          <w:lang w:val="en-AU"/>
        </w:rPr>
        <w:t xml:space="preserve"> evidence adduced as to whether there was any system in place, either</w:t>
      </w:r>
      <w:r w:rsidR="00E23E77">
        <w:rPr>
          <w:lang w:val="en-AU"/>
        </w:rPr>
        <w:t xml:space="preserve"> computer-based</w:t>
      </w:r>
      <w:r w:rsidR="004036F9">
        <w:rPr>
          <w:lang w:val="en-AU"/>
        </w:rPr>
        <w:t xml:space="preserve"> or otherwise</w:t>
      </w:r>
      <w:r w:rsidR="00444696">
        <w:rPr>
          <w:lang w:val="en-AU"/>
        </w:rPr>
        <w:t xml:space="preserve">, </w:t>
      </w:r>
      <w:r w:rsidR="00CF78B0">
        <w:rPr>
          <w:lang w:val="en-AU"/>
        </w:rPr>
        <w:t xml:space="preserve">that was operating </w:t>
      </w:r>
      <w:r w:rsidR="004036F9">
        <w:rPr>
          <w:lang w:val="en-AU"/>
        </w:rPr>
        <w:t xml:space="preserve">at the time that might have prompted a reminder to </w:t>
      </w:r>
      <w:r w:rsidR="004A5F12">
        <w:rPr>
          <w:lang w:val="en-AU"/>
        </w:rPr>
        <w:t xml:space="preserve">Whittles to </w:t>
      </w:r>
      <w:r w:rsidR="004036F9">
        <w:rPr>
          <w:lang w:val="en-AU"/>
        </w:rPr>
        <w:t>follow up the Body Corporate</w:t>
      </w:r>
      <w:r w:rsidR="004A5F12">
        <w:rPr>
          <w:lang w:val="en-AU"/>
        </w:rPr>
        <w:t xml:space="preserve"> regarding its respons</w:t>
      </w:r>
      <w:r w:rsidR="00E12A93">
        <w:rPr>
          <w:lang w:val="en-AU"/>
        </w:rPr>
        <w:t xml:space="preserve">e. The very late response </w:t>
      </w:r>
      <w:r w:rsidR="00293E55">
        <w:rPr>
          <w:lang w:val="en-AU"/>
        </w:rPr>
        <w:t>by Whit</w:t>
      </w:r>
      <w:r w:rsidR="0093577C">
        <w:rPr>
          <w:lang w:val="en-AU"/>
        </w:rPr>
        <w:t xml:space="preserve">tles combined with the absence </w:t>
      </w:r>
      <w:r w:rsidR="00CF78B0">
        <w:rPr>
          <w:lang w:val="en-AU"/>
        </w:rPr>
        <w:t xml:space="preserve">of a timely follow up </w:t>
      </w:r>
      <w:r w:rsidR="00293E55">
        <w:rPr>
          <w:lang w:val="en-AU"/>
        </w:rPr>
        <w:t xml:space="preserve">is suggestive of a simple oversight by Whittles. </w:t>
      </w:r>
    </w:p>
    <w:p w14:paraId="72F9FB96" w14:textId="77777777" w:rsidR="009E1463" w:rsidRDefault="009E1463" w:rsidP="00362C1D">
      <w:pPr>
        <w:pStyle w:val="ListParagraph"/>
        <w:ind w:left="1080"/>
        <w:jc w:val="both"/>
        <w:rPr>
          <w:lang w:val="en-AU"/>
        </w:rPr>
      </w:pPr>
    </w:p>
    <w:p w14:paraId="431146B7" w14:textId="4390601F" w:rsidR="00F3686E" w:rsidRDefault="00EC34A8" w:rsidP="00634A7D">
      <w:pPr>
        <w:pStyle w:val="ListParagraph"/>
        <w:numPr>
          <w:ilvl w:val="0"/>
          <w:numId w:val="1"/>
        </w:numPr>
        <w:jc w:val="both"/>
        <w:rPr>
          <w:lang w:val="en-AU"/>
        </w:rPr>
      </w:pPr>
      <w:r w:rsidRPr="00F3686E">
        <w:rPr>
          <w:lang w:val="en-AU"/>
        </w:rPr>
        <w:t xml:space="preserve">The reference to “normal managing” </w:t>
      </w:r>
      <w:r w:rsidR="00134764">
        <w:rPr>
          <w:lang w:val="en-AU"/>
        </w:rPr>
        <w:t>in C</w:t>
      </w:r>
      <w:r w:rsidR="005F6E00" w:rsidRPr="00F3686E">
        <w:rPr>
          <w:lang w:val="en-AU"/>
        </w:rPr>
        <w:t xml:space="preserve">lause 1.9 </w:t>
      </w:r>
      <w:r w:rsidRPr="00F3686E">
        <w:rPr>
          <w:lang w:val="en-AU"/>
        </w:rPr>
        <w:t>suggest</w:t>
      </w:r>
      <w:r w:rsidR="004A5F12" w:rsidRPr="00F3686E">
        <w:rPr>
          <w:lang w:val="en-AU"/>
        </w:rPr>
        <w:t>s</w:t>
      </w:r>
      <w:r w:rsidRPr="00F3686E">
        <w:rPr>
          <w:lang w:val="en-AU"/>
        </w:rPr>
        <w:t xml:space="preserve"> an on</w:t>
      </w:r>
      <w:r w:rsidR="00915068" w:rsidRPr="00F3686E">
        <w:rPr>
          <w:lang w:val="en-AU"/>
        </w:rPr>
        <w:t>-</w:t>
      </w:r>
      <w:r w:rsidR="00134764">
        <w:rPr>
          <w:lang w:val="en-AU"/>
        </w:rPr>
        <w:t>going</w:t>
      </w:r>
      <w:r w:rsidRPr="00F3686E">
        <w:rPr>
          <w:lang w:val="en-AU"/>
        </w:rPr>
        <w:t xml:space="preserve"> process </w:t>
      </w:r>
      <w:r w:rsidR="005F6E00" w:rsidRPr="00F3686E">
        <w:rPr>
          <w:lang w:val="en-AU"/>
        </w:rPr>
        <w:t>in terms of dealing with correspondence</w:t>
      </w:r>
      <w:r w:rsidRPr="00F3686E">
        <w:rPr>
          <w:lang w:val="en-AU"/>
        </w:rPr>
        <w:t>– which was concerned with dealing with normal problems</w:t>
      </w:r>
      <w:r w:rsidR="009677BE">
        <w:rPr>
          <w:lang w:val="en-AU"/>
        </w:rPr>
        <w:t>- as opposed to abnormal ones</w:t>
      </w:r>
      <w:r w:rsidRPr="00F3686E">
        <w:rPr>
          <w:lang w:val="en-AU"/>
        </w:rPr>
        <w:t>. There is nothing to suggest that the problem at hand,</w:t>
      </w:r>
      <w:r w:rsidR="00CA4846" w:rsidRPr="00F3686E">
        <w:rPr>
          <w:lang w:val="en-AU"/>
        </w:rPr>
        <w:t xml:space="preserve"> namely c</w:t>
      </w:r>
      <w:r w:rsidRPr="00F3686E">
        <w:rPr>
          <w:lang w:val="en-AU"/>
        </w:rPr>
        <w:t xml:space="preserve">larifying the terms of insurance renewal, was anything other than a normal matter arising in the day-to-day course of business. </w:t>
      </w:r>
      <w:r w:rsidR="00915068" w:rsidRPr="00F3686E">
        <w:rPr>
          <w:lang w:val="en-AU"/>
        </w:rPr>
        <w:t>The ongoing nature of the proc</w:t>
      </w:r>
      <w:r w:rsidR="00CF78B0">
        <w:rPr>
          <w:lang w:val="en-AU"/>
        </w:rPr>
        <w:t xml:space="preserve">ess is important, as follow up </w:t>
      </w:r>
      <w:r w:rsidR="00915068" w:rsidRPr="00F3686E">
        <w:rPr>
          <w:lang w:val="en-AU"/>
        </w:rPr>
        <w:t>correspondence is a standard part of “normal managing”.</w:t>
      </w:r>
      <w:r w:rsidR="00F3686E" w:rsidRPr="00F3686E">
        <w:rPr>
          <w:lang w:val="en-AU"/>
        </w:rPr>
        <w:t xml:space="preserve"> </w:t>
      </w:r>
    </w:p>
    <w:p w14:paraId="1BC247DB" w14:textId="77777777" w:rsidR="002E65C9" w:rsidRDefault="002E65C9" w:rsidP="00362C1D">
      <w:pPr>
        <w:pStyle w:val="ListParagraph"/>
        <w:ind w:left="1080"/>
        <w:jc w:val="both"/>
        <w:rPr>
          <w:lang w:val="en-AU"/>
        </w:rPr>
      </w:pPr>
    </w:p>
    <w:p w14:paraId="28DAA85C" w14:textId="4E4E65F0" w:rsidR="00E951FF" w:rsidRDefault="00EC34A8" w:rsidP="005C0F7C">
      <w:pPr>
        <w:pStyle w:val="ListParagraph"/>
        <w:numPr>
          <w:ilvl w:val="0"/>
          <w:numId w:val="1"/>
        </w:numPr>
        <w:jc w:val="both"/>
        <w:rPr>
          <w:lang w:val="en-AU"/>
        </w:rPr>
      </w:pPr>
      <w:r w:rsidRPr="004036F9">
        <w:rPr>
          <w:lang w:val="en-AU"/>
        </w:rPr>
        <w:t>Whittles</w:t>
      </w:r>
      <w:r w:rsidR="009C695D" w:rsidRPr="004036F9">
        <w:rPr>
          <w:lang w:val="en-AU"/>
        </w:rPr>
        <w:t>’</w:t>
      </w:r>
      <w:r w:rsidRPr="004036F9">
        <w:rPr>
          <w:lang w:val="en-AU"/>
        </w:rPr>
        <w:t xml:space="preserve"> argume</w:t>
      </w:r>
      <w:r w:rsidR="00915068">
        <w:rPr>
          <w:lang w:val="en-AU"/>
        </w:rPr>
        <w:t>nt</w:t>
      </w:r>
      <w:r w:rsidR="00C057F3">
        <w:rPr>
          <w:lang w:val="en-AU"/>
        </w:rPr>
        <w:t>,</w:t>
      </w:r>
      <w:r w:rsidR="00915068">
        <w:rPr>
          <w:lang w:val="en-AU"/>
        </w:rPr>
        <w:t xml:space="preserve"> in which it denies any </w:t>
      </w:r>
      <w:r w:rsidRPr="004036F9">
        <w:rPr>
          <w:lang w:val="en-AU"/>
        </w:rPr>
        <w:t xml:space="preserve">duty </w:t>
      </w:r>
      <w:r w:rsidR="00E3452F">
        <w:rPr>
          <w:lang w:val="en-AU"/>
        </w:rPr>
        <w:t xml:space="preserve">to remind members of the body corporate </w:t>
      </w:r>
      <w:r w:rsidR="00E951FF">
        <w:rPr>
          <w:lang w:val="en-AU"/>
        </w:rPr>
        <w:t>(due to purported incapacity to precisely inarticulate what more was required)</w:t>
      </w:r>
      <w:r w:rsidR="00C057F3">
        <w:rPr>
          <w:lang w:val="en-AU"/>
        </w:rPr>
        <w:t xml:space="preserve">, </w:t>
      </w:r>
      <w:r w:rsidR="009C695D" w:rsidRPr="008D6699">
        <w:rPr>
          <w:lang w:val="en-AU"/>
        </w:rPr>
        <w:t xml:space="preserve">is </w:t>
      </w:r>
      <w:r w:rsidR="005F6E00" w:rsidRPr="008D6699">
        <w:rPr>
          <w:lang w:val="en-AU"/>
        </w:rPr>
        <w:t>met</w:t>
      </w:r>
      <w:r w:rsidR="009C695D" w:rsidRPr="008D6699">
        <w:rPr>
          <w:lang w:val="en-AU"/>
        </w:rPr>
        <w:t xml:space="preserve"> with the reality of what Ms Bruton did on 11 July- namely sen</w:t>
      </w:r>
      <w:r w:rsidR="00DD1E33">
        <w:rPr>
          <w:lang w:val="en-AU"/>
        </w:rPr>
        <w:t>ding</w:t>
      </w:r>
      <w:r w:rsidR="009C695D" w:rsidRPr="008D6699">
        <w:rPr>
          <w:lang w:val="en-AU"/>
        </w:rPr>
        <w:t xml:space="preserve"> </w:t>
      </w:r>
      <w:r w:rsidR="005F6E00" w:rsidRPr="008D6699">
        <w:rPr>
          <w:lang w:val="en-AU"/>
        </w:rPr>
        <w:t>correspondence</w:t>
      </w:r>
      <w:r w:rsidR="00E951FF">
        <w:rPr>
          <w:lang w:val="en-AU"/>
        </w:rPr>
        <w:t xml:space="preserve"> in the form of </w:t>
      </w:r>
      <w:r w:rsidR="009C695D" w:rsidRPr="008D6699">
        <w:rPr>
          <w:lang w:val="en-AU"/>
        </w:rPr>
        <w:t>an email, which promptly attended to the problem.</w:t>
      </w:r>
      <w:r w:rsidR="00B17D7C">
        <w:rPr>
          <w:lang w:val="en-AU"/>
        </w:rPr>
        <w:t xml:space="preserve"> </w:t>
      </w:r>
      <w:r w:rsidR="00E951FF">
        <w:rPr>
          <w:lang w:val="en-AU"/>
        </w:rPr>
        <w:lastRenderedPageBreak/>
        <w:t xml:space="preserve">What </w:t>
      </w:r>
      <w:r w:rsidR="00975213">
        <w:rPr>
          <w:lang w:val="en-AU"/>
        </w:rPr>
        <w:t xml:space="preserve">actually </w:t>
      </w:r>
      <w:r w:rsidR="00E951FF">
        <w:rPr>
          <w:lang w:val="en-AU"/>
        </w:rPr>
        <w:t xml:space="preserve">occurred was </w:t>
      </w:r>
      <w:r w:rsidR="00B17D7C">
        <w:rPr>
          <w:lang w:val="en-AU"/>
        </w:rPr>
        <w:t>thus t</w:t>
      </w:r>
      <w:r w:rsidR="00E951FF">
        <w:rPr>
          <w:lang w:val="en-AU"/>
        </w:rPr>
        <w:t>he reverse o</w:t>
      </w:r>
      <w:r w:rsidR="00975213">
        <w:rPr>
          <w:lang w:val="en-AU"/>
        </w:rPr>
        <w:t>f</w:t>
      </w:r>
      <w:r w:rsidR="00E951FF">
        <w:rPr>
          <w:lang w:val="en-AU"/>
        </w:rPr>
        <w:t xml:space="preserve"> vague or nebulous. It was a simple</w:t>
      </w:r>
      <w:r w:rsidR="00B17D7C">
        <w:rPr>
          <w:lang w:val="en-AU"/>
        </w:rPr>
        <w:t>,</w:t>
      </w:r>
      <w:r w:rsidR="00E951FF">
        <w:rPr>
          <w:lang w:val="en-AU"/>
        </w:rPr>
        <w:t xml:space="preserve"> practical response, the nature of which was entirely “normal</w:t>
      </w:r>
      <w:r w:rsidR="007F64B3">
        <w:rPr>
          <w:lang w:val="en-AU"/>
        </w:rPr>
        <w:t>”</w:t>
      </w:r>
      <w:r w:rsidR="00E951FF">
        <w:rPr>
          <w:lang w:val="en-AU"/>
        </w:rPr>
        <w:t>.</w:t>
      </w:r>
      <w:r w:rsidR="00666216">
        <w:rPr>
          <w:lang w:val="en-AU"/>
        </w:rPr>
        <w:t xml:space="preserve"> </w:t>
      </w:r>
      <w:r w:rsidR="0093577C">
        <w:rPr>
          <w:lang w:val="en-AU"/>
        </w:rPr>
        <w:t xml:space="preserve"> </w:t>
      </w:r>
      <w:r w:rsidR="00E951FF">
        <w:rPr>
          <w:lang w:val="en-AU"/>
        </w:rPr>
        <w:t>S</w:t>
      </w:r>
      <w:r w:rsidR="00CA4846" w:rsidRPr="005C0F7C">
        <w:rPr>
          <w:lang w:val="en-AU"/>
        </w:rPr>
        <w:t>en</w:t>
      </w:r>
      <w:r w:rsidR="005F6E00" w:rsidRPr="005C0F7C">
        <w:rPr>
          <w:lang w:val="en-AU"/>
        </w:rPr>
        <w:t>ding an email i</w:t>
      </w:r>
      <w:r w:rsidR="00E951FF">
        <w:rPr>
          <w:lang w:val="en-AU"/>
        </w:rPr>
        <w:t>s a standard form of correspondence in</w:t>
      </w:r>
      <w:r w:rsidR="005F6E00" w:rsidRPr="005C0F7C">
        <w:rPr>
          <w:lang w:val="en-AU"/>
        </w:rPr>
        <w:t xml:space="preserve"> the contemporary </w:t>
      </w:r>
      <w:r w:rsidR="005C0F7C" w:rsidRPr="005C0F7C">
        <w:rPr>
          <w:lang w:val="en-AU"/>
        </w:rPr>
        <w:t xml:space="preserve">business </w:t>
      </w:r>
      <w:r w:rsidR="005F6E00" w:rsidRPr="005C0F7C">
        <w:rPr>
          <w:lang w:val="en-AU"/>
        </w:rPr>
        <w:t>world</w:t>
      </w:r>
      <w:r w:rsidR="00E951FF">
        <w:rPr>
          <w:lang w:val="en-AU"/>
        </w:rPr>
        <w:t>. Whittles</w:t>
      </w:r>
      <w:r w:rsidR="007F64B3">
        <w:rPr>
          <w:lang w:val="en-AU"/>
        </w:rPr>
        <w:t>’</w:t>
      </w:r>
      <w:r w:rsidR="00E951FF">
        <w:rPr>
          <w:lang w:val="en-AU"/>
        </w:rPr>
        <w:t xml:space="preserve"> argument on this point, that the </w:t>
      </w:r>
      <w:r w:rsidR="009E1463">
        <w:rPr>
          <w:lang w:val="en-AU"/>
        </w:rPr>
        <w:t xml:space="preserve">question </w:t>
      </w:r>
      <w:r w:rsidR="00E951FF">
        <w:rPr>
          <w:lang w:val="en-AU"/>
        </w:rPr>
        <w:t>o</w:t>
      </w:r>
      <w:r w:rsidR="00E3452F">
        <w:rPr>
          <w:lang w:val="en-AU"/>
        </w:rPr>
        <w:t xml:space="preserve">f what more could be done </w:t>
      </w:r>
      <w:r w:rsidR="00CF78B0">
        <w:rPr>
          <w:lang w:val="en-AU"/>
        </w:rPr>
        <w:t xml:space="preserve">is </w:t>
      </w:r>
      <w:r w:rsidR="00E951FF">
        <w:rPr>
          <w:lang w:val="en-AU"/>
        </w:rPr>
        <w:t xml:space="preserve">so vague and nebulous as to be incapable of proper articulation, is </w:t>
      </w:r>
      <w:r w:rsidR="00975213">
        <w:rPr>
          <w:lang w:val="en-AU"/>
        </w:rPr>
        <w:t xml:space="preserve">therefore </w:t>
      </w:r>
      <w:r w:rsidR="00E951FF">
        <w:rPr>
          <w:lang w:val="en-AU"/>
        </w:rPr>
        <w:t xml:space="preserve">rejected. </w:t>
      </w:r>
      <w:r w:rsidR="00975213">
        <w:rPr>
          <w:lang w:val="en-AU"/>
        </w:rPr>
        <w:t xml:space="preserve">It is important to note that </w:t>
      </w:r>
      <w:r w:rsidR="002E65C9">
        <w:rPr>
          <w:lang w:val="en-AU"/>
        </w:rPr>
        <w:t>Whittles had used t</w:t>
      </w:r>
      <w:r w:rsidR="00975213">
        <w:rPr>
          <w:lang w:val="en-AU"/>
        </w:rPr>
        <w:t>his</w:t>
      </w:r>
      <w:r w:rsidR="009E1463">
        <w:rPr>
          <w:lang w:val="en-AU"/>
        </w:rPr>
        <w:t xml:space="preserve"> argument</w:t>
      </w:r>
      <w:r w:rsidR="00975213">
        <w:rPr>
          <w:lang w:val="en-AU"/>
        </w:rPr>
        <w:t xml:space="preserve"> </w:t>
      </w:r>
      <w:r w:rsidR="009E1463">
        <w:rPr>
          <w:lang w:val="en-AU"/>
        </w:rPr>
        <w:t xml:space="preserve">in support of the proposition </w:t>
      </w:r>
      <w:r w:rsidR="002E65C9">
        <w:rPr>
          <w:lang w:val="en-AU"/>
        </w:rPr>
        <w:t xml:space="preserve">that it could not have a duty </w:t>
      </w:r>
      <w:r w:rsidR="00FE33A5">
        <w:rPr>
          <w:lang w:val="en-AU"/>
        </w:rPr>
        <w:t>to/on behalf of</w:t>
      </w:r>
      <w:r w:rsidR="002E65C9">
        <w:rPr>
          <w:lang w:val="en-AU"/>
        </w:rPr>
        <w:t xml:space="preserve"> the Body Corporate. This is rejected. </w:t>
      </w:r>
      <w:r w:rsidR="00CF78B0">
        <w:rPr>
          <w:lang w:val="en-AU"/>
        </w:rPr>
        <w:t xml:space="preserve"> Additionally</w:t>
      </w:r>
      <w:r w:rsidR="00972EE4">
        <w:rPr>
          <w:lang w:val="en-AU"/>
        </w:rPr>
        <w:t xml:space="preserve">, the quotation above </w:t>
      </w:r>
      <w:r w:rsidR="00972EE4">
        <w:rPr>
          <w:rStyle w:val="FootnoteReference"/>
          <w:lang w:val="en-AU"/>
        </w:rPr>
        <w:footnoteReference w:id="77"/>
      </w:r>
      <w:r w:rsidR="00972EE4">
        <w:rPr>
          <w:lang w:val="en-AU"/>
        </w:rPr>
        <w:t xml:space="preserve">from Professor Dal Pont is of core relevance- where no definite instructions have been given to the agent or where the instructions leave a discretion to him or her, the agent must be guided by his/her own judgement and the interest of the principal. </w:t>
      </w:r>
      <w:r w:rsidR="00886B19">
        <w:rPr>
          <w:lang w:val="en-AU"/>
        </w:rPr>
        <w:t xml:space="preserve">It was fundamentally in the </w:t>
      </w:r>
      <w:r w:rsidR="00666216">
        <w:rPr>
          <w:lang w:val="en-AU"/>
        </w:rPr>
        <w:t>interests of</w:t>
      </w:r>
      <w:r w:rsidR="00886B19">
        <w:rPr>
          <w:lang w:val="en-AU"/>
        </w:rPr>
        <w:t xml:space="preserve"> the principal that this matter be followed up promptly bef</w:t>
      </w:r>
      <w:r w:rsidR="0093577C">
        <w:rPr>
          <w:lang w:val="en-AU"/>
        </w:rPr>
        <w:t>ore the insurance policy lapsed</w:t>
      </w:r>
      <w:r w:rsidR="00886B19">
        <w:rPr>
          <w:lang w:val="en-AU"/>
        </w:rPr>
        <w:t>.</w:t>
      </w:r>
      <w:r w:rsidR="0093577C">
        <w:rPr>
          <w:lang w:val="en-AU"/>
        </w:rPr>
        <w:t xml:space="preserve"> </w:t>
      </w:r>
      <w:r w:rsidR="00886B19">
        <w:rPr>
          <w:lang w:val="en-AU"/>
        </w:rPr>
        <w:t xml:space="preserve">Clearly, when Ms Bruton acted in July she appreciated the principal’s interests -at this point -and acted urgently to do with it. This illustrates not merely the existence of the duty but its importance. The Board finds that Whittle had a duty to the principal. </w:t>
      </w:r>
    </w:p>
    <w:p w14:paraId="15CC7F78" w14:textId="1F70C4C3" w:rsidR="002E65C9" w:rsidRDefault="002E65C9">
      <w:pPr>
        <w:pStyle w:val="ListParagraph"/>
        <w:ind w:left="1080"/>
        <w:jc w:val="both"/>
        <w:rPr>
          <w:lang w:val="en-AU"/>
        </w:rPr>
      </w:pPr>
    </w:p>
    <w:p w14:paraId="44392290" w14:textId="2E27D840" w:rsidR="003F36BD" w:rsidRPr="00A77CD7" w:rsidRDefault="003F36BD">
      <w:pPr>
        <w:pStyle w:val="ListParagraph"/>
        <w:ind w:left="1080"/>
        <w:jc w:val="both"/>
        <w:rPr>
          <w:b/>
          <w:bCs/>
          <w:u w:val="single"/>
          <w:lang w:val="en-AU"/>
        </w:rPr>
      </w:pPr>
      <w:r w:rsidRPr="00A77CD7">
        <w:rPr>
          <w:b/>
          <w:bCs/>
          <w:u w:val="single"/>
          <w:lang w:val="en-AU"/>
        </w:rPr>
        <w:t>Failure to use due skill, care or diligence</w:t>
      </w:r>
    </w:p>
    <w:p w14:paraId="48270073" w14:textId="77777777" w:rsidR="003F36BD" w:rsidRPr="00A77CD7" w:rsidRDefault="003F36BD" w:rsidP="00362C1D">
      <w:pPr>
        <w:pStyle w:val="ListParagraph"/>
        <w:ind w:left="1080"/>
        <w:jc w:val="both"/>
        <w:rPr>
          <w:b/>
          <w:bCs/>
          <w:u w:val="single"/>
          <w:lang w:val="en-AU"/>
        </w:rPr>
      </w:pPr>
    </w:p>
    <w:p w14:paraId="30D36B64" w14:textId="03A32225" w:rsidR="002E65C9" w:rsidRDefault="002E65C9" w:rsidP="005C0F7C">
      <w:pPr>
        <w:pStyle w:val="ListParagraph"/>
        <w:numPr>
          <w:ilvl w:val="0"/>
          <w:numId w:val="1"/>
        </w:numPr>
        <w:jc w:val="both"/>
        <w:rPr>
          <w:lang w:val="en-AU"/>
        </w:rPr>
      </w:pPr>
      <w:r>
        <w:rPr>
          <w:lang w:val="en-AU"/>
        </w:rPr>
        <w:t xml:space="preserve">The final question for the Board is having found </w:t>
      </w:r>
      <w:r w:rsidR="00157AA7">
        <w:rPr>
          <w:lang w:val="en-AU"/>
        </w:rPr>
        <w:t>that Whittles</w:t>
      </w:r>
      <w:r>
        <w:rPr>
          <w:lang w:val="en-AU"/>
        </w:rPr>
        <w:t xml:space="preserve"> had a duty on behalf of its principal </w:t>
      </w:r>
      <w:r w:rsidR="00157AA7">
        <w:rPr>
          <w:lang w:val="en-AU"/>
        </w:rPr>
        <w:t xml:space="preserve">whether </w:t>
      </w:r>
      <w:r>
        <w:rPr>
          <w:lang w:val="en-AU"/>
        </w:rPr>
        <w:t>it had failed to use due skill, care, or diligence in carrying out its duty.</w:t>
      </w:r>
    </w:p>
    <w:p w14:paraId="54E46D66" w14:textId="77777777" w:rsidR="002E65C9" w:rsidRPr="002E65C9" w:rsidRDefault="002E65C9" w:rsidP="00362C1D">
      <w:pPr>
        <w:pStyle w:val="ListParagraph"/>
        <w:rPr>
          <w:lang w:val="en-AU"/>
        </w:rPr>
      </w:pPr>
    </w:p>
    <w:p w14:paraId="6487396A" w14:textId="4EA56727" w:rsidR="006B7C0D" w:rsidRDefault="00B17B73">
      <w:pPr>
        <w:pStyle w:val="ListParagraph"/>
        <w:numPr>
          <w:ilvl w:val="0"/>
          <w:numId w:val="1"/>
        </w:numPr>
        <w:jc w:val="both"/>
        <w:rPr>
          <w:lang w:val="en-AU"/>
        </w:rPr>
      </w:pPr>
      <w:r>
        <w:rPr>
          <w:lang w:val="en-AU"/>
        </w:rPr>
        <w:t xml:space="preserve">The Board notes that </w:t>
      </w:r>
      <w:r w:rsidR="00DF040B">
        <w:rPr>
          <w:lang w:val="en-AU"/>
        </w:rPr>
        <w:t>the wording of section 65</w:t>
      </w:r>
      <w:r>
        <w:rPr>
          <w:lang w:val="en-AU"/>
        </w:rPr>
        <w:t>(1)(d) employ</w:t>
      </w:r>
      <w:r w:rsidR="002E65C9">
        <w:rPr>
          <w:lang w:val="en-AU"/>
        </w:rPr>
        <w:t>s</w:t>
      </w:r>
      <w:r>
        <w:rPr>
          <w:lang w:val="en-AU"/>
        </w:rPr>
        <w:t xml:space="preserve"> the word “diligen</w:t>
      </w:r>
      <w:r w:rsidR="00497814">
        <w:rPr>
          <w:lang w:val="en-AU"/>
        </w:rPr>
        <w:t>ce</w:t>
      </w:r>
      <w:r>
        <w:rPr>
          <w:lang w:val="en-AU"/>
        </w:rPr>
        <w:t xml:space="preserve">” as well as “skill” and “care”.  </w:t>
      </w:r>
      <w:r w:rsidR="00D3287C">
        <w:rPr>
          <w:lang w:val="en-AU"/>
        </w:rPr>
        <w:t xml:space="preserve">They are </w:t>
      </w:r>
      <w:r w:rsidR="009E1463">
        <w:rPr>
          <w:lang w:val="en-AU"/>
        </w:rPr>
        <w:t>employed</w:t>
      </w:r>
      <w:r w:rsidR="00D3287C">
        <w:rPr>
          <w:lang w:val="en-AU"/>
        </w:rPr>
        <w:t xml:space="preserve"> disjunctively</w:t>
      </w:r>
      <w:r w:rsidR="00AA0F1D">
        <w:rPr>
          <w:lang w:val="en-AU"/>
        </w:rPr>
        <w:t xml:space="preserve">- given the use of </w:t>
      </w:r>
      <w:r w:rsidR="000C6C37">
        <w:rPr>
          <w:lang w:val="en-AU"/>
        </w:rPr>
        <w:t xml:space="preserve">the word </w:t>
      </w:r>
      <w:r w:rsidR="00AA0F1D">
        <w:rPr>
          <w:lang w:val="en-AU"/>
        </w:rPr>
        <w:t xml:space="preserve">“or” between </w:t>
      </w:r>
      <w:r w:rsidR="007A71B0">
        <w:rPr>
          <w:lang w:val="en-AU"/>
        </w:rPr>
        <w:t>“</w:t>
      </w:r>
      <w:r w:rsidR="00AA0F1D">
        <w:rPr>
          <w:lang w:val="en-AU"/>
        </w:rPr>
        <w:t>care</w:t>
      </w:r>
      <w:r w:rsidR="007A71B0">
        <w:rPr>
          <w:lang w:val="en-AU"/>
        </w:rPr>
        <w:t>”</w:t>
      </w:r>
      <w:r w:rsidR="00AA0F1D">
        <w:rPr>
          <w:lang w:val="en-AU"/>
        </w:rPr>
        <w:t xml:space="preserve"> and </w:t>
      </w:r>
      <w:r w:rsidR="007A71B0">
        <w:rPr>
          <w:lang w:val="en-AU"/>
        </w:rPr>
        <w:t>“</w:t>
      </w:r>
      <w:r w:rsidR="00AA0F1D">
        <w:rPr>
          <w:lang w:val="en-AU"/>
        </w:rPr>
        <w:t>diligence</w:t>
      </w:r>
      <w:r w:rsidR="007A71B0">
        <w:rPr>
          <w:lang w:val="en-AU"/>
        </w:rPr>
        <w:t>”</w:t>
      </w:r>
      <w:r w:rsidR="00D3287C">
        <w:rPr>
          <w:lang w:val="en-AU"/>
        </w:rPr>
        <w:t xml:space="preserve">. </w:t>
      </w:r>
      <w:r w:rsidR="009B5D46">
        <w:rPr>
          <w:lang w:val="en-AU"/>
        </w:rPr>
        <w:t xml:space="preserve">“Diligence” </w:t>
      </w:r>
      <w:r w:rsidR="007B3733">
        <w:rPr>
          <w:lang w:val="en-AU"/>
        </w:rPr>
        <w:t>is defined in the Oxford English Dictionary as “careful and persistent work or effort”</w:t>
      </w:r>
      <w:r w:rsidR="007B3733">
        <w:rPr>
          <w:rStyle w:val="FootnoteReference"/>
          <w:lang w:val="en-AU"/>
        </w:rPr>
        <w:footnoteReference w:id="78"/>
      </w:r>
      <w:r w:rsidR="007B3733">
        <w:rPr>
          <w:lang w:val="en-AU"/>
        </w:rPr>
        <w:t xml:space="preserve">. </w:t>
      </w:r>
      <w:r w:rsidR="00FB78FB">
        <w:rPr>
          <w:lang w:val="en-AU"/>
        </w:rPr>
        <w:t>“</w:t>
      </w:r>
      <w:r w:rsidR="007B3733">
        <w:rPr>
          <w:lang w:val="en-AU"/>
        </w:rPr>
        <w:t>Skill</w:t>
      </w:r>
      <w:r w:rsidR="00FB78FB">
        <w:rPr>
          <w:lang w:val="en-AU"/>
        </w:rPr>
        <w:t xml:space="preserve">” is defined in the same dictionary as "the </w:t>
      </w:r>
      <w:r w:rsidR="004074CC">
        <w:rPr>
          <w:lang w:val="en-AU"/>
        </w:rPr>
        <w:t>ability</w:t>
      </w:r>
      <w:r w:rsidR="00CF78B0">
        <w:rPr>
          <w:lang w:val="en-AU"/>
        </w:rPr>
        <w:t xml:space="preserve"> </w:t>
      </w:r>
      <w:r w:rsidR="00FB78FB">
        <w:rPr>
          <w:lang w:val="en-AU"/>
        </w:rPr>
        <w:t>to do something well; expertise”. The most relevant definition of “care”</w:t>
      </w:r>
      <w:r w:rsidR="00650511">
        <w:rPr>
          <w:rStyle w:val="FootnoteReference"/>
          <w:lang w:val="en-AU"/>
        </w:rPr>
        <w:footnoteReference w:id="79"/>
      </w:r>
      <w:r w:rsidR="00FB78FB">
        <w:rPr>
          <w:lang w:val="en-AU"/>
        </w:rPr>
        <w:t xml:space="preserve"> is “serious attention or consideration applied to doing something correctly or to avoid</w:t>
      </w:r>
      <w:r w:rsidR="00CF78B0">
        <w:rPr>
          <w:lang w:val="en-AU"/>
        </w:rPr>
        <w:t xml:space="preserve"> damage </w:t>
      </w:r>
      <w:r w:rsidR="00FB78FB">
        <w:rPr>
          <w:lang w:val="en-AU"/>
        </w:rPr>
        <w:t>or risk</w:t>
      </w:r>
      <w:r w:rsidR="00A15D51">
        <w:rPr>
          <w:lang w:val="en-AU"/>
        </w:rPr>
        <w:t>”</w:t>
      </w:r>
      <w:r w:rsidR="00FB78FB">
        <w:rPr>
          <w:lang w:val="en-AU"/>
        </w:rPr>
        <w:t xml:space="preserve">. </w:t>
      </w:r>
      <w:r w:rsidR="00AA0F1D">
        <w:rPr>
          <w:lang w:val="en-AU"/>
        </w:rPr>
        <w:t xml:space="preserve">The word “due” </w:t>
      </w:r>
      <w:r w:rsidR="00367C8F">
        <w:rPr>
          <w:lang w:val="en-AU"/>
        </w:rPr>
        <w:t xml:space="preserve">immediately </w:t>
      </w:r>
      <w:r w:rsidR="00CF78B0">
        <w:rPr>
          <w:lang w:val="en-AU"/>
        </w:rPr>
        <w:t>precedes “skill</w:t>
      </w:r>
      <w:r w:rsidR="00140193">
        <w:rPr>
          <w:lang w:val="en-AU"/>
        </w:rPr>
        <w:t>,</w:t>
      </w:r>
      <w:r w:rsidR="00CF78B0">
        <w:rPr>
          <w:lang w:val="en-AU"/>
        </w:rPr>
        <w:t xml:space="preserve"> </w:t>
      </w:r>
      <w:r w:rsidR="00AA0F1D">
        <w:rPr>
          <w:lang w:val="en-AU"/>
        </w:rPr>
        <w:t>care or diligence</w:t>
      </w:r>
      <w:r w:rsidR="00140193">
        <w:rPr>
          <w:lang w:val="en-AU"/>
        </w:rPr>
        <w:t xml:space="preserve">” and applies to each of the three key words </w:t>
      </w:r>
      <w:r w:rsidR="00367C8F">
        <w:rPr>
          <w:lang w:val="en-AU"/>
        </w:rPr>
        <w:t>that</w:t>
      </w:r>
      <w:r w:rsidR="00140193">
        <w:rPr>
          <w:lang w:val="en-AU"/>
        </w:rPr>
        <w:t xml:space="preserve"> immediately</w:t>
      </w:r>
      <w:r w:rsidR="00367C8F">
        <w:rPr>
          <w:lang w:val="en-AU"/>
        </w:rPr>
        <w:t xml:space="preserve"> follow it. </w:t>
      </w:r>
      <w:r w:rsidR="00140193">
        <w:rPr>
          <w:lang w:val="en-AU"/>
        </w:rPr>
        <w:t xml:space="preserve"> </w:t>
      </w:r>
      <w:r w:rsidR="00F45E0D">
        <w:rPr>
          <w:lang w:val="en-AU"/>
        </w:rPr>
        <w:t>“Due”</w:t>
      </w:r>
      <w:r w:rsidR="00140193">
        <w:rPr>
          <w:lang w:val="en-AU"/>
        </w:rPr>
        <w:t xml:space="preserve"> is not defined in the Act</w:t>
      </w:r>
      <w:r w:rsidR="006B7C0D">
        <w:rPr>
          <w:lang w:val="en-AU"/>
        </w:rPr>
        <w:t xml:space="preserve"> and is used traditionally as part of the </w:t>
      </w:r>
      <w:r w:rsidR="00BD5D28">
        <w:rPr>
          <w:lang w:val="en-AU"/>
        </w:rPr>
        <w:t xml:space="preserve">key </w:t>
      </w:r>
      <w:r w:rsidR="006B7C0D">
        <w:rPr>
          <w:lang w:val="en-AU"/>
        </w:rPr>
        <w:t>phraseology in regard to standard of care</w:t>
      </w:r>
      <w:r w:rsidR="00AA0F1D">
        <w:rPr>
          <w:lang w:val="en-AU"/>
        </w:rPr>
        <w:t xml:space="preserve">. </w:t>
      </w:r>
      <w:r w:rsidR="006B7C0D">
        <w:rPr>
          <w:lang w:val="en-AU"/>
        </w:rPr>
        <w:t xml:space="preserve">It </w:t>
      </w:r>
      <w:r w:rsidR="00666216">
        <w:rPr>
          <w:lang w:val="en-AU"/>
        </w:rPr>
        <w:t>is equivalent</w:t>
      </w:r>
      <w:r w:rsidR="0006120F">
        <w:rPr>
          <w:lang w:val="en-AU"/>
        </w:rPr>
        <w:t xml:space="preserve"> to the word “reasonable”</w:t>
      </w:r>
      <w:r w:rsidR="00BD5D28">
        <w:rPr>
          <w:lang w:val="en-AU"/>
        </w:rPr>
        <w:t xml:space="preserve"> given its contextual deployment in combination with skill, care and diligence.</w:t>
      </w:r>
      <w:r w:rsidR="0006120F">
        <w:rPr>
          <w:lang w:val="en-AU"/>
        </w:rPr>
        <w:t xml:space="preserve"> Two previous references to para. 15.170 of the text extract from Halsburys are illuminative: “an agent for reward it required to exercise the degree of care, skill and diligence which is reasonably necessary for the due performance of the undertaking” and “the agent is not responsible for the failure to go beyond his reasonable duty”. Not to incorporate the word </w:t>
      </w:r>
      <w:r w:rsidR="001C341A">
        <w:rPr>
          <w:lang w:val="en-AU"/>
        </w:rPr>
        <w:t>“</w:t>
      </w:r>
      <w:r w:rsidR="0006120F">
        <w:rPr>
          <w:lang w:val="en-AU"/>
        </w:rPr>
        <w:t>reasonable</w:t>
      </w:r>
      <w:r w:rsidR="001C341A">
        <w:rPr>
          <w:lang w:val="en-AU"/>
        </w:rPr>
        <w:t>”</w:t>
      </w:r>
      <w:r w:rsidR="0006120F">
        <w:rPr>
          <w:lang w:val="en-AU"/>
        </w:rPr>
        <w:t xml:space="preserve"> in terms of the breach would not be consistent with the common law on the topic and would also impose an unfair burden on any agent. Hence it is appropriate for “due” to, contextually, be </w:t>
      </w:r>
      <w:r w:rsidR="001C341A">
        <w:rPr>
          <w:lang w:val="en-AU"/>
        </w:rPr>
        <w:t>afforded the same meaning</w:t>
      </w:r>
      <w:r w:rsidR="0006120F">
        <w:rPr>
          <w:lang w:val="en-AU"/>
        </w:rPr>
        <w:t xml:space="preserve"> as “reasonable”.</w:t>
      </w:r>
    </w:p>
    <w:p w14:paraId="0DA00466" w14:textId="1661FE5A" w:rsidR="008D6699" w:rsidRDefault="007B3733" w:rsidP="00362C1D">
      <w:pPr>
        <w:pStyle w:val="ListParagraph"/>
        <w:numPr>
          <w:ilvl w:val="0"/>
          <w:numId w:val="1"/>
        </w:numPr>
        <w:jc w:val="both"/>
        <w:rPr>
          <w:lang w:val="en-AU"/>
        </w:rPr>
      </w:pPr>
      <w:r w:rsidRPr="00BF3378">
        <w:rPr>
          <w:lang w:val="en-AU"/>
        </w:rPr>
        <w:lastRenderedPageBreak/>
        <w:t>The Boar</w:t>
      </w:r>
      <w:r w:rsidR="002C024A">
        <w:rPr>
          <w:lang w:val="en-AU"/>
        </w:rPr>
        <w:t>d finds, firstly,</w:t>
      </w:r>
      <w:r w:rsidRPr="00BF3378">
        <w:rPr>
          <w:lang w:val="en-AU"/>
        </w:rPr>
        <w:t xml:space="preserve"> that a Manager</w:t>
      </w:r>
      <w:r w:rsidR="00BF1609">
        <w:rPr>
          <w:lang w:val="en-AU"/>
        </w:rPr>
        <w:t xml:space="preserve"> </w:t>
      </w:r>
      <w:r w:rsidR="001C341A">
        <w:rPr>
          <w:lang w:val="en-AU"/>
        </w:rPr>
        <w:t>exercisin</w:t>
      </w:r>
      <w:r w:rsidR="00BF1609">
        <w:rPr>
          <w:lang w:val="en-AU"/>
        </w:rPr>
        <w:t>g due skill, care and diligence</w:t>
      </w:r>
      <w:r w:rsidRPr="00BF3378">
        <w:rPr>
          <w:lang w:val="en-AU"/>
        </w:rPr>
        <w:t xml:space="preserve"> in the position of Ms Bruton would have</w:t>
      </w:r>
      <w:r w:rsidR="002C024A">
        <w:rPr>
          <w:lang w:val="en-AU"/>
        </w:rPr>
        <w:t xml:space="preserve"> </w:t>
      </w:r>
      <w:r w:rsidR="00BD2E52" w:rsidRPr="00BF3378">
        <w:rPr>
          <w:lang w:val="en-AU"/>
        </w:rPr>
        <w:t xml:space="preserve">noted </w:t>
      </w:r>
      <w:r w:rsidR="001C341A">
        <w:rPr>
          <w:lang w:val="en-AU"/>
        </w:rPr>
        <w:t>the initial email response from Ms</w:t>
      </w:r>
      <w:r w:rsidR="00306F5B">
        <w:rPr>
          <w:lang w:val="en-AU"/>
        </w:rPr>
        <w:t> </w:t>
      </w:r>
      <w:r w:rsidR="001C341A">
        <w:rPr>
          <w:lang w:val="en-AU"/>
        </w:rPr>
        <w:t>Roberts, which favoured Whittles as providing the brokerage service.</w:t>
      </w:r>
      <w:r w:rsidR="001C341A">
        <w:rPr>
          <w:rStyle w:val="FootnoteReference"/>
          <w:lang w:val="en-AU"/>
        </w:rPr>
        <w:footnoteReference w:id="80"/>
      </w:r>
      <w:r w:rsidR="001C341A">
        <w:rPr>
          <w:lang w:val="en-AU"/>
        </w:rPr>
        <w:t xml:space="preserve"> Secondly, the Board finds that Ms Bruton ought to have then noted, after her second email (on 9 March in which she left the matter open (“you are free to choose”)</w:t>
      </w:r>
      <w:r w:rsidR="0060371C">
        <w:rPr>
          <w:lang w:val="en-AU"/>
        </w:rPr>
        <w:t>)</w:t>
      </w:r>
      <w:r w:rsidR="001C341A">
        <w:rPr>
          <w:lang w:val="en-AU"/>
        </w:rPr>
        <w:t xml:space="preserve"> that there was then </w:t>
      </w:r>
      <w:r w:rsidR="00BD2E52" w:rsidRPr="00BF3378">
        <w:rPr>
          <w:lang w:val="en-AU"/>
        </w:rPr>
        <w:t>the absence of any formal response from the Committee</w:t>
      </w:r>
      <w:r w:rsidR="006B7C0D" w:rsidRPr="00BF3378">
        <w:rPr>
          <w:lang w:val="en-AU"/>
        </w:rPr>
        <w:t xml:space="preserve"> </w:t>
      </w:r>
      <w:r w:rsidR="005F6769" w:rsidRPr="00BF3378">
        <w:rPr>
          <w:lang w:val="en-AU"/>
        </w:rPr>
        <w:t>after a reasonable amount of time</w:t>
      </w:r>
      <w:r w:rsidR="007F6466" w:rsidRPr="00BF3378">
        <w:rPr>
          <w:lang w:val="en-AU"/>
        </w:rPr>
        <w:t xml:space="preserve"> had passed</w:t>
      </w:r>
      <w:r w:rsidR="00BD2E52" w:rsidRPr="00BF3378">
        <w:rPr>
          <w:lang w:val="en-AU"/>
        </w:rPr>
        <w:t xml:space="preserve">. </w:t>
      </w:r>
      <w:r w:rsidR="001C341A">
        <w:rPr>
          <w:lang w:val="en-AU"/>
        </w:rPr>
        <w:t>Thir</w:t>
      </w:r>
      <w:r w:rsidR="002C024A">
        <w:rPr>
          <w:lang w:val="en-AU"/>
        </w:rPr>
        <w:t>dly, g</w:t>
      </w:r>
      <w:r w:rsidR="006B7C0D" w:rsidRPr="00BF3378">
        <w:rPr>
          <w:lang w:val="en-AU"/>
        </w:rPr>
        <w:t>iven that Ms</w:t>
      </w:r>
      <w:r w:rsidR="00BF1609">
        <w:rPr>
          <w:lang w:val="en-AU"/>
        </w:rPr>
        <w:t> </w:t>
      </w:r>
      <w:r w:rsidR="006B7C0D" w:rsidRPr="00BF3378">
        <w:rPr>
          <w:lang w:val="en-AU"/>
        </w:rPr>
        <w:t>Bruton said</w:t>
      </w:r>
      <w:r w:rsidR="00BD35F5" w:rsidRPr="00BF3378">
        <w:rPr>
          <w:lang w:val="en-AU"/>
        </w:rPr>
        <w:t xml:space="preserve"> to Ms Roberts that a </w:t>
      </w:r>
      <w:r w:rsidR="006B7C0D" w:rsidRPr="00BF3378">
        <w:rPr>
          <w:lang w:val="en-AU"/>
        </w:rPr>
        <w:t xml:space="preserve">formal </w:t>
      </w:r>
      <w:r w:rsidR="00BD35F5" w:rsidRPr="00BF3378">
        <w:rPr>
          <w:lang w:val="en-AU"/>
        </w:rPr>
        <w:t>response was required</w:t>
      </w:r>
      <w:r w:rsidR="00D3287C" w:rsidRPr="00BF3378">
        <w:rPr>
          <w:lang w:val="en-AU"/>
        </w:rPr>
        <w:t xml:space="preserve"> </w:t>
      </w:r>
      <w:r w:rsidR="00BD35F5" w:rsidRPr="00BF3378">
        <w:rPr>
          <w:lang w:val="en-AU"/>
        </w:rPr>
        <w:t xml:space="preserve">and specified </w:t>
      </w:r>
      <w:r w:rsidR="001C341A">
        <w:rPr>
          <w:lang w:val="en-AU"/>
        </w:rPr>
        <w:t xml:space="preserve">(in her first email on 9 March) </w:t>
      </w:r>
      <w:r w:rsidR="00BD35F5" w:rsidRPr="00BF3378">
        <w:rPr>
          <w:lang w:val="en-AU"/>
        </w:rPr>
        <w:t>a</w:t>
      </w:r>
      <w:r w:rsidR="00D3287C" w:rsidRPr="00BF3378">
        <w:rPr>
          <w:lang w:val="en-AU"/>
        </w:rPr>
        <w:t>n end date</w:t>
      </w:r>
      <w:r w:rsidR="00CF78B0">
        <w:rPr>
          <w:lang w:val="en-AU"/>
        </w:rPr>
        <w:t xml:space="preserve">, </w:t>
      </w:r>
      <w:r w:rsidR="00D3287C" w:rsidRPr="00BF3378">
        <w:rPr>
          <w:lang w:val="en-AU"/>
        </w:rPr>
        <w:t>namely t</w:t>
      </w:r>
      <w:r w:rsidR="00F5157A" w:rsidRPr="00BF3378">
        <w:rPr>
          <w:lang w:val="en-AU"/>
        </w:rPr>
        <w:t xml:space="preserve">he </w:t>
      </w:r>
      <w:r w:rsidR="00BD35F5" w:rsidRPr="00BF3378">
        <w:rPr>
          <w:lang w:val="en-AU"/>
        </w:rPr>
        <w:t>end of April</w:t>
      </w:r>
      <w:r w:rsidR="00E61FE5">
        <w:rPr>
          <w:lang w:val="en-AU"/>
        </w:rPr>
        <w:t xml:space="preserve">, </w:t>
      </w:r>
      <w:r w:rsidR="00BD35F5" w:rsidRPr="00BF3378">
        <w:rPr>
          <w:lang w:val="en-AU"/>
        </w:rPr>
        <w:t xml:space="preserve">for a response, </w:t>
      </w:r>
      <w:r w:rsidR="002C024A">
        <w:rPr>
          <w:lang w:val="en-AU"/>
        </w:rPr>
        <w:t xml:space="preserve">the Board finds that </w:t>
      </w:r>
      <w:r w:rsidR="00BD35F5" w:rsidRPr="00BF3378">
        <w:rPr>
          <w:lang w:val="en-AU"/>
        </w:rPr>
        <w:t>a Manager</w:t>
      </w:r>
      <w:r w:rsidR="001C341A">
        <w:rPr>
          <w:lang w:val="en-AU"/>
        </w:rPr>
        <w:t xml:space="preserve"> exercising due skill, care and diligence</w:t>
      </w:r>
      <w:r w:rsidR="00BD35F5" w:rsidRPr="00BF3378">
        <w:rPr>
          <w:lang w:val="en-AU"/>
        </w:rPr>
        <w:t xml:space="preserve"> </w:t>
      </w:r>
      <w:r w:rsidR="009C695D" w:rsidRPr="00BF3378">
        <w:rPr>
          <w:lang w:val="en-AU"/>
        </w:rPr>
        <w:t>would have se</w:t>
      </w:r>
      <w:r w:rsidR="00283170" w:rsidRPr="00BF3378">
        <w:rPr>
          <w:lang w:val="en-AU"/>
        </w:rPr>
        <w:t>n</w:t>
      </w:r>
      <w:r w:rsidR="009C695D" w:rsidRPr="00BF3378">
        <w:rPr>
          <w:lang w:val="en-AU"/>
        </w:rPr>
        <w:t xml:space="preserve">t follow up correspondence to the </w:t>
      </w:r>
      <w:r w:rsidR="002C024A">
        <w:rPr>
          <w:lang w:val="en-AU"/>
        </w:rPr>
        <w:t>b</w:t>
      </w:r>
      <w:r w:rsidR="009C695D" w:rsidRPr="00BF3378">
        <w:rPr>
          <w:lang w:val="en-AU"/>
        </w:rPr>
        <w:t xml:space="preserve">ody </w:t>
      </w:r>
      <w:r w:rsidR="002C024A">
        <w:rPr>
          <w:lang w:val="en-AU"/>
        </w:rPr>
        <w:t>c</w:t>
      </w:r>
      <w:r w:rsidR="009C695D" w:rsidRPr="00BF3378">
        <w:rPr>
          <w:lang w:val="en-AU"/>
        </w:rPr>
        <w:t>orporate in a timely manner</w:t>
      </w:r>
      <w:r w:rsidR="005C6389" w:rsidRPr="00BF3378">
        <w:rPr>
          <w:lang w:val="en-AU"/>
        </w:rPr>
        <w:t xml:space="preserve"> requesting </w:t>
      </w:r>
      <w:r w:rsidR="00D3287C" w:rsidRPr="00BF3378">
        <w:rPr>
          <w:lang w:val="en-AU"/>
        </w:rPr>
        <w:t>a formal response</w:t>
      </w:r>
      <w:r w:rsidR="007F6466" w:rsidRPr="00BF3378">
        <w:rPr>
          <w:lang w:val="en-AU"/>
        </w:rPr>
        <w:t xml:space="preserve"> as to</w:t>
      </w:r>
      <w:r w:rsidR="005C6389" w:rsidRPr="00BF3378">
        <w:rPr>
          <w:lang w:val="en-AU"/>
        </w:rPr>
        <w:t xml:space="preserve"> its position regarding insurance renewal</w:t>
      </w:r>
      <w:r w:rsidR="009C695D" w:rsidRPr="00BF3378">
        <w:rPr>
          <w:lang w:val="en-AU"/>
        </w:rPr>
        <w:t xml:space="preserve">- </w:t>
      </w:r>
      <w:r w:rsidR="002C024A">
        <w:rPr>
          <w:lang w:val="en-AU"/>
        </w:rPr>
        <w:t xml:space="preserve">and that this ought to have been attended to </w:t>
      </w:r>
      <w:r w:rsidR="009C695D" w:rsidRPr="00BF3378">
        <w:rPr>
          <w:lang w:val="en-AU"/>
        </w:rPr>
        <w:t>at least prior to the expiration of the policy on 21 May.</w:t>
      </w:r>
      <w:r w:rsidR="00283170" w:rsidRPr="00BF3378">
        <w:rPr>
          <w:lang w:val="en-AU"/>
        </w:rPr>
        <w:t xml:space="preserve"> </w:t>
      </w:r>
      <w:r w:rsidR="001C341A">
        <w:rPr>
          <w:lang w:val="en-AU"/>
        </w:rPr>
        <w:t>Fourth</w:t>
      </w:r>
      <w:r w:rsidR="002C024A">
        <w:rPr>
          <w:lang w:val="en-AU"/>
        </w:rPr>
        <w:t xml:space="preserve">ly, the Board finds that </w:t>
      </w:r>
      <w:r w:rsidR="00E52DF3">
        <w:rPr>
          <w:lang w:val="en-AU"/>
        </w:rPr>
        <w:t xml:space="preserve">Whittles is a specialist in the body corporate </w:t>
      </w:r>
      <w:r w:rsidR="00F933EC">
        <w:rPr>
          <w:lang w:val="en-AU"/>
        </w:rPr>
        <w:t>management business. Apposite to thi</w:t>
      </w:r>
      <w:r w:rsidR="00973960">
        <w:rPr>
          <w:lang w:val="en-AU"/>
        </w:rPr>
        <w:t>s finding</w:t>
      </w:r>
      <w:r w:rsidR="00843658">
        <w:rPr>
          <w:lang w:val="en-AU"/>
        </w:rPr>
        <w:t xml:space="preserve"> is </w:t>
      </w:r>
      <w:r w:rsidR="00F933EC">
        <w:rPr>
          <w:lang w:val="en-AU"/>
        </w:rPr>
        <w:t xml:space="preserve">the quotation (previously referred to) from Professor Dal </w:t>
      </w:r>
      <w:r w:rsidR="0060371C">
        <w:rPr>
          <w:lang w:val="en-AU"/>
        </w:rPr>
        <w:t>Pont</w:t>
      </w:r>
      <w:r w:rsidR="00F933EC">
        <w:rPr>
          <w:lang w:val="en-AU"/>
        </w:rPr>
        <w:t xml:space="preserve"> </w:t>
      </w:r>
      <w:r w:rsidR="00D9478F">
        <w:rPr>
          <w:lang w:val="en-AU"/>
        </w:rPr>
        <w:t>–</w:t>
      </w:r>
      <w:r w:rsidR="00F933EC">
        <w:rPr>
          <w:lang w:val="en-AU"/>
        </w:rPr>
        <w:t xml:space="preserve"> </w:t>
      </w:r>
      <w:r w:rsidR="00D9478F">
        <w:rPr>
          <w:lang w:val="en-AU"/>
        </w:rPr>
        <w:t xml:space="preserve">that </w:t>
      </w:r>
      <w:r w:rsidR="002C024A">
        <w:rPr>
          <w:lang w:val="en-AU"/>
        </w:rPr>
        <w:t>a</w:t>
      </w:r>
      <w:r w:rsidR="00F933EC">
        <w:rPr>
          <w:lang w:val="en-AU"/>
        </w:rPr>
        <w:t xml:space="preserve"> professional agent who holds himself </w:t>
      </w:r>
      <w:r w:rsidR="00B81682">
        <w:rPr>
          <w:lang w:val="en-AU"/>
        </w:rPr>
        <w:t xml:space="preserve">(or herself) </w:t>
      </w:r>
      <w:r w:rsidR="00F933EC">
        <w:rPr>
          <w:lang w:val="en-AU"/>
        </w:rPr>
        <w:t xml:space="preserve">out as possessing special expertise in a particular field is likely to be subject to a higher standard of care. </w:t>
      </w:r>
      <w:r w:rsidR="002C024A">
        <w:rPr>
          <w:lang w:val="en-AU"/>
        </w:rPr>
        <w:t>F</w:t>
      </w:r>
      <w:r w:rsidR="001C341A">
        <w:rPr>
          <w:lang w:val="en-AU"/>
        </w:rPr>
        <w:t>if</w:t>
      </w:r>
      <w:r w:rsidR="002C024A">
        <w:rPr>
          <w:lang w:val="en-AU"/>
        </w:rPr>
        <w:t>thly</w:t>
      </w:r>
      <w:r w:rsidR="00B81682">
        <w:rPr>
          <w:lang w:val="en-AU"/>
        </w:rPr>
        <w:t>,</w:t>
      </w:r>
      <w:r w:rsidR="002C024A">
        <w:rPr>
          <w:lang w:val="en-AU"/>
        </w:rPr>
        <w:t xml:space="preserve"> t</w:t>
      </w:r>
      <w:r w:rsidR="00F933EC">
        <w:rPr>
          <w:lang w:val="en-AU"/>
        </w:rPr>
        <w:t xml:space="preserve">he </w:t>
      </w:r>
      <w:r w:rsidR="00843658">
        <w:rPr>
          <w:lang w:val="en-AU"/>
        </w:rPr>
        <w:t xml:space="preserve">Board makes a finding of fact that the </w:t>
      </w:r>
      <w:r w:rsidR="00F933EC">
        <w:rPr>
          <w:lang w:val="en-AU"/>
        </w:rPr>
        <w:t xml:space="preserve">problem </w:t>
      </w:r>
      <w:r w:rsidR="002C024A">
        <w:rPr>
          <w:lang w:val="en-AU"/>
        </w:rPr>
        <w:t xml:space="preserve">at hand </w:t>
      </w:r>
      <w:r w:rsidR="00F933EC">
        <w:rPr>
          <w:lang w:val="en-AU"/>
        </w:rPr>
        <w:t xml:space="preserve">was a rudimentary </w:t>
      </w:r>
      <w:r w:rsidR="00D9478F">
        <w:rPr>
          <w:lang w:val="en-AU"/>
        </w:rPr>
        <w:t xml:space="preserve">one </w:t>
      </w:r>
      <w:r w:rsidR="002C024A">
        <w:rPr>
          <w:lang w:val="en-AU"/>
        </w:rPr>
        <w:t xml:space="preserve">that ought to have been a </w:t>
      </w:r>
      <w:r w:rsidR="004410D3">
        <w:rPr>
          <w:lang w:val="en-AU"/>
        </w:rPr>
        <w:t>bread-and-butter</w:t>
      </w:r>
      <w:r w:rsidR="00F933EC">
        <w:rPr>
          <w:lang w:val="en-AU"/>
        </w:rPr>
        <w:t xml:space="preserve"> part of Whittle’s business</w:t>
      </w:r>
      <w:r w:rsidR="002C024A">
        <w:rPr>
          <w:lang w:val="en-AU"/>
        </w:rPr>
        <w:t xml:space="preserve"> as a specialist body corporate manager</w:t>
      </w:r>
      <w:r w:rsidR="00F933EC">
        <w:rPr>
          <w:lang w:val="en-AU"/>
        </w:rPr>
        <w:t xml:space="preserve">. </w:t>
      </w:r>
      <w:r w:rsidR="002E6E3A">
        <w:rPr>
          <w:lang w:val="en-AU"/>
        </w:rPr>
        <w:t>Expert evidenc</w:t>
      </w:r>
      <w:r w:rsidR="002C024A">
        <w:rPr>
          <w:lang w:val="en-AU"/>
        </w:rPr>
        <w:t>e</w:t>
      </w:r>
      <w:r w:rsidR="002E6E3A">
        <w:rPr>
          <w:lang w:val="en-AU"/>
        </w:rPr>
        <w:t xml:space="preserve"> is therefore unnecessary.</w:t>
      </w:r>
      <w:r w:rsidR="00D9478F">
        <w:rPr>
          <w:lang w:val="en-AU"/>
        </w:rPr>
        <w:t xml:space="preserve"> </w:t>
      </w:r>
      <w:r w:rsidR="001C341A">
        <w:rPr>
          <w:lang w:val="en-AU"/>
        </w:rPr>
        <w:t>Sixt</w:t>
      </w:r>
      <w:r w:rsidR="002C024A">
        <w:rPr>
          <w:lang w:val="en-AU"/>
        </w:rPr>
        <w:t>hly</w:t>
      </w:r>
      <w:r w:rsidR="004410D3">
        <w:rPr>
          <w:lang w:val="en-AU"/>
        </w:rPr>
        <w:t>,</w:t>
      </w:r>
      <w:r w:rsidR="002C024A">
        <w:rPr>
          <w:lang w:val="en-AU"/>
        </w:rPr>
        <w:t xml:space="preserve"> t</w:t>
      </w:r>
      <w:r w:rsidR="00F933EC">
        <w:rPr>
          <w:lang w:val="en-AU"/>
        </w:rPr>
        <w:t>he</w:t>
      </w:r>
      <w:r w:rsidR="002C024A">
        <w:rPr>
          <w:lang w:val="en-AU"/>
        </w:rPr>
        <w:t xml:space="preserve"> </w:t>
      </w:r>
      <w:r w:rsidR="00D9478F">
        <w:rPr>
          <w:lang w:val="en-AU"/>
        </w:rPr>
        <w:t xml:space="preserve">Board finds that the </w:t>
      </w:r>
      <w:r w:rsidR="002C024A">
        <w:rPr>
          <w:lang w:val="en-AU"/>
        </w:rPr>
        <w:t>importance of</w:t>
      </w:r>
      <w:r w:rsidR="002E6E3A">
        <w:rPr>
          <w:lang w:val="en-AU"/>
        </w:rPr>
        <w:t xml:space="preserve"> Whittles </w:t>
      </w:r>
      <w:r w:rsidR="00F933EC">
        <w:rPr>
          <w:lang w:val="en-AU"/>
        </w:rPr>
        <w:t>t</w:t>
      </w:r>
      <w:r w:rsidR="002C024A">
        <w:rPr>
          <w:lang w:val="en-AU"/>
        </w:rPr>
        <w:t xml:space="preserve">aking </w:t>
      </w:r>
      <w:r w:rsidR="00F933EC">
        <w:rPr>
          <w:lang w:val="en-AU"/>
        </w:rPr>
        <w:t>th</w:t>
      </w:r>
      <w:r w:rsidR="002E6E3A">
        <w:rPr>
          <w:lang w:val="en-AU"/>
        </w:rPr>
        <w:t>e</w:t>
      </w:r>
      <w:r w:rsidR="00F933EC">
        <w:rPr>
          <w:lang w:val="en-AU"/>
        </w:rPr>
        <w:t xml:space="preserve"> additional step of follow up correspondence was</w:t>
      </w:r>
      <w:r w:rsidR="002E6E3A">
        <w:rPr>
          <w:lang w:val="en-AU"/>
        </w:rPr>
        <w:t>,</w:t>
      </w:r>
      <w:r w:rsidR="00F933EC">
        <w:rPr>
          <w:lang w:val="en-AU"/>
        </w:rPr>
        <w:t xml:space="preserve"> to use the language employed above by Professor Dal </w:t>
      </w:r>
      <w:r w:rsidR="004410D3">
        <w:rPr>
          <w:lang w:val="en-AU"/>
        </w:rPr>
        <w:t>Pont</w:t>
      </w:r>
      <w:r w:rsidR="002E6E3A">
        <w:rPr>
          <w:lang w:val="en-AU"/>
        </w:rPr>
        <w:t>,</w:t>
      </w:r>
      <w:r w:rsidR="00F933EC">
        <w:rPr>
          <w:lang w:val="en-AU"/>
        </w:rPr>
        <w:t xml:space="preserve"> “obviously necessary and prudent</w:t>
      </w:r>
      <w:r w:rsidR="00843658">
        <w:rPr>
          <w:lang w:val="en-AU"/>
        </w:rPr>
        <w:t xml:space="preserve">” given, in particular, the potentially devastating consequences </w:t>
      </w:r>
      <w:r w:rsidR="00022C2A">
        <w:rPr>
          <w:lang w:val="en-AU"/>
        </w:rPr>
        <w:t>to</w:t>
      </w:r>
      <w:r w:rsidR="00843658">
        <w:rPr>
          <w:lang w:val="en-AU"/>
        </w:rPr>
        <w:t xml:space="preserve"> </w:t>
      </w:r>
      <w:r w:rsidR="002C024A">
        <w:rPr>
          <w:lang w:val="en-AU"/>
        </w:rPr>
        <w:t xml:space="preserve">the body corporate </w:t>
      </w:r>
      <w:r w:rsidR="00022C2A">
        <w:rPr>
          <w:lang w:val="en-AU"/>
        </w:rPr>
        <w:t xml:space="preserve">of </w:t>
      </w:r>
      <w:r w:rsidR="002C024A">
        <w:rPr>
          <w:lang w:val="en-AU"/>
        </w:rPr>
        <w:t>being uninsured</w:t>
      </w:r>
      <w:r w:rsidR="00843658">
        <w:rPr>
          <w:lang w:val="en-AU"/>
        </w:rPr>
        <w:t xml:space="preserve">. </w:t>
      </w:r>
      <w:r w:rsidR="00A96FE7">
        <w:rPr>
          <w:lang w:val="en-AU"/>
        </w:rPr>
        <w:t xml:space="preserve"> </w:t>
      </w:r>
      <w:r w:rsidR="00D9478F">
        <w:rPr>
          <w:lang w:val="en-AU"/>
        </w:rPr>
        <w:t>Finally, t</w:t>
      </w:r>
      <w:r w:rsidR="00425251" w:rsidRPr="006B7C0D">
        <w:rPr>
          <w:lang w:val="en-AU"/>
        </w:rPr>
        <w:t>he Board</w:t>
      </w:r>
      <w:r w:rsidR="00353DFC" w:rsidRPr="006B7C0D">
        <w:rPr>
          <w:lang w:val="en-AU"/>
        </w:rPr>
        <w:t>’</w:t>
      </w:r>
      <w:r w:rsidR="00D9478F">
        <w:rPr>
          <w:lang w:val="en-AU"/>
        </w:rPr>
        <w:t xml:space="preserve">s ultimate finding </w:t>
      </w:r>
      <w:r w:rsidR="004410D3">
        <w:rPr>
          <w:lang w:val="en-AU"/>
        </w:rPr>
        <w:t>(consequent upon the previous findings</w:t>
      </w:r>
      <w:r w:rsidR="00E92FF8">
        <w:rPr>
          <w:lang w:val="en-AU"/>
        </w:rPr>
        <w:t xml:space="preserve">) </w:t>
      </w:r>
      <w:r w:rsidR="004410D3">
        <w:rPr>
          <w:lang w:val="en-AU"/>
        </w:rPr>
        <w:t>is</w:t>
      </w:r>
      <w:r w:rsidR="00D9478F">
        <w:rPr>
          <w:lang w:val="en-AU"/>
        </w:rPr>
        <w:t xml:space="preserve"> </w:t>
      </w:r>
      <w:r w:rsidR="00353DFC" w:rsidRPr="006B7C0D">
        <w:rPr>
          <w:lang w:val="en-AU"/>
        </w:rPr>
        <w:t>that Whittles</w:t>
      </w:r>
      <w:r w:rsidR="00F5157A" w:rsidRPr="006B7C0D">
        <w:rPr>
          <w:lang w:val="en-AU"/>
        </w:rPr>
        <w:t xml:space="preserve"> </w:t>
      </w:r>
      <w:r w:rsidR="00BD2E52" w:rsidRPr="006B7C0D">
        <w:rPr>
          <w:lang w:val="en-AU"/>
        </w:rPr>
        <w:t>failed to exercise due skill</w:t>
      </w:r>
      <w:r w:rsidR="004410D3">
        <w:rPr>
          <w:lang w:val="en-AU"/>
        </w:rPr>
        <w:t xml:space="preserve">, </w:t>
      </w:r>
      <w:r w:rsidR="00BD2E52" w:rsidRPr="006B7C0D">
        <w:rPr>
          <w:lang w:val="en-AU"/>
        </w:rPr>
        <w:t>care or diligence in carrying out its dut</w:t>
      </w:r>
      <w:r w:rsidR="00A15D51" w:rsidRPr="006B7C0D">
        <w:rPr>
          <w:lang w:val="en-AU"/>
        </w:rPr>
        <w:t>y</w:t>
      </w:r>
      <w:r w:rsidR="00BD2E52" w:rsidRPr="006B7C0D">
        <w:rPr>
          <w:lang w:val="en-AU"/>
        </w:rPr>
        <w:t xml:space="preserve"> on behalf of the Body Corporate. </w:t>
      </w:r>
      <w:r w:rsidR="00306F5B">
        <w:rPr>
          <w:lang w:val="en-AU"/>
        </w:rPr>
        <w:t xml:space="preserve">It thereby </w:t>
      </w:r>
      <w:r w:rsidR="009F7262" w:rsidRPr="006B7C0D">
        <w:rPr>
          <w:lang w:val="en-AU"/>
        </w:rPr>
        <w:t>breached s</w:t>
      </w:r>
      <w:r w:rsidR="00DF040B">
        <w:rPr>
          <w:lang w:val="en-AU"/>
        </w:rPr>
        <w:t>ection 65</w:t>
      </w:r>
      <w:r w:rsidR="009F7262" w:rsidRPr="006B7C0D">
        <w:rPr>
          <w:lang w:val="en-AU"/>
        </w:rPr>
        <w:t>(1)(d)</w:t>
      </w:r>
      <w:r w:rsidR="00016A78" w:rsidRPr="006B7C0D">
        <w:rPr>
          <w:lang w:val="en-AU"/>
        </w:rPr>
        <w:t>, which constituted a breach of rules of conduct for agents.</w:t>
      </w:r>
    </w:p>
    <w:p w14:paraId="6D959FB7" w14:textId="201D10D1" w:rsidR="008D6699" w:rsidRDefault="008D6699" w:rsidP="00283170">
      <w:pPr>
        <w:pStyle w:val="ListParagraph"/>
        <w:rPr>
          <w:lang w:val="en-AU"/>
        </w:rPr>
      </w:pPr>
    </w:p>
    <w:p w14:paraId="631AD69E" w14:textId="2B633209" w:rsidR="002F4C20" w:rsidRPr="002F4C20" w:rsidRDefault="00BC0BB1" w:rsidP="00C758F1">
      <w:pPr>
        <w:jc w:val="both"/>
        <w:rPr>
          <w:b/>
          <w:lang w:val="en-AU"/>
        </w:rPr>
      </w:pPr>
      <w:r>
        <w:rPr>
          <w:b/>
          <w:lang w:val="en-AU"/>
        </w:rPr>
        <w:t>PART E</w:t>
      </w:r>
      <w:r w:rsidR="002F4C20" w:rsidRPr="002F4C20">
        <w:rPr>
          <w:b/>
          <w:lang w:val="en-AU"/>
        </w:rPr>
        <w:t>: CONCLUSION</w:t>
      </w:r>
      <w:r w:rsidR="00B84FC6">
        <w:rPr>
          <w:b/>
          <w:lang w:val="en-AU"/>
        </w:rPr>
        <w:t>- SANCTION</w:t>
      </w:r>
    </w:p>
    <w:p w14:paraId="17A860E4" w14:textId="77777777" w:rsidR="002F4C20" w:rsidRDefault="002F4C20" w:rsidP="00C758F1">
      <w:pPr>
        <w:jc w:val="both"/>
        <w:rPr>
          <w:lang w:val="en-AU"/>
        </w:rPr>
      </w:pPr>
    </w:p>
    <w:p w14:paraId="7112946C" w14:textId="0E9760EA" w:rsidR="002F4C20" w:rsidRDefault="002F4C20" w:rsidP="00362C1D">
      <w:pPr>
        <w:pStyle w:val="ListParagraph"/>
        <w:numPr>
          <w:ilvl w:val="0"/>
          <w:numId w:val="1"/>
        </w:numPr>
        <w:jc w:val="both"/>
        <w:rPr>
          <w:lang w:val="en-AU"/>
        </w:rPr>
      </w:pPr>
      <w:r>
        <w:rPr>
          <w:lang w:val="en-AU"/>
        </w:rPr>
        <w:t>Under s</w:t>
      </w:r>
      <w:r w:rsidR="00283E7B">
        <w:rPr>
          <w:lang w:val="en-AU"/>
        </w:rPr>
        <w:t>ection</w:t>
      </w:r>
      <w:r>
        <w:rPr>
          <w:lang w:val="en-AU"/>
        </w:rPr>
        <w:t xml:space="preserve"> 67 of the Act the </w:t>
      </w:r>
      <w:r w:rsidR="00365D55">
        <w:rPr>
          <w:lang w:val="en-AU"/>
        </w:rPr>
        <w:t>Board may</w:t>
      </w:r>
      <w:r>
        <w:rPr>
          <w:lang w:val="en-AU"/>
        </w:rPr>
        <w:t xml:space="preserve"> take disciplinary acti</w:t>
      </w:r>
      <w:r w:rsidR="00650C77">
        <w:rPr>
          <w:lang w:val="en-AU"/>
        </w:rPr>
        <w:t>on if, relevantly pursuant to s</w:t>
      </w:r>
      <w:r w:rsidR="00E63F48">
        <w:rPr>
          <w:lang w:val="en-AU"/>
        </w:rPr>
        <w:t xml:space="preserve">ection </w:t>
      </w:r>
      <w:r w:rsidR="00650C77">
        <w:rPr>
          <w:lang w:val="en-AU"/>
        </w:rPr>
        <w:t>67(1)(c), t</w:t>
      </w:r>
      <w:r w:rsidR="00650C77" w:rsidRPr="00650C77">
        <w:rPr>
          <w:lang w:val="en-AU"/>
        </w:rPr>
        <w:t xml:space="preserve">he licensed agent has been guilty of a breach of the rules of conduct for agents. </w:t>
      </w:r>
      <w:r w:rsidR="0009010B">
        <w:rPr>
          <w:lang w:val="en-AU"/>
        </w:rPr>
        <w:t xml:space="preserve">For the reasons </w:t>
      </w:r>
      <w:r w:rsidR="00B84FC6">
        <w:rPr>
          <w:lang w:val="en-AU"/>
        </w:rPr>
        <w:t xml:space="preserve">specified </w:t>
      </w:r>
      <w:r w:rsidR="00650C77">
        <w:rPr>
          <w:lang w:val="en-AU"/>
        </w:rPr>
        <w:t>above</w:t>
      </w:r>
      <w:r w:rsidR="0009010B">
        <w:rPr>
          <w:lang w:val="en-AU"/>
        </w:rPr>
        <w:t xml:space="preserve"> </w:t>
      </w:r>
      <w:r w:rsidR="00650C77">
        <w:rPr>
          <w:lang w:val="en-AU"/>
        </w:rPr>
        <w:t>in relation to Allegation 1</w:t>
      </w:r>
      <w:r w:rsidR="00930F1E">
        <w:rPr>
          <w:lang w:val="en-AU"/>
        </w:rPr>
        <w:t xml:space="preserve"> </w:t>
      </w:r>
      <w:r w:rsidR="0009010B">
        <w:rPr>
          <w:lang w:val="en-AU"/>
        </w:rPr>
        <w:t xml:space="preserve">the </w:t>
      </w:r>
      <w:r w:rsidR="00365D55">
        <w:rPr>
          <w:lang w:val="en-AU"/>
        </w:rPr>
        <w:t>Board</w:t>
      </w:r>
      <w:r w:rsidR="00650C77">
        <w:rPr>
          <w:lang w:val="en-AU"/>
        </w:rPr>
        <w:t xml:space="preserve"> </w:t>
      </w:r>
      <w:r w:rsidR="00365D55">
        <w:rPr>
          <w:lang w:val="en-AU"/>
        </w:rPr>
        <w:t xml:space="preserve">is satisfied that it is authorised to </w:t>
      </w:r>
      <w:r w:rsidR="0009010B">
        <w:rPr>
          <w:lang w:val="en-AU"/>
        </w:rPr>
        <w:t>take disciplinary action due to the finding of a breach of s</w:t>
      </w:r>
      <w:r w:rsidR="00283E7B">
        <w:rPr>
          <w:lang w:val="en-AU"/>
        </w:rPr>
        <w:t>ection</w:t>
      </w:r>
      <w:r w:rsidR="0009010B">
        <w:rPr>
          <w:lang w:val="en-AU"/>
        </w:rPr>
        <w:t xml:space="preserve"> 6</w:t>
      </w:r>
      <w:r w:rsidR="00E7045A">
        <w:rPr>
          <w:lang w:val="en-AU"/>
        </w:rPr>
        <w:t>5</w:t>
      </w:r>
      <w:r w:rsidR="0009010B">
        <w:rPr>
          <w:lang w:val="en-AU"/>
        </w:rPr>
        <w:t>(1)(</w:t>
      </w:r>
      <w:r w:rsidR="00E7045A">
        <w:rPr>
          <w:lang w:val="en-AU"/>
        </w:rPr>
        <w:t>c</w:t>
      </w:r>
      <w:r w:rsidR="0009010B">
        <w:rPr>
          <w:lang w:val="en-AU"/>
        </w:rPr>
        <w:t xml:space="preserve">) </w:t>
      </w:r>
      <w:r w:rsidR="00E7045A">
        <w:rPr>
          <w:lang w:val="en-AU"/>
        </w:rPr>
        <w:t xml:space="preserve">&amp; (d) </w:t>
      </w:r>
      <w:r w:rsidR="0009010B">
        <w:rPr>
          <w:lang w:val="en-AU"/>
        </w:rPr>
        <w:t xml:space="preserve">of the Act. </w:t>
      </w:r>
      <w:r w:rsidR="00930F1E">
        <w:rPr>
          <w:lang w:val="en-AU"/>
        </w:rPr>
        <w:t>For the reasons specified in relation to Allegation 2, the Board is satisfied that it is authorised to take disciplinary action due to the finding of a breach of section 65(1)(d) of the Act.</w:t>
      </w:r>
    </w:p>
    <w:p w14:paraId="5BE3178C" w14:textId="77777777" w:rsidR="00FC7AE2" w:rsidRDefault="00FC7AE2" w:rsidP="00C758F1">
      <w:pPr>
        <w:pStyle w:val="ListParagraph"/>
        <w:ind w:left="1080"/>
        <w:jc w:val="both"/>
        <w:rPr>
          <w:lang w:val="en-AU"/>
        </w:rPr>
      </w:pPr>
    </w:p>
    <w:p w14:paraId="77743061" w14:textId="1FADB23C" w:rsidR="00FE1597" w:rsidRDefault="00365D55" w:rsidP="00E37C32">
      <w:pPr>
        <w:pStyle w:val="ListParagraph"/>
        <w:numPr>
          <w:ilvl w:val="0"/>
          <w:numId w:val="1"/>
        </w:numPr>
        <w:jc w:val="both"/>
        <w:rPr>
          <w:lang w:val="en-AU"/>
        </w:rPr>
      </w:pPr>
      <w:r w:rsidRPr="00B041B4">
        <w:rPr>
          <w:lang w:val="en-AU"/>
        </w:rPr>
        <w:t>Under s</w:t>
      </w:r>
      <w:r w:rsidR="00283E7B" w:rsidRPr="00B041B4">
        <w:rPr>
          <w:lang w:val="en-AU"/>
        </w:rPr>
        <w:t>ection</w:t>
      </w:r>
      <w:r w:rsidRPr="00B041B4">
        <w:rPr>
          <w:lang w:val="en-AU"/>
        </w:rPr>
        <w:t xml:space="preserve"> 69 of the Act, if the Board is</w:t>
      </w:r>
      <w:r w:rsidR="00137699" w:rsidRPr="00B041B4">
        <w:rPr>
          <w:lang w:val="en-AU"/>
        </w:rPr>
        <w:t>,</w:t>
      </w:r>
      <w:r w:rsidR="00650C77" w:rsidRPr="00B041B4">
        <w:rPr>
          <w:lang w:val="en-AU"/>
        </w:rPr>
        <w:t xml:space="preserve"> at the conclusion of the I</w:t>
      </w:r>
      <w:r w:rsidRPr="00B041B4">
        <w:rPr>
          <w:lang w:val="en-AU"/>
        </w:rPr>
        <w:t>nquiry conducted pursuant to section 68(4) of the Act</w:t>
      </w:r>
      <w:r w:rsidR="00137699" w:rsidRPr="00B041B4">
        <w:rPr>
          <w:lang w:val="en-AU"/>
        </w:rPr>
        <w:t>,</w:t>
      </w:r>
      <w:r w:rsidRPr="00B041B4">
        <w:rPr>
          <w:lang w:val="en-AU"/>
        </w:rPr>
        <w:t xml:space="preserve"> satisfied that it is authorised to take disciplinary action, it may deal with a licensed agent in a number of ways that are specifi</w:t>
      </w:r>
      <w:r w:rsidR="00B041B4" w:rsidRPr="00B041B4">
        <w:rPr>
          <w:lang w:val="en-AU"/>
        </w:rPr>
        <w:t>ed at section 69(1)</w:t>
      </w:r>
      <w:r w:rsidR="00C439CF" w:rsidRPr="00B041B4">
        <w:rPr>
          <w:lang w:val="en-AU"/>
        </w:rPr>
        <w:t xml:space="preserve">(a)-(d). </w:t>
      </w:r>
    </w:p>
    <w:p w14:paraId="2740245F" w14:textId="68514099" w:rsidR="00FE1597" w:rsidRPr="00A77CD7" w:rsidRDefault="00FE1597" w:rsidP="00FE1597">
      <w:pPr>
        <w:pStyle w:val="ListParagraph"/>
        <w:ind w:left="1080"/>
        <w:jc w:val="both"/>
        <w:rPr>
          <w:b/>
          <w:bCs/>
          <w:lang w:val="en-AU"/>
        </w:rPr>
      </w:pPr>
      <w:r w:rsidRPr="00A77CD7">
        <w:rPr>
          <w:b/>
          <w:bCs/>
          <w:lang w:val="en-AU"/>
        </w:rPr>
        <w:lastRenderedPageBreak/>
        <w:t>Allegation 1</w:t>
      </w:r>
    </w:p>
    <w:p w14:paraId="1028180F" w14:textId="77777777" w:rsidR="00042CE7" w:rsidRDefault="00042CE7" w:rsidP="00362C1D">
      <w:pPr>
        <w:pStyle w:val="ListParagraph"/>
        <w:ind w:left="1080"/>
        <w:jc w:val="both"/>
        <w:rPr>
          <w:lang w:val="en-AU"/>
        </w:rPr>
      </w:pPr>
    </w:p>
    <w:p w14:paraId="23367549" w14:textId="7005F0D4" w:rsidR="004B49EA" w:rsidRDefault="004B49EA" w:rsidP="00E37C32">
      <w:pPr>
        <w:pStyle w:val="ListParagraph"/>
        <w:numPr>
          <w:ilvl w:val="0"/>
          <w:numId w:val="1"/>
        </w:numPr>
        <w:jc w:val="both"/>
        <w:rPr>
          <w:lang w:val="en-AU"/>
        </w:rPr>
      </w:pPr>
      <w:r>
        <w:rPr>
          <w:lang w:val="en-AU"/>
        </w:rPr>
        <w:t>The Board takes into account the written submissions (p 2&amp;3) as well as the oral submissions made to the</w:t>
      </w:r>
      <w:r w:rsidR="00024305">
        <w:rPr>
          <w:lang w:val="en-AU"/>
        </w:rPr>
        <w:t xml:space="preserve"> Board.</w:t>
      </w:r>
      <w:r>
        <w:rPr>
          <w:lang w:val="en-AU"/>
        </w:rPr>
        <w:t xml:space="preserve"> The key </w:t>
      </w:r>
      <w:r w:rsidR="000B16FD">
        <w:rPr>
          <w:lang w:val="en-AU"/>
        </w:rPr>
        <w:t xml:space="preserve">component </w:t>
      </w:r>
      <w:r>
        <w:rPr>
          <w:lang w:val="en-AU"/>
        </w:rPr>
        <w:t xml:space="preserve">of the </w:t>
      </w:r>
      <w:r w:rsidR="000B16FD">
        <w:rPr>
          <w:lang w:val="en-AU"/>
        </w:rPr>
        <w:t>breach</w:t>
      </w:r>
      <w:r>
        <w:rPr>
          <w:lang w:val="en-AU"/>
        </w:rPr>
        <w:t xml:space="preserve"> was the failure to adhere to due process regarding </w:t>
      </w:r>
      <w:r w:rsidR="005A1150">
        <w:rPr>
          <w:lang w:val="en-AU"/>
        </w:rPr>
        <w:t>the pet application</w:t>
      </w:r>
      <w:r>
        <w:rPr>
          <w:lang w:val="en-AU"/>
        </w:rPr>
        <w:t xml:space="preserve">. Whilst Ms Roberts held the majority of the UEV, </w:t>
      </w:r>
      <w:r w:rsidR="005A1150">
        <w:rPr>
          <w:lang w:val="en-AU"/>
        </w:rPr>
        <w:t xml:space="preserve">this did not mean that </w:t>
      </w:r>
      <w:r>
        <w:rPr>
          <w:lang w:val="en-AU"/>
        </w:rPr>
        <w:t xml:space="preserve">a properly convened </w:t>
      </w:r>
      <w:r w:rsidR="005A1150">
        <w:rPr>
          <w:lang w:val="en-AU"/>
        </w:rPr>
        <w:t>EGM</w:t>
      </w:r>
      <w:r>
        <w:rPr>
          <w:lang w:val="en-AU"/>
        </w:rPr>
        <w:t xml:space="preserve"> </w:t>
      </w:r>
      <w:r w:rsidR="005A1150">
        <w:rPr>
          <w:lang w:val="en-AU"/>
        </w:rPr>
        <w:t xml:space="preserve">ought not </w:t>
      </w:r>
      <w:r>
        <w:rPr>
          <w:lang w:val="en-AU"/>
        </w:rPr>
        <w:t>be held. Ms Maher’s decision</w:t>
      </w:r>
      <w:r w:rsidR="000B16FD">
        <w:rPr>
          <w:lang w:val="en-AU"/>
        </w:rPr>
        <w:t>,</w:t>
      </w:r>
      <w:r>
        <w:rPr>
          <w:lang w:val="en-AU"/>
        </w:rPr>
        <w:t xml:space="preserve"> stated in an </w:t>
      </w:r>
      <w:r w:rsidR="004822B0">
        <w:rPr>
          <w:lang w:val="en-AU"/>
        </w:rPr>
        <w:t>email, to</w:t>
      </w:r>
      <w:r>
        <w:rPr>
          <w:lang w:val="en-AU"/>
        </w:rPr>
        <w:t xml:space="preserve"> </w:t>
      </w:r>
      <w:r w:rsidR="000B16FD">
        <w:rPr>
          <w:lang w:val="en-AU"/>
        </w:rPr>
        <w:t xml:space="preserve">effectively </w:t>
      </w:r>
      <w:r>
        <w:rPr>
          <w:lang w:val="en-AU"/>
        </w:rPr>
        <w:t xml:space="preserve">bypass the meeting was clearly in </w:t>
      </w:r>
      <w:r w:rsidR="005A1150">
        <w:rPr>
          <w:lang w:val="en-AU"/>
        </w:rPr>
        <w:t>breach of the law –</w:t>
      </w:r>
      <w:r>
        <w:rPr>
          <w:lang w:val="en-AU"/>
        </w:rPr>
        <w:t xml:space="preserve"> </w:t>
      </w:r>
      <w:r w:rsidR="005A1150">
        <w:rPr>
          <w:lang w:val="en-AU"/>
        </w:rPr>
        <w:t xml:space="preserve">it sought </w:t>
      </w:r>
      <w:r>
        <w:rPr>
          <w:lang w:val="en-AU"/>
        </w:rPr>
        <w:t>to</w:t>
      </w:r>
      <w:r w:rsidR="005A1150">
        <w:rPr>
          <w:lang w:val="en-AU"/>
        </w:rPr>
        <w:t xml:space="preserve"> bypass </w:t>
      </w:r>
      <w:r>
        <w:rPr>
          <w:lang w:val="en-AU"/>
        </w:rPr>
        <w:t xml:space="preserve">the voice of the other Corporation members. In Ms Maher’s favour it is accepted by the Board that she did this because she thought an EGM would be a waste of time and money -with an inevitable result. This however, missed the point. </w:t>
      </w:r>
      <w:r w:rsidR="005A1150">
        <w:rPr>
          <w:lang w:val="en-AU"/>
        </w:rPr>
        <w:t xml:space="preserve">Whilst Whittles was not obliged under the terms of the Service Agreement to hold an EGM it </w:t>
      </w:r>
      <w:r w:rsidR="00930F1E">
        <w:rPr>
          <w:lang w:val="en-AU"/>
        </w:rPr>
        <w:t>is important to</w:t>
      </w:r>
      <w:r w:rsidR="005A1150">
        <w:rPr>
          <w:lang w:val="en-AU"/>
        </w:rPr>
        <w:t xml:space="preserve"> recognise that</w:t>
      </w:r>
      <w:r w:rsidR="00930F1E">
        <w:rPr>
          <w:lang w:val="en-AU"/>
        </w:rPr>
        <w:t xml:space="preserve"> meetings of this nature </w:t>
      </w:r>
      <w:r w:rsidR="005A1150">
        <w:rPr>
          <w:lang w:val="en-AU"/>
        </w:rPr>
        <w:t>serve to give</w:t>
      </w:r>
      <w:r w:rsidR="00930F1E">
        <w:rPr>
          <w:lang w:val="en-AU"/>
        </w:rPr>
        <w:t xml:space="preserve"> voice in an open fashion </w:t>
      </w:r>
      <w:r w:rsidR="005A1150">
        <w:rPr>
          <w:lang w:val="en-AU"/>
        </w:rPr>
        <w:t xml:space="preserve">to the expression of </w:t>
      </w:r>
      <w:r w:rsidR="00930F1E">
        <w:rPr>
          <w:lang w:val="en-AU"/>
        </w:rPr>
        <w:t>genuine</w:t>
      </w:r>
      <w:r w:rsidR="005A1150">
        <w:rPr>
          <w:lang w:val="en-AU"/>
        </w:rPr>
        <w:t xml:space="preserve"> disputation</w:t>
      </w:r>
      <w:r w:rsidR="00930F1E">
        <w:rPr>
          <w:lang w:val="en-AU"/>
        </w:rPr>
        <w:t>. Regarding penalty, taking into account t</w:t>
      </w:r>
      <w:r w:rsidR="00FC7AE2">
        <w:rPr>
          <w:lang w:val="en-AU"/>
        </w:rPr>
        <w:t>hat the Breach is acknowledg</w:t>
      </w:r>
      <w:r w:rsidR="005A1150">
        <w:rPr>
          <w:lang w:val="en-AU"/>
        </w:rPr>
        <w:t xml:space="preserve">ed </w:t>
      </w:r>
      <w:r w:rsidR="00FC7AE2">
        <w:rPr>
          <w:lang w:val="en-AU"/>
        </w:rPr>
        <w:t xml:space="preserve">by Whittles, as well as </w:t>
      </w:r>
      <w:r w:rsidR="00474325">
        <w:rPr>
          <w:lang w:val="en-AU"/>
        </w:rPr>
        <w:t xml:space="preserve">taking into account </w:t>
      </w:r>
      <w:r w:rsidR="00FC7AE2">
        <w:rPr>
          <w:lang w:val="en-AU"/>
        </w:rPr>
        <w:t>t</w:t>
      </w:r>
      <w:r w:rsidR="00930F1E">
        <w:rPr>
          <w:lang w:val="en-AU"/>
        </w:rPr>
        <w:t xml:space="preserve">he facts </w:t>
      </w:r>
      <w:r w:rsidR="00FC7AE2">
        <w:rPr>
          <w:lang w:val="en-AU"/>
        </w:rPr>
        <w:t>&amp;</w:t>
      </w:r>
      <w:r w:rsidR="00930F1E">
        <w:rPr>
          <w:lang w:val="en-AU"/>
        </w:rPr>
        <w:t xml:space="preserve"> circumstances and </w:t>
      </w:r>
      <w:r w:rsidR="000B16FD">
        <w:rPr>
          <w:lang w:val="en-AU"/>
        </w:rPr>
        <w:t xml:space="preserve">all </w:t>
      </w:r>
      <w:r w:rsidR="00930F1E">
        <w:rPr>
          <w:lang w:val="en-AU"/>
        </w:rPr>
        <w:t>submissions made by Mr Liveris and Mr Maher</w:t>
      </w:r>
      <w:r w:rsidR="00474325">
        <w:rPr>
          <w:lang w:val="en-AU"/>
        </w:rPr>
        <w:t>,</w:t>
      </w:r>
      <w:r w:rsidR="00930F1E">
        <w:rPr>
          <w:lang w:val="en-AU"/>
        </w:rPr>
        <w:t xml:space="preserve"> the Board has determined that a Caution is the appropriate penalty. </w:t>
      </w:r>
    </w:p>
    <w:p w14:paraId="57916C19" w14:textId="77777777" w:rsidR="00FC7AE2" w:rsidRDefault="00FC7AE2" w:rsidP="00362C1D">
      <w:pPr>
        <w:pStyle w:val="ListParagraph"/>
        <w:ind w:left="1080"/>
        <w:jc w:val="both"/>
        <w:rPr>
          <w:lang w:val="en-AU"/>
        </w:rPr>
      </w:pPr>
    </w:p>
    <w:p w14:paraId="7B3E2AB0" w14:textId="6C3B4A68" w:rsidR="004B49EA" w:rsidRPr="00A77CD7" w:rsidRDefault="000B16FD" w:rsidP="000B16FD">
      <w:pPr>
        <w:pStyle w:val="ListParagraph"/>
        <w:ind w:left="1080"/>
        <w:rPr>
          <w:b/>
          <w:bCs/>
          <w:lang w:val="en-AU"/>
        </w:rPr>
      </w:pPr>
      <w:r w:rsidRPr="00A77CD7">
        <w:rPr>
          <w:b/>
          <w:bCs/>
          <w:lang w:val="en-AU"/>
        </w:rPr>
        <w:t>Allegation 2</w:t>
      </w:r>
    </w:p>
    <w:p w14:paraId="39A25CDC" w14:textId="77777777" w:rsidR="00E21D3A" w:rsidRPr="00E21D3A" w:rsidRDefault="00E21D3A" w:rsidP="00362C1D">
      <w:pPr>
        <w:rPr>
          <w:lang w:val="en-AU"/>
        </w:rPr>
      </w:pPr>
    </w:p>
    <w:p w14:paraId="3E4FA8D6" w14:textId="71486117" w:rsidR="000975F1" w:rsidRDefault="00FE1597" w:rsidP="005B7CF8">
      <w:pPr>
        <w:pStyle w:val="ListParagraph"/>
        <w:numPr>
          <w:ilvl w:val="0"/>
          <w:numId w:val="1"/>
        </w:numPr>
        <w:jc w:val="both"/>
        <w:rPr>
          <w:lang w:val="en-AU"/>
        </w:rPr>
      </w:pPr>
      <w:r w:rsidRPr="000975F1">
        <w:rPr>
          <w:lang w:val="en-AU"/>
        </w:rPr>
        <w:t xml:space="preserve">The nature </w:t>
      </w:r>
      <w:r w:rsidR="005A1150" w:rsidRPr="000975F1">
        <w:rPr>
          <w:lang w:val="en-AU"/>
        </w:rPr>
        <w:t xml:space="preserve">and circumstances </w:t>
      </w:r>
      <w:r w:rsidRPr="000975F1">
        <w:rPr>
          <w:lang w:val="en-AU"/>
        </w:rPr>
        <w:t xml:space="preserve">of this breach is </w:t>
      </w:r>
      <w:r w:rsidR="00771295" w:rsidRPr="001268C6">
        <w:rPr>
          <w:lang w:val="en-AU"/>
        </w:rPr>
        <w:t xml:space="preserve">important. The Body Corporate was without insurance to cover itself, in particular </w:t>
      </w:r>
      <w:r w:rsidR="00E21D3A" w:rsidRPr="00E3452F">
        <w:rPr>
          <w:lang w:val="en-AU"/>
        </w:rPr>
        <w:t xml:space="preserve">it was </w:t>
      </w:r>
      <w:r w:rsidR="00771295" w:rsidRPr="00E3452F">
        <w:rPr>
          <w:lang w:val="en-AU"/>
        </w:rPr>
        <w:t xml:space="preserve">without Public Liability insurance for a considerable time, namely from 21 May 2017 to 11 July </w:t>
      </w:r>
      <w:r w:rsidR="00771295" w:rsidRPr="000975F1">
        <w:rPr>
          <w:lang w:val="en-AU"/>
        </w:rPr>
        <w:t>2017, a period of 51 days or 7 weeks and 2 days. The Body Corporate was fortunate to suffer no loss in consequence of this. Whittles had denied th</w:t>
      </w:r>
      <w:r w:rsidR="000975F1" w:rsidRPr="000975F1">
        <w:rPr>
          <w:lang w:val="en-AU"/>
        </w:rPr>
        <w:t>is</w:t>
      </w:r>
      <w:r w:rsidR="00771295" w:rsidRPr="000975F1">
        <w:rPr>
          <w:lang w:val="en-AU"/>
        </w:rPr>
        <w:t xml:space="preserve"> breach and denied</w:t>
      </w:r>
      <w:r w:rsidR="00E21D3A" w:rsidRPr="000975F1">
        <w:rPr>
          <w:lang w:val="en-AU"/>
        </w:rPr>
        <w:t xml:space="preserve"> </w:t>
      </w:r>
      <w:r w:rsidR="00771295" w:rsidRPr="000975F1">
        <w:rPr>
          <w:lang w:val="en-AU"/>
        </w:rPr>
        <w:t>even owing a duty in relation to this matter. In accordance with the proper running of its business it was vital that Whittles co</w:t>
      </w:r>
      <w:r w:rsidR="00134764">
        <w:rPr>
          <w:lang w:val="en-AU"/>
        </w:rPr>
        <w:t>mplied fully with the terms of C</w:t>
      </w:r>
      <w:r w:rsidR="00771295" w:rsidRPr="000975F1">
        <w:rPr>
          <w:lang w:val="en-AU"/>
        </w:rPr>
        <w:t xml:space="preserve">lause 1.9 of the Agreed Services of the Services Agreement. </w:t>
      </w:r>
      <w:r w:rsidR="00A02637" w:rsidRPr="000975F1">
        <w:rPr>
          <w:lang w:val="en-AU"/>
        </w:rPr>
        <w:t xml:space="preserve">A Manager </w:t>
      </w:r>
      <w:r w:rsidR="005B7CF8">
        <w:rPr>
          <w:lang w:val="en-AU"/>
        </w:rPr>
        <w:t xml:space="preserve">exercising due skill, care or diligence </w:t>
      </w:r>
      <w:r w:rsidR="00A02637" w:rsidRPr="000975F1">
        <w:rPr>
          <w:lang w:val="en-AU"/>
        </w:rPr>
        <w:t xml:space="preserve">would have followed up on the absence of a formal response and done so in a timely manner. There remains no explanation as to why there was no </w:t>
      </w:r>
      <w:r w:rsidR="003F3687">
        <w:rPr>
          <w:lang w:val="en-AU"/>
        </w:rPr>
        <w:t xml:space="preserve">timely </w:t>
      </w:r>
      <w:r w:rsidR="00A02637" w:rsidRPr="000975F1">
        <w:rPr>
          <w:lang w:val="en-AU"/>
        </w:rPr>
        <w:t>follow up- rather a denial that it was even required</w:t>
      </w:r>
      <w:r w:rsidR="009172F7">
        <w:rPr>
          <w:lang w:val="en-AU"/>
        </w:rPr>
        <w:t>. There was als</w:t>
      </w:r>
      <w:r w:rsidR="00A02637" w:rsidRPr="000975F1">
        <w:rPr>
          <w:lang w:val="en-AU"/>
        </w:rPr>
        <w:t xml:space="preserve">o </w:t>
      </w:r>
      <w:r w:rsidR="009172F7">
        <w:rPr>
          <w:lang w:val="en-AU"/>
        </w:rPr>
        <w:t xml:space="preserve">no </w:t>
      </w:r>
      <w:r w:rsidR="00A02637" w:rsidRPr="000975F1">
        <w:rPr>
          <w:lang w:val="en-AU"/>
        </w:rPr>
        <w:t xml:space="preserve">explanation </w:t>
      </w:r>
      <w:r w:rsidR="004047A5" w:rsidRPr="000975F1">
        <w:rPr>
          <w:lang w:val="en-AU"/>
        </w:rPr>
        <w:t xml:space="preserve">as to </w:t>
      </w:r>
      <w:r w:rsidR="00A02637" w:rsidRPr="000975F1">
        <w:rPr>
          <w:lang w:val="en-AU"/>
        </w:rPr>
        <w:t xml:space="preserve">how or why Ms Bruton eventually was alerted to this problem and dealt with it, albeit </w:t>
      </w:r>
      <w:r w:rsidR="00E21D3A" w:rsidRPr="000975F1">
        <w:rPr>
          <w:lang w:val="en-AU"/>
        </w:rPr>
        <w:t xml:space="preserve">almost </w:t>
      </w:r>
      <w:r w:rsidR="00A02637" w:rsidRPr="000975F1">
        <w:rPr>
          <w:lang w:val="en-AU"/>
        </w:rPr>
        <w:t>2 months late. The matter is a serious one and Whittles</w:t>
      </w:r>
      <w:r w:rsidR="004047A5" w:rsidRPr="000975F1">
        <w:rPr>
          <w:lang w:val="en-AU"/>
        </w:rPr>
        <w:t>’</w:t>
      </w:r>
      <w:r w:rsidR="00A02637" w:rsidRPr="000975F1">
        <w:rPr>
          <w:lang w:val="en-AU"/>
        </w:rPr>
        <w:t xml:space="preserve"> culpability is not </w:t>
      </w:r>
      <w:r w:rsidR="004047A5" w:rsidRPr="000975F1">
        <w:rPr>
          <w:lang w:val="en-AU"/>
        </w:rPr>
        <w:t>reduced</w:t>
      </w:r>
      <w:r w:rsidR="009172F7">
        <w:rPr>
          <w:lang w:val="en-AU"/>
        </w:rPr>
        <w:t xml:space="preserve"> given</w:t>
      </w:r>
      <w:r w:rsidR="00A02637" w:rsidRPr="000975F1">
        <w:rPr>
          <w:lang w:val="en-AU"/>
        </w:rPr>
        <w:t xml:space="preserve"> its denial of any responsibility. Body Corporate proprietors need to know that they are to be kept up to date </w:t>
      </w:r>
      <w:r w:rsidR="009172F7">
        <w:rPr>
          <w:lang w:val="en-AU"/>
        </w:rPr>
        <w:t xml:space="preserve">via correspondence </w:t>
      </w:r>
      <w:r w:rsidR="005B7CF8">
        <w:rPr>
          <w:lang w:val="en-AU"/>
        </w:rPr>
        <w:t xml:space="preserve">from their agents, </w:t>
      </w:r>
      <w:r w:rsidR="00A02637" w:rsidRPr="000975F1">
        <w:rPr>
          <w:lang w:val="en-AU"/>
        </w:rPr>
        <w:t xml:space="preserve">and followed up on important matters such as this. </w:t>
      </w:r>
      <w:r w:rsidR="005B7CF8">
        <w:rPr>
          <w:lang w:val="en-AU"/>
        </w:rPr>
        <w:t>The fact this Whittles is a specialist in this area is important. It ought to have known better. It was not an ingenue, nor a novice in the field of body corporate management but rather has very consider</w:t>
      </w:r>
      <w:r w:rsidR="00CF78B0">
        <w:rPr>
          <w:lang w:val="en-AU"/>
        </w:rPr>
        <w:t xml:space="preserve">able experience in this field. </w:t>
      </w:r>
      <w:r w:rsidR="005B7CF8">
        <w:rPr>
          <w:lang w:val="en-AU"/>
        </w:rPr>
        <w:t xml:space="preserve">The problem in question was not unusual but rather, standard. </w:t>
      </w:r>
    </w:p>
    <w:p w14:paraId="16E3E426" w14:textId="77777777" w:rsidR="00144F3A" w:rsidRPr="000975F1" w:rsidRDefault="00144F3A" w:rsidP="00EE5C30">
      <w:pPr>
        <w:pStyle w:val="ListParagraph"/>
        <w:ind w:left="1080"/>
        <w:jc w:val="both"/>
        <w:rPr>
          <w:lang w:val="en-AU"/>
        </w:rPr>
      </w:pPr>
    </w:p>
    <w:p w14:paraId="47DBC59B" w14:textId="45EADF36" w:rsidR="00144F3A" w:rsidRPr="007812C3" w:rsidRDefault="00141631" w:rsidP="007812C3">
      <w:pPr>
        <w:pStyle w:val="ListParagraph"/>
        <w:numPr>
          <w:ilvl w:val="0"/>
          <w:numId w:val="1"/>
        </w:numPr>
        <w:jc w:val="both"/>
        <w:rPr>
          <w:lang w:val="en-AU"/>
        </w:rPr>
      </w:pPr>
      <w:r>
        <w:rPr>
          <w:lang w:val="en-AU"/>
        </w:rPr>
        <w:t>It is vital that the Board emphasise the protective aspect of disciplinary action. There is</w:t>
      </w:r>
      <w:r w:rsidR="001268C6">
        <w:rPr>
          <w:lang w:val="en-AU"/>
        </w:rPr>
        <w:t>,</w:t>
      </w:r>
      <w:r w:rsidR="00322E64">
        <w:rPr>
          <w:lang w:val="en-AU"/>
        </w:rPr>
        <w:t xml:space="preserve"> </w:t>
      </w:r>
      <w:r>
        <w:rPr>
          <w:lang w:val="en-AU"/>
        </w:rPr>
        <w:t>to be clear</w:t>
      </w:r>
      <w:r w:rsidR="001268C6">
        <w:rPr>
          <w:lang w:val="en-AU"/>
        </w:rPr>
        <w:t>,</w:t>
      </w:r>
      <w:r>
        <w:rPr>
          <w:lang w:val="en-AU"/>
        </w:rPr>
        <w:t xml:space="preserve"> no element of punishmen</w:t>
      </w:r>
      <w:r w:rsidR="00CF78B0">
        <w:rPr>
          <w:lang w:val="en-AU"/>
        </w:rPr>
        <w:t xml:space="preserve">t in this disciplinary action, </w:t>
      </w:r>
      <w:r>
        <w:rPr>
          <w:lang w:val="en-AU"/>
        </w:rPr>
        <w:t xml:space="preserve">rather it constitutes a form of disciplinary action to protect the public. </w:t>
      </w:r>
    </w:p>
    <w:p w14:paraId="0364AA09" w14:textId="7C9EEA15" w:rsidR="00144F3A" w:rsidRDefault="00144F3A" w:rsidP="00EE5C30">
      <w:pPr>
        <w:jc w:val="both"/>
        <w:rPr>
          <w:lang w:val="en-AU"/>
        </w:rPr>
      </w:pPr>
    </w:p>
    <w:p w14:paraId="77872462" w14:textId="77777777" w:rsidR="00E25DCF" w:rsidRPr="00144F3A" w:rsidRDefault="00E25DCF" w:rsidP="00EE5C30">
      <w:pPr>
        <w:jc w:val="both"/>
        <w:rPr>
          <w:lang w:val="en-AU"/>
        </w:rPr>
      </w:pPr>
    </w:p>
    <w:p w14:paraId="28C3D541" w14:textId="4A914DA9" w:rsidR="00141631" w:rsidRDefault="00A02637" w:rsidP="00EE5C30">
      <w:pPr>
        <w:pStyle w:val="ListParagraph"/>
        <w:numPr>
          <w:ilvl w:val="0"/>
          <w:numId w:val="1"/>
        </w:numPr>
        <w:jc w:val="both"/>
        <w:rPr>
          <w:lang w:val="en-AU"/>
        </w:rPr>
      </w:pPr>
      <w:r w:rsidRPr="00141631">
        <w:rPr>
          <w:lang w:val="en-AU"/>
        </w:rPr>
        <w:lastRenderedPageBreak/>
        <w:t>The mat</w:t>
      </w:r>
      <w:r w:rsidRPr="005A2D6A">
        <w:rPr>
          <w:lang w:val="en-AU"/>
        </w:rPr>
        <w:t xml:space="preserve">ter is too serious for a caution. The next most serious punishment in the </w:t>
      </w:r>
      <w:r w:rsidRPr="00144F3A">
        <w:rPr>
          <w:lang w:val="en-AU"/>
        </w:rPr>
        <w:t xml:space="preserve">ascending scale of penalties outlined in section 69 is a fine. </w:t>
      </w:r>
      <w:r w:rsidRPr="00042CE7">
        <w:rPr>
          <w:lang w:val="en-AU"/>
        </w:rPr>
        <w:t>T</w:t>
      </w:r>
      <w:r w:rsidRPr="00EB426F">
        <w:rPr>
          <w:lang w:val="en-AU"/>
        </w:rPr>
        <w:t>h</w:t>
      </w:r>
      <w:r w:rsidRPr="004822B0">
        <w:rPr>
          <w:lang w:val="en-AU"/>
        </w:rPr>
        <w:t>is is the ap</w:t>
      </w:r>
      <w:r w:rsidRPr="00141631">
        <w:rPr>
          <w:lang w:val="en-AU"/>
        </w:rPr>
        <w:t>propriate penalty in this case. The maximum fine is 50 penalty units (a penalty unit being $15</w:t>
      </w:r>
      <w:r w:rsidR="00E21D3A" w:rsidRPr="00141631">
        <w:rPr>
          <w:lang w:val="en-AU"/>
        </w:rPr>
        <w:t xml:space="preserve">4 at the date of the offending conduct). </w:t>
      </w:r>
      <w:r w:rsidR="00141631" w:rsidRPr="00141631">
        <w:rPr>
          <w:lang w:val="en-AU"/>
        </w:rPr>
        <w:t xml:space="preserve">The maximum penalty serves as a general guide as to the seriousness that the legislature views a breach of this section. </w:t>
      </w:r>
      <w:r w:rsidR="00CF78B0">
        <w:rPr>
          <w:lang w:val="en-AU"/>
        </w:rPr>
        <w:t xml:space="preserve">Whittles is </w:t>
      </w:r>
      <w:r w:rsidR="00E21D3A" w:rsidRPr="00141631">
        <w:rPr>
          <w:lang w:val="en-AU"/>
        </w:rPr>
        <w:t xml:space="preserve">a corporate entity itself. </w:t>
      </w:r>
      <w:r w:rsidR="00141631" w:rsidRPr="00141631">
        <w:rPr>
          <w:lang w:val="en-AU"/>
        </w:rPr>
        <w:t>It is considered in all the circumstances that a fine of 20 penalty units be imposed upon Whittles.</w:t>
      </w:r>
    </w:p>
    <w:p w14:paraId="63E57203" w14:textId="77777777" w:rsidR="00141631" w:rsidRPr="00141631" w:rsidRDefault="00141631" w:rsidP="00EE5C30">
      <w:pPr>
        <w:jc w:val="both"/>
        <w:rPr>
          <w:lang w:val="en-AU"/>
        </w:rPr>
      </w:pPr>
    </w:p>
    <w:p w14:paraId="32A0CD0D" w14:textId="75B97751" w:rsidR="00B041B4" w:rsidRDefault="005A2D6A" w:rsidP="00A02637">
      <w:pPr>
        <w:pStyle w:val="ListParagraph"/>
        <w:numPr>
          <w:ilvl w:val="0"/>
          <w:numId w:val="1"/>
        </w:numPr>
        <w:jc w:val="both"/>
        <w:rPr>
          <w:lang w:val="en-AU"/>
        </w:rPr>
      </w:pPr>
      <w:r>
        <w:rPr>
          <w:lang w:val="en-AU"/>
        </w:rPr>
        <w:t>In coming to its decision in all matters the Board has considered the seriousness of Whittles’ actions and the need to deter other real estate agents from acting in the same or similar manner</w:t>
      </w:r>
      <w:r w:rsidR="00960CC6">
        <w:rPr>
          <w:lang w:val="en-AU"/>
        </w:rPr>
        <w:t xml:space="preserve"> </w:t>
      </w:r>
      <w:r>
        <w:rPr>
          <w:lang w:val="en-AU"/>
        </w:rPr>
        <w:t>as the most weighty matters in formulating a sanction that would further the aims of community protection and maintaining confidence in the real estate industry.</w:t>
      </w:r>
    </w:p>
    <w:p w14:paraId="5BDDF59C" w14:textId="77777777" w:rsidR="00063AB0" w:rsidRPr="00063AB0" w:rsidRDefault="00063AB0" w:rsidP="00063AB0">
      <w:pPr>
        <w:pStyle w:val="ListParagraph"/>
        <w:rPr>
          <w:lang w:val="en-AU"/>
        </w:rPr>
      </w:pPr>
    </w:p>
    <w:p w14:paraId="6723600D" w14:textId="5E148A85" w:rsidR="00063AB0" w:rsidRPr="00063AB0" w:rsidRDefault="00063AB0" w:rsidP="00063AB0">
      <w:pPr>
        <w:jc w:val="both"/>
        <w:rPr>
          <w:lang w:val="en-AU"/>
        </w:rPr>
      </w:pPr>
      <w:r>
        <w:rPr>
          <w:b/>
          <w:lang w:val="en-AU"/>
        </w:rPr>
        <w:t>NOTICE OF RIGHTS</w:t>
      </w:r>
    </w:p>
    <w:p w14:paraId="6EEA6576" w14:textId="77777777" w:rsidR="00063AB0" w:rsidRPr="00063AB0" w:rsidRDefault="00063AB0" w:rsidP="00063AB0">
      <w:pPr>
        <w:pStyle w:val="ListParagraph"/>
        <w:rPr>
          <w:lang w:val="en-AU"/>
        </w:rPr>
      </w:pPr>
    </w:p>
    <w:p w14:paraId="3295DE3B" w14:textId="0D1DB8CB" w:rsidR="00063AB0" w:rsidRPr="00063AB0" w:rsidRDefault="00063AB0" w:rsidP="00A02637">
      <w:pPr>
        <w:pStyle w:val="ListParagraph"/>
        <w:numPr>
          <w:ilvl w:val="0"/>
          <w:numId w:val="1"/>
        </w:numPr>
        <w:jc w:val="both"/>
        <w:rPr>
          <w:lang w:val="en-AU"/>
        </w:rPr>
      </w:pPr>
      <w:r w:rsidRPr="0039743A">
        <w:t>Section 85 of the Act provides that a person aggrieved by a decision of the Board can appeal to the Local Court.</w:t>
      </w:r>
    </w:p>
    <w:p w14:paraId="4588CE4A" w14:textId="77777777" w:rsidR="00063AB0" w:rsidRPr="00063AB0" w:rsidRDefault="00063AB0" w:rsidP="00063AB0">
      <w:pPr>
        <w:pStyle w:val="ListParagraph"/>
        <w:rPr>
          <w:lang w:val="en-AU"/>
        </w:rPr>
      </w:pPr>
    </w:p>
    <w:p w14:paraId="4847084E" w14:textId="02CDFF92" w:rsidR="00063AB0" w:rsidRDefault="00063AB0" w:rsidP="00A02637">
      <w:pPr>
        <w:pStyle w:val="ListParagraph"/>
        <w:numPr>
          <w:ilvl w:val="0"/>
          <w:numId w:val="1"/>
        </w:numPr>
        <w:jc w:val="both"/>
        <w:rPr>
          <w:lang w:val="en-AU"/>
        </w:rPr>
      </w:pPr>
      <w:r w:rsidRPr="0039743A">
        <w:t>An appeal application must be made within 21 days of the date of this decision.</w:t>
      </w:r>
    </w:p>
    <w:p w14:paraId="5D0ECE18" w14:textId="77777777" w:rsidR="00063AB0" w:rsidRPr="00063AB0" w:rsidRDefault="00063AB0" w:rsidP="00063AB0">
      <w:pPr>
        <w:pStyle w:val="ListParagraph"/>
        <w:rPr>
          <w:lang w:val="en-AU"/>
        </w:rPr>
      </w:pPr>
    </w:p>
    <w:p w14:paraId="11026B36" w14:textId="58AB206A" w:rsidR="00063AB0" w:rsidRDefault="002D0125" w:rsidP="00C758F1">
      <w:pPr>
        <w:jc w:val="both"/>
        <w:rPr>
          <w:lang w:val="en-AU"/>
        </w:rPr>
      </w:pPr>
      <w:r>
        <w:rPr>
          <w:lang w:val="en-AU"/>
        </w:rPr>
        <w:t>For the Board.</w:t>
      </w:r>
    </w:p>
    <w:p w14:paraId="39A0E08B" w14:textId="42C49431" w:rsidR="003E0E8F" w:rsidRDefault="003E0E8F" w:rsidP="00C758F1">
      <w:pPr>
        <w:jc w:val="both"/>
        <w:rPr>
          <w:lang w:val="en-AU"/>
        </w:rPr>
      </w:pPr>
    </w:p>
    <w:p w14:paraId="6BD2F708" w14:textId="652A9286" w:rsidR="003E0E8F" w:rsidRDefault="003E0E8F" w:rsidP="00C758F1">
      <w:pPr>
        <w:jc w:val="both"/>
        <w:rPr>
          <w:lang w:val="en-AU"/>
        </w:rPr>
      </w:pPr>
    </w:p>
    <w:p w14:paraId="0C85A8C3" w14:textId="56AAB27A" w:rsidR="00E25DCF" w:rsidRDefault="00E25DCF" w:rsidP="00E25DCF">
      <w:pPr>
        <w:tabs>
          <w:tab w:val="left" w:pos="1843"/>
          <w:tab w:val="left" w:pos="2268"/>
        </w:tabs>
        <w:ind w:left="-567" w:right="-227"/>
        <w:rPr>
          <w:rFonts w:ascii="Lato" w:hAnsi="Lato" w:cs="Arial"/>
          <w:sz w:val="22"/>
          <w:szCs w:val="22"/>
        </w:rPr>
      </w:pPr>
      <w:bookmarkStart w:id="0" w:name="_GoBack"/>
      <w:bookmarkEnd w:id="0"/>
    </w:p>
    <w:p w14:paraId="04538C8B" w14:textId="44855F45" w:rsidR="001A03F2" w:rsidRDefault="001A03F2" w:rsidP="00C758F1">
      <w:pPr>
        <w:jc w:val="both"/>
        <w:rPr>
          <w:lang w:val="en-AU"/>
        </w:rPr>
      </w:pPr>
      <w:r>
        <w:rPr>
          <w:lang w:val="en-AU"/>
        </w:rPr>
        <w:t>MARK THOMAS</w:t>
      </w:r>
    </w:p>
    <w:p w14:paraId="4BA4B926" w14:textId="0D93C812" w:rsidR="001A03F2" w:rsidRDefault="001A03F2" w:rsidP="00C758F1">
      <w:pPr>
        <w:jc w:val="both"/>
        <w:rPr>
          <w:lang w:val="en-AU"/>
        </w:rPr>
      </w:pPr>
      <w:r>
        <w:rPr>
          <w:lang w:val="en-AU"/>
        </w:rPr>
        <w:t>C</w:t>
      </w:r>
      <w:r w:rsidR="002D0125">
        <w:rPr>
          <w:lang w:val="en-AU"/>
        </w:rPr>
        <w:t xml:space="preserve">hairperson </w:t>
      </w:r>
    </w:p>
    <w:p w14:paraId="5C23C21D" w14:textId="5E55DEFD" w:rsidR="001A03F2" w:rsidRDefault="002D0125" w:rsidP="00C758F1">
      <w:pPr>
        <w:jc w:val="both"/>
        <w:rPr>
          <w:lang w:val="en-AU"/>
        </w:rPr>
      </w:pPr>
      <w:r>
        <w:rPr>
          <w:lang w:val="en-AU"/>
        </w:rPr>
        <w:t>Agents Licensing Board of the Northern Territory</w:t>
      </w:r>
    </w:p>
    <w:p w14:paraId="5EB4AA77" w14:textId="3095D1CF" w:rsidR="002D0125" w:rsidRDefault="002D0125" w:rsidP="00C758F1">
      <w:pPr>
        <w:jc w:val="both"/>
        <w:rPr>
          <w:lang w:val="en-AU"/>
        </w:rPr>
      </w:pPr>
    </w:p>
    <w:p w14:paraId="7E9EC5F7" w14:textId="5A221C65" w:rsidR="002D0125" w:rsidRDefault="00E25DCF" w:rsidP="00C758F1">
      <w:pPr>
        <w:jc w:val="both"/>
        <w:rPr>
          <w:lang w:val="en-AU"/>
        </w:rPr>
      </w:pPr>
      <w:r>
        <w:rPr>
          <w:lang w:val="en-AU"/>
        </w:rPr>
        <w:t>Dated 5</w:t>
      </w:r>
      <w:r w:rsidR="002D0125">
        <w:rPr>
          <w:lang w:val="en-AU"/>
        </w:rPr>
        <w:t xml:space="preserve"> May 2021 at Darwin</w:t>
      </w:r>
    </w:p>
    <w:p w14:paraId="5667BF81" w14:textId="77777777" w:rsidR="001A03F2" w:rsidRDefault="001A03F2" w:rsidP="00C758F1">
      <w:pPr>
        <w:jc w:val="both"/>
        <w:rPr>
          <w:lang w:val="en-AU"/>
        </w:rPr>
      </w:pPr>
    </w:p>
    <w:p w14:paraId="52E09130" w14:textId="77777777" w:rsidR="00ED3B32" w:rsidRPr="00B84FC6" w:rsidRDefault="00ED3B32" w:rsidP="00C758F1">
      <w:pPr>
        <w:jc w:val="both"/>
        <w:rPr>
          <w:lang w:val="en-AU"/>
        </w:rPr>
      </w:pPr>
    </w:p>
    <w:sectPr w:rsidR="00ED3B32" w:rsidRPr="00B84FC6" w:rsidSect="004A13F2">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F7BA0" w14:textId="77777777" w:rsidR="009E1A6F" w:rsidRDefault="009E1A6F" w:rsidP="0019301F">
      <w:r>
        <w:separator/>
      </w:r>
    </w:p>
  </w:endnote>
  <w:endnote w:type="continuationSeparator" w:id="0">
    <w:p w14:paraId="1E3538F5" w14:textId="77777777" w:rsidR="009E1A6F" w:rsidRDefault="009E1A6F" w:rsidP="0019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E235E" w14:textId="77777777" w:rsidR="009E1A6F" w:rsidRDefault="009E1A6F" w:rsidP="0013769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8F0776" w14:textId="77777777" w:rsidR="009E1A6F" w:rsidRDefault="009E1A6F" w:rsidP="001930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8083" w14:textId="731A9B5C" w:rsidR="009E1A6F" w:rsidRDefault="009E1A6F" w:rsidP="0013769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41B0">
      <w:rPr>
        <w:rStyle w:val="PageNumber"/>
        <w:noProof/>
      </w:rPr>
      <w:t>21</w:t>
    </w:r>
    <w:r>
      <w:rPr>
        <w:rStyle w:val="PageNumber"/>
      </w:rPr>
      <w:fldChar w:fldCharType="end"/>
    </w:r>
  </w:p>
  <w:p w14:paraId="39861A23" w14:textId="77777777" w:rsidR="009E1A6F" w:rsidRDefault="009E1A6F" w:rsidP="0019301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6BDA2" w14:textId="77777777" w:rsidR="009E1A6F" w:rsidRDefault="009E1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A9286" w14:textId="77777777" w:rsidR="009E1A6F" w:rsidRDefault="009E1A6F" w:rsidP="0019301F">
      <w:r>
        <w:separator/>
      </w:r>
    </w:p>
  </w:footnote>
  <w:footnote w:type="continuationSeparator" w:id="0">
    <w:p w14:paraId="631222C7" w14:textId="77777777" w:rsidR="009E1A6F" w:rsidRDefault="009E1A6F" w:rsidP="0019301F">
      <w:r>
        <w:continuationSeparator/>
      </w:r>
    </w:p>
  </w:footnote>
  <w:footnote w:id="1">
    <w:p w14:paraId="5D5C72AF" w14:textId="0353F5F3" w:rsidR="009E1A6F" w:rsidRPr="005824E8" w:rsidRDefault="009E1A6F" w:rsidP="00D160EA">
      <w:pPr>
        <w:pStyle w:val="FootnoteText"/>
        <w:jc w:val="both"/>
        <w:rPr>
          <w:lang w:val="en-AU"/>
        </w:rPr>
      </w:pPr>
      <w:r>
        <w:rPr>
          <w:rStyle w:val="FootnoteReference"/>
        </w:rPr>
        <w:footnoteRef/>
      </w:r>
      <w:r>
        <w:t xml:space="preserve"> </w:t>
      </w:r>
      <w:r>
        <w:rPr>
          <w:lang w:val="en-AU"/>
        </w:rPr>
        <w:t xml:space="preserve">S65 Rules of Conduct was amended by s10 </w:t>
      </w:r>
      <w:r w:rsidRPr="00D160EA">
        <w:rPr>
          <w:i/>
          <w:lang w:val="en-AU"/>
        </w:rPr>
        <w:t>Statute Law Revision and Repeals Act 2019</w:t>
      </w:r>
      <w:r>
        <w:rPr>
          <w:lang w:val="en-AU"/>
        </w:rPr>
        <w:t xml:space="preserve">, No. 33 which commenced on 11 December </w:t>
      </w:r>
      <w:r w:rsidRPr="005824E8">
        <w:rPr>
          <w:lang w:val="en-AU"/>
        </w:rPr>
        <w:t>2019</w:t>
      </w:r>
      <w:r>
        <w:rPr>
          <w:lang w:val="en-AU"/>
        </w:rPr>
        <w:t>.</w:t>
      </w:r>
    </w:p>
  </w:footnote>
  <w:footnote w:id="2">
    <w:p w14:paraId="6E5ADC99" w14:textId="0F083CF8" w:rsidR="009E1A6F" w:rsidRPr="00EE5C30" w:rsidRDefault="009E1A6F">
      <w:pPr>
        <w:pStyle w:val="FootnoteText"/>
        <w:rPr>
          <w:lang w:val="en-AU"/>
        </w:rPr>
      </w:pPr>
      <w:r>
        <w:rPr>
          <w:rStyle w:val="FootnoteReference"/>
        </w:rPr>
        <w:footnoteRef/>
      </w:r>
      <w:r>
        <w:t xml:space="preserve"> </w:t>
      </w:r>
      <w:r>
        <w:rPr>
          <w:lang w:val="en-AU"/>
        </w:rPr>
        <w:t>This is an error. It should be unit 2.</w:t>
      </w:r>
    </w:p>
  </w:footnote>
  <w:footnote w:id="3">
    <w:p w14:paraId="45CA1852" w14:textId="623FCA28" w:rsidR="009E1A6F" w:rsidRPr="00EE5C30" w:rsidRDefault="009E1A6F">
      <w:pPr>
        <w:pStyle w:val="FootnoteText"/>
        <w:rPr>
          <w:lang w:val="en-AU"/>
        </w:rPr>
      </w:pPr>
      <w:r>
        <w:rPr>
          <w:rStyle w:val="FootnoteReference"/>
        </w:rPr>
        <w:footnoteRef/>
      </w:r>
      <w:r>
        <w:t xml:space="preserve"> </w:t>
      </w:r>
      <w:r>
        <w:rPr>
          <w:lang w:val="en-AU"/>
        </w:rPr>
        <w:t>This is again an error. It should be unit 2.</w:t>
      </w:r>
    </w:p>
  </w:footnote>
  <w:footnote w:id="4">
    <w:p w14:paraId="66BC30E3" w14:textId="4079D585" w:rsidR="009E1A6F" w:rsidRPr="00EE5C30" w:rsidRDefault="009E1A6F">
      <w:pPr>
        <w:pStyle w:val="FootnoteText"/>
        <w:rPr>
          <w:lang w:val="en-AU"/>
        </w:rPr>
      </w:pPr>
      <w:r>
        <w:rPr>
          <w:rStyle w:val="FootnoteReference"/>
        </w:rPr>
        <w:footnoteRef/>
      </w:r>
      <w:r>
        <w:t xml:space="preserve"> </w:t>
      </w:r>
      <w:r>
        <w:rPr>
          <w:lang w:val="en-AU"/>
        </w:rPr>
        <w:t>The offence provisions of the Act were those in force at the time of the alleged offending conduct</w:t>
      </w:r>
    </w:p>
  </w:footnote>
  <w:footnote w:id="5">
    <w:p w14:paraId="37C2AD68" w14:textId="77777777" w:rsidR="009E1A6F" w:rsidRPr="000D09E1" w:rsidRDefault="009E1A6F" w:rsidP="00D160EA">
      <w:pPr>
        <w:pStyle w:val="FootnoteText"/>
        <w:jc w:val="both"/>
        <w:rPr>
          <w:lang w:val="en-AU"/>
        </w:rPr>
      </w:pPr>
      <w:r>
        <w:rPr>
          <w:rStyle w:val="FootnoteReference"/>
        </w:rPr>
        <w:footnoteRef/>
      </w:r>
      <w:r>
        <w:t xml:space="preserve"> </w:t>
      </w:r>
      <w:r>
        <w:rPr>
          <w:lang w:val="en-AU"/>
        </w:rPr>
        <w:t>(1938) 60 CLR 336 per Dixon J at 361-362.</w:t>
      </w:r>
    </w:p>
  </w:footnote>
  <w:footnote w:id="6">
    <w:p w14:paraId="3A253077" w14:textId="1053FE88" w:rsidR="009E1A6F" w:rsidRPr="00EE5C30" w:rsidRDefault="009E1A6F">
      <w:pPr>
        <w:pStyle w:val="FootnoteText"/>
        <w:rPr>
          <w:lang w:val="en-AU"/>
        </w:rPr>
      </w:pPr>
      <w:r>
        <w:rPr>
          <w:rStyle w:val="FootnoteReference"/>
        </w:rPr>
        <w:footnoteRef/>
      </w:r>
      <w:r>
        <w:t xml:space="preserve"> </w:t>
      </w:r>
      <w:r>
        <w:rPr>
          <w:lang w:val="en-AU"/>
        </w:rPr>
        <w:t>See the floor plan specified in Attachment R of the Inquiry Book (page 46-49)</w:t>
      </w:r>
    </w:p>
  </w:footnote>
  <w:footnote w:id="7">
    <w:p w14:paraId="3059293B" w14:textId="64D32AC0" w:rsidR="009E1A6F" w:rsidRPr="00EE5C30" w:rsidRDefault="009E1A6F">
      <w:pPr>
        <w:pStyle w:val="FootnoteText"/>
        <w:rPr>
          <w:lang w:val="en-AU"/>
        </w:rPr>
      </w:pPr>
      <w:r>
        <w:rPr>
          <w:rStyle w:val="FootnoteReference"/>
        </w:rPr>
        <w:footnoteRef/>
      </w:r>
      <w:r>
        <w:t xml:space="preserve"> </w:t>
      </w:r>
      <w:r>
        <w:rPr>
          <w:lang w:val="en-AU"/>
        </w:rPr>
        <w:t>To be precise, Ms Roberts would appear to be the sole owner of unit 3 and the joint owner- with Mr J Roberts- of unit 2. See exhibit 2, page 2.</w:t>
      </w:r>
    </w:p>
  </w:footnote>
  <w:footnote w:id="8">
    <w:p w14:paraId="655266C7" w14:textId="12A19E05" w:rsidR="009E1A6F" w:rsidRPr="00EE5C30" w:rsidRDefault="009E1A6F">
      <w:pPr>
        <w:pStyle w:val="FootnoteText"/>
        <w:rPr>
          <w:lang w:val="en-AU"/>
        </w:rPr>
      </w:pPr>
      <w:r>
        <w:rPr>
          <w:rStyle w:val="FootnoteReference"/>
        </w:rPr>
        <w:footnoteRef/>
      </w:r>
      <w:r>
        <w:t xml:space="preserve"> </w:t>
      </w:r>
      <w:r>
        <w:rPr>
          <w:lang w:val="en-AU"/>
        </w:rPr>
        <w:t>Page 49 Inquiry Book</w:t>
      </w:r>
    </w:p>
  </w:footnote>
  <w:footnote w:id="9">
    <w:p w14:paraId="2678D57E" w14:textId="3A38CF03" w:rsidR="009E1A6F" w:rsidRPr="00C0006F" w:rsidRDefault="009E1A6F" w:rsidP="009F6D4C">
      <w:pPr>
        <w:pStyle w:val="FootnoteText"/>
        <w:rPr>
          <w:lang w:val="en-AU"/>
        </w:rPr>
      </w:pPr>
      <w:r>
        <w:rPr>
          <w:rStyle w:val="FootnoteReference"/>
        </w:rPr>
        <w:footnoteRef/>
      </w:r>
      <w:r>
        <w:t xml:space="preserve"> </w:t>
      </w:r>
      <w:r>
        <w:rPr>
          <w:lang w:val="en-AU"/>
        </w:rPr>
        <w:t>Page 38 &amp; 39 of Inquiry Book. The date is almost 2 months ahead of the email of 25 Jan.</w:t>
      </w:r>
    </w:p>
  </w:footnote>
  <w:footnote w:id="10">
    <w:p w14:paraId="04A31C51" w14:textId="2750733D" w:rsidR="009E1A6F" w:rsidRPr="00C0006F" w:rsidRDefault="009E1A6F" w:rsidP="009F6D4C">
      <w:pPr>
        <w:pStyle w:val="FootnoteText"/>
        <w:rPr>
          <w:lang w:val="en-AU"/>
        </w:rPr>
      </w:pPr>
      <w:r>
        <w:rPr>
          <w:rStyle w:val="FootnoteReference"/>
        </w:rPr>
        <w:footnoteRef/>
      </w:r>
      <w:r>
        <w:t xml:space="preserve"> </w:t>
      </w:r>
      <w:r>
        <w:rPr>
          <w:lang w:val="en-AU"/>
        </w:rPr>
        <w:t>See p 16, Inquiry Book</w:t>
      </w:r>
    </w:p>
  </w:footnote>
  <w:footnote w:id="11">
    <w:p w14:paraId="0082053A" w14:textId="77777777" w:rsidR="009E1A6F" w:rsidRPr="00C0006F" w:rsidRDefault="009E1A6F" w:rsidP="009F6D4C">
      <w:pPr>
        <w:pStyle w:val="FootnoteText"/>
        <w:rPr>
          <w:lang w:val="en-AU"/>
        </w:rPr>
      </w:pPr>
      <w:r>
        <w:rPr>
          <w:rStyle w:val="FootnoteReference"/>
        </w:rPr>
        <w:footnoteRef/>
      </w:r>
      <w:r>
        <w:t xml:space="preserve"> </w:t>
      </w:r>
      <w:r>
        <w:rPr>
          <w:lang w:val="en-AU"/>
        </w:rPr>
        <w:t>The date of the sending of this email is not specified in the Inquiry Book</w:t>
      </w:r>
    </w:p>
  </w:footnote>
  <w:footnote w:id="12">
    <w:p w14:paraId="39B566BA" w14:textId="2ADAC8B8" w:rsidR="009E1A6F" w:rsidRPr="00EE5C30" w:rsidRDefault="009E1A6F">
      <w:pPr>
        <w:pStyle w:val="FootnoteText"/>
        <w:rPr>
          <w:lang w:val="en-AU"/>
        </w:rPr>
      </w:pPr>
      <w:r>
        <w:rPr>
          <w:rStyle w:val="FootnoteReference"/>
        </w:rPr>
        <w:footnoteRef/>
      </w:r>
      <w:r>
        <w:t xml:space="preserve"> </w:t>
      </w:r>
      <w:r>
        <w:rPr>
          <w:lang w:val="en-AU"/>
        </w:rPr>
        <w:t>Page 37, Inquiry book</w:t>
      </w:r>
    </w:p>
  </w:footnote>
  <w:footnote w:id="13">
    <w:p w14:paraId="6349DFC0" w14:textId="4DFE2297" w:rsidR="009E1A6F" w:rsidRPr="00EE5C30" w:rsidRDefault="009E1A6F">
      <w:pPr>
        <w:pStyle w:val="FootnoteText"/>
        <w:rPr>
          <w:lang w:val="en-AU"/>
        </w:rPr>
      </w:pPr>
      <w:r>
        <w:rPr>
          <w:rStyle w:val="FootnoteReference"/>
        </w:rPr>
        <w:footnoteRef/>
      </w:r>
      <w:r>
        <w:t xml:space="preserve"> </w:t>
      </w:r>
      <w:r>
        <w:rPr>
          <w:lang w:val="en-AU"/>
        </w:rPr>
        <w:t>Page 37, Inquiry Book</w:t>
      </w:r>
    </w:p>
  </w:footnote>
  <w:footnote w:id="14">
    <w:p w14:paraId="186C6B89" w14:textId="5648AAF1" w:rsidR="009E1A6F" w:rsidRPr="00EE5C30" w:rsidRDefault="009E1A6F">
      <w:pPr>
        <w:pStyle w:val="FootnoteText"/>
        <w:rPr>
          <w:lang w:val="en-AU"/>
        </w:rPr>
      </w:pPr>
      <w:r>
        <w:rPr>
          <w:rStyle w:val="FootnoteReference"/>
        </w:rPr>
        <w:footnoteRef/>
      </w:r>
      <w:r>
        <w:t xml:space="preserve"> </w:t>
      </w:r>
      <w:r>
        <w:rPr>
          <w:lang w:val="en-AU"/>
        </w:rPr>
        <w:t>Reference was made to the owners being Michelle and John</w:t>
      </w:r>
    </w:p>
  </w:footnote>
  <w:footnote w:id="15">
    <w:p w14:paraId="3990BBAC" w14:textId="5BF70263" w:rsidR="009E1A6F" w:rsidRPr="00EE5C30" w:rsidRDefault="009E1A6F">
      <w:pPr>
        <w:pStyle w:val="FootnoteText"/>
        <w:rPr>
          <w:lang w:val="en-AU"/>
        </w:rPr>
      </w:pPr>
      <w:r>
        <w:rPr>
          <w:rStyle w:val="FootnoteReference"/>
        </w:rPr>
        <w:footnoteRef/>
      </w:r>
      <w:r>
        <w:t xml:space="preserve"> </w:t>
      </w:r>
      <w:r>
        <w:rPr>
          <w:lang w:val="en-AU"/>
        </w:rPr>
        <w:t>The unit entitlement value</w:t>
      </w:r>
    </w:p>
  </w:footnote>
  <w:footnote w:id="16">
    <w:p w14:paraId="65F4A3DB" w14:textId="02366724" w:rsidR="009E1A6F" w:rsidRPr="00EE5C30" w:rsidRDefault="009E1A6F">
      <w:pPr>
        <w:pStyle w:val="FootnoteText"/>
        <w:rPr>
          <w:lang w:val="en-AU"/>
        </w:rPr>
      </w:pPr>
      <w:r>
        <w:rPr>
          <w:rStyle w:val="FootnoteReference"/>
        </w:rPr>
        <w:footnoteRef/>
      </w:r>
      <w:r>
        <w:t xml:space="preserve"> </w:t>
      </w:r>
      <w:r>
        <w:rPr>
          <w:lang w:val="en-AU"/>
        </w:rPr>
        <w:t>EGM appears to have meant Extraordinary General Meeting</w:t>
      </w:r>
    </w:p>
  </w:footnote>
  <w:footnote w:id="17">
    <w:p w14:paraId="35DA6A53" w14:textId="516DEFD6" w:rsidR="009E1A6F" w:rsidRPr="00EE5C30" w:rsidRDefault="009E1A6F">
      <w:pPr>
        <w:pStyle w:val="FootnoteText"/>
        <w:rPr>
          <w:lang w:val="en-AU"/>
        </w:rPr>
      </w:pPr>
      <w:r>
        <w:rPr>
          <w:rStyle w:val="FootnoteReference"/>
        </w:rPr>
        <w:footnoteRef/>
      </w:r>
      <w:r>
        <w:t xml:space="preserve"> </w:t>
      </w:r>
      <w:r>
        <w:rPr>
          <w:lang w:val="en-AU"/>
        </w:rPr>
        <w:t>Page 6, Inquiry Book</w:t>
      </w:r>
    </w:p>
  </w:footnote>
  <w:footnote w:id="18">
    <w:p w14:paraId="6615FAF8" w14:textId="05267B18" w:rsidR="009E1A6F" w:rsidRPr="00EE5C30" w:rsidRDefault="009E1A6F">
      <w:pPr>
        <w:pStyle w:val="FootnoteText"/>
        <w:rPr>
          <w:lang w:val="en-AU"/>
        </w:rPr>
      </w:pPr>
      <w:r>
        <w:rPr>
          <w:rStyle w:val="FootnoteReference"/>
        </w:rPr>
        <w:footnoteRef/>
      </w:r>
      <w:r>
        <w:t xml:space="preserve"> </w:t>
      </w:r>
      <w:r>
        <w:rPr>
          <w:lang w:val="en-AU"/>
        </w:rPr>
        <w:t>Page 6, Inquiry Book</w:t>
      </w:r>
    </w:p>
  </w:footnote>
  <w:footnote w:id="19">
    <w:p w14:paraId="0A5075D0" w14:textId="7C1F7E01" w:rsidR="009E1A6F" w:rsidRPr="00EE5C30" w:rsidRDefault="009E1A6F">
      <w:pPr>
        <w:pStyle w:val="FootnoteText"/>
        <w:rPr>
          <w:lang w:val="en-AU"/>
        </w:rPr>
      </w:pPr>
      <w:r>
        <w:rPr>
          <w:rStyle w:val="FootnoteReference"/>
        </w:rPr>
        <w:footnoteRef/>
      </w:r>
      <w:r>
        <w:t xml:space="preserve"> </w:t>
      </w:r>
      <w:r>
        <w:rPr>
          <w:lang w:val="en-AU"/>
        </w:rPr>
        <w:t>Page 7, Inquiry Book</w:t>
      </w:r>
    </w:p>
  </w:footnote>
  <w:footnote w:id="20">
    <w:p w14:paraId="3FDD96C8" w14:textId="106C5797" w:rsidR="009E1A6F" w:rsidRPr="00EE5C30" w:rsidRDefault="009E1A6F">
      <w:pPr>
        <w:pStyle w:val="FootnoteText"/>
        <w:rPr>
          <w:lang w:val="en-AU"/>
        </w:rPr>
      </w:pPr>
      <w:r>
        <w:rPr>
          <w:rStyle w:val="FootnoteReference"/>
        </w:rPr>
        <w:footnoteRef/>
      </w:r>
      <w:r>
        <w:t xml:space="preserve"> </w:t>
      </w:r>
      <w:r>
        <w:rPr>
          <w:lang w:val="en-AU"/>
        </w:rPr>
        <w:t>Page 9, Inquiry Book</w:t>
      </w:r>
    </w:p>
  </w:footnote>
  <w:footnote w:id="21">
    <w:p w14:paraId="607ACEC7" w14:textId="02C3A7E6" w:rsidR="009E1A6F" w:rsidRPr="00EE5C30" w:rsidRDefault="009E1A6F">
      <w:pPr>
        <w:pStyle w:val="FootnoteText"/>
        <w:rPr>
          <w:lang w:val="en-AU"/>
        </w:rPr>
      </w:pPr>
      <w:r>
        <w:rPr>
          <w:rStyle w:val="FootnoteReference"/>
        </w:rPr>
        <w:footnoteRef/>
      </w:r>
      <w:r>
        <w:t xml:space="preserve"> </w:t>
      </w:r>
      <w:r>
        <w:rPr>
          <w:lang w:val="en-AU"/>
        </w:rPr>
        <w:t>Page 11, Inquiry Book</w:t>
      </w:r>
    </w:p>
  </w:footnote>
  <w:footnote w:id="22">
    <w:p w14:paraId="72D841F3" w14:textId="5D6DE919" w:rsidR="009E1A6F" w:rsidRPr="00EE5C30" w:rsidRDefault="009E1A6F">
      <w:pPr>
        <w:pStyle w:val="FootnoteText"/>
        <w:rPr>
          <w:lang w:val="en-AU"/>
        </w:rPr>
      </w:pPr>
      <w:r>
        <w:rPr>
          <w:rStyle w:val="FootnoteReference"/>
        </w:rPr>
        <w:footnoteRef/>
      </w:r>
      <w:r>
        <w:t xml:space="preserve"> </w:t>
      </w:r>
      <w:r>
        <w:rPr>
          <w:lang w:val="en-AU"/>
        </w:rPr>
        <w:t>Exhibit 4</w:t>
      </w:r>
    </w:p>
  </w:footnote>
  <w:footnote w:id="23">
    <w:p w14:paraId="13EF19F2" w14:textId="04E4923F" w:rsidR="009E1A6F" w:rsidRPr="00EE5C30" w:rsidRDefault="009E1A6F">
      <w:pPr>
        <w:pStyle w:val="FootnoteText"/>
        <w:rPr>
          <w:lang w:val="en-AU"/>
        </w:rPr>
      </w:pPr>
      <w:r>
        <w:rPr>
          <w:rStyle w:val="FootnoteReference"/>
        </w:rPr>
        <w:footnoteRef/>
      </w:r>
      <w:r>
        <w:t xml:space="preserve"> </w:t>
      </w:r>
      <w:r>
        <w:rPr>
          <w:lang w:val="en-AU"/>
        </w:rPr>
        <w:t>Exhibit 4</w:t>
      </w:r>
    </w:p>
  </w:footnote>
  <w:footnote w:id="24">
    <w:p w14:paraId="53065EB1" w14:textId="48A6F07E" w:rsidR="009E1A6F" w:rsidRPr="00EE5C30" w:rsidRDefault="009E1A6F">
      <w:pPr>
        <w:pStyle w:val="FootnoteText"/>
        <w:rPr>
          <w:lang w:val="en-AU"/>
        </w:rPr>
      </w:pPr>
      <w:r>
        <w:rPr>
          <w:rStyle w:val="FootnoteReference"/>
        </w:rPr>
        <w:footnoteRef/>
      </w:r>
      <w:r>
        <w:t xml:space="preserve"> </w:t>
      </w:r>
      <w:r>
        <w:rPr>
          <w:lang w:val="en-AU"/>
        </w:rPr>
        <w:t>Exhibit 4</w:t>
      </w:r>
    </w:p>
  </w:footnote>
  <w:footnote w:id="25">
    <w:p w14:paraId="188348ED" w14:textId="3879BE19" w:rsidR="009E1A6F" w:rsidRPr="00EE5C30" w:rsidRDefault="009E1A6F">
      <w:pPr>
        <w:pStyle w:val="FootnoteText"/>
        <w:rPr>
          <w:lang w:val="en-AU"/>
        </w:rPr>
      </w:pPr>
      <w:r>
        <w:rPr>
          <w:rStyle w:val="FootnoteReference"/>
        </w:rPr>
        <w:footnoteRef/>
      </w:r>
      <w:r>
        <w:t xml:space="preserve"> </w:t>
      </w:r>
      <w:r>
        <w:rPr>
          <w:lang w:val="en-AU"/>
        </w:rPr>
        <w:t>Exhibit 2</w:t>
      </w:r>
    </w:p>
  </w:footnote>
  <w:footnote w:id="26">
    <w:p w14:paraId="56D79B52" w14:textId="769ACB97" w:rsidR="009E1A6F" w:rsidRPr="00EE5C30" w:rsidRDefault="009E1A6F">
      <w:pPr>
        <w:pStyle w:val="FootnoteText"/>
        <w:rPr>
          <w:lang w:val="en-AU"/>
        </w:rPr>
      </w:pPr>
      <w:r>
        <w:rPr>
          <w:rStyle w:val="FootnoteReference"/>
        </w:rPr>
        <w:footnoteRef/>
      </w:r>
      <w:r>
        <w:t xml:space="preserve"> </w:t>
      </w:r>
      <w:r>
        <w:rPr>
          <w:lang w:val="en-AU"/>
        </w:rPr>
        <w:t>Page 54, Inquiry book</w:t>
      </w:r>
    </w:p>
  </w:footnote>
  <w:footnote w:id="27">
    <w:p w14:paraId="2FF914EA" w14:textId="35DA0CDC" w:rsidR="009E1A6F" w:rsidRPr="00EE5C30" w:rsidRDefault="009E1A6F">
      <w:pPr>
        <w:pStyle w:val="FootnoteText"/>
        <w:rPr>
          <w:lang w:val="en-AU"/>
        </w:rPr>
      </w:pPr>
      <w:r>
        <w:rPr>
          <w:rStyle w:val="FootnoteReference"/>
        </w:rPr>
        <w:footnoteRef/>
      </w:r>
      <w:r>
        <w:t xml:space="preserve"> </w:t>
      </w:r>
      <w:r>
        <w:rPr>
          <w:lang w:val="en-AU"/>
        </w:rPr>
        <w:t>Page 55, Inquiry book</w:t>
      </w:r>
    </w:p>
  </w:footnote>
  <w:footnote w:id="28">
    <w:p w14:paraId="577BCA5E" w14:textId="5404D9A9" w:rsidR="009E1A6F" w:rsidRPr="00EE5C30" w:rsidRDefault="009E1A6F">
      <w:pPr>
        <w:pStyle w:val="FootnoteText"/>
        <w:rPr>
          <w:lang w:val="en-AU"/>
        </w:rPr>
      </w:pPr>
      <w:r>
        <w:rPr>
          <w:rStyle w:val="FootnoteReference"/>
        </w:rPr>
        <w:footnoteRef/>
      </w:r>
      <w:r>
        <w:t xml:space="preserve"> </w:t>
      </w:r>
      <w:r>
        <w:rPr>
          <w:lang w:val="en-AU"/>
        </w:rPr>
        <w:t>Page 55, Inquiry book</w:t>
      </w:r>
    </w:p>
  </w:footnote>
  <w:footnote w:id="29">
    <w:p w14:paraId="5D7B1ABF" w14:textId="4A053256" w:rsidR="009E1A6F" w:rsidRPr="00EE5C30" w:rsidRDefault="009E1A6F">
      <w:pPr>
        <w:pStyle w:val="FootnoteText"/>
        <w:rPr>
          <w:lang w:val="en-AU"/>
        </w:rPr>
      </w:pPr>
      <w:r>
        <w:rPr>
          <w:rStyle w:val="FootnoteReference"/>
        </w:rPr>
        <w:footnoteRef/>
      </w:r>
      <w:r>
        <w:t xml:space="preserve"> </w:t>
      </w:r>
      <w:r>
        <w:rPr>
          <w:lang w:val="en-AU"/>
        </w:rPr>
        <w:t>At page 2 of Mr Maher’s written submission</w:t>
      </w:r>
    </w:p>
  </w:footnote>
  <w:footnote w:id="30">
    <w:p w14:paraId="5ED01350" w14:textId="3C6B33E1" w:rsidR="009E1A6F" w:rsidRPr="00EE5C30" w:rsidRDefault="009E1A6F">
      <w:pPr>
        <w:pStyle w:val="FootnoteText"/>
        <w:rPr>
          <w:lang w:val="en-AU"/>
        </w:rPr>
      </w:pPr>
      <w:r>
        <w:rPr>
          <w:rStyle w:val="FootnoteReference"/>
        </w:rPr>
        <w:footnoteRef/>
      </w:r>
      <w:r>
        <w:t xml:space="preserve"> </w:t>
      </w:r>
      <w:r>
        <w:rPr>
          <w:lang w:val="en-AU"/>
        </w:rPr>
        <w:t>This is an error. It should be unit 2</w:t>
      </w:r>
    </w:p>
  </w:footnote>
  <w:footnote w:id="31">
    <w:p w14:paraId="4823ABF3" w14:textId="2F35BF61" w:rsidR="009E1A6F" w:rsidRPr="00EE5C30" w:rsidRDefault="009E1A6F">
      <w:pPr>
        <w:pStyle w:val="FootnoteText"/>
        <w:rPr>
          <w:lang w:val="en-AU"/>
        </w:rPr>
      </w:pPr>
      <w:r>
        <w:rPr>
          <w:rStyle w:val="FootnoteReference"/>
        </w:rPr>
        <w:footnoteRef/>
      </w:r>
      <w:r>
        <w:t xml:space="preserve"> </w:t>
      </w:r>
      <w:r>
        <w:rPr>
          <w:lang w:val="en-AU"/>
        </w:rPr>
        <w:t>Page 40, Inquiry Book</w:t>
      </w:r>
    </w:p>
  </w:footnote>
  <w:footnote w:id="32">
    <w:p w14:paraId="3F2CF42C" w14:textId="409A8F25" w:rsidR="009E1A6F" w:rsidRPr="00EE5C30" w:rsidRDefault="009E1A6F">
      <w:pPr>
        <w:pStyle w:val="FootnoteText"/>
        <w:rPr>
          <w:lang w:val="en-AU"/>
        </w:rPr>
      </w:pPr>
      <w:r>
        <w:rPr>
          <w:rStyle w:val="FootnoteReference"/>
        </w:rPr>
        <w:footnoteRef/>
      </w:r>
      <w:r>
        <w:t xml:space="preserve"> </w:t>
      </w:r>
      <w:r>
        <w:rPr>
          <w:lang w:val="en-AU"/>
        </w:rPr>
        <w:t>See page 41 of the Inquiry Book</w:t>
      </w:r>
    </w:p>
  </w:footnote>
  <w:footnote w:id="33">
    <w:p w14:paraId="5696D4C3" w14:textId="5934E59C" w:rsidR="009E1A6F" w:rsidRPr="00EE5C30" w:rsidRDefault="009E1A6F">
      <w:pPr>
        <w:pStyle w:val="FootnoteText"/>
        <w:rPr>
          <w:lang w:val="en-AU"/>
        </w:rPr>
      </w:pPr>
      <w:r>
        <w:rPr>
          <w:rStyle w:val="FootnoteReference"/>
        </w:rPr>
        <w:footnoteRef/>
      </w:r>
      <w:r>
        <w:t xml:space="preserve"> Page 40, Inquiry Book</w:t>
      </w:r>
    </w:p>
  </w:footnote>
  <w:footnote w:id="34">
    <w:p w14:paraId="5DF493AB" w14:textId="4BF9198F" w:rsidR="009E1A6F" w:rsidRPr="00EE5C30" w:rsidRDefault="009E1A6F">
      <w:pPr>
        <w:pStyle w:val="FootnoteText"/>
        <w:rPr>
          <w:lang w:val="en-AU"/>
        </w:rPr>
      </w:pPr>
      <w:r>
        <w:rPr>
          <w:rStyle w:val="FootnoteReference"/>
        </w:rPr>
        <w:footnoteRef/>
      </w:r>
      <w:r>
        <w:t xml:space="preserve"> Page 38 &amp; 39 </w:t>
      </w:r>
      <w:r>
        <w:rPr>
          <w:lang w:val="en-AU"/>
        </w:rPr>
        <w:t>Inquiry Book</w:t>
      </w:r>
    </w:p>
  </w:footnote>
  <w:footnote w:id="35">
    <w:p w14:paraId="784E2BFB" w14:textId="337B0912" w:rsidR="009E1A6F" w:rsidRPr="00EE5C30" w:rsidRDefault="009E1A6F">
      <w:pPr>
        <w:pStyle w:val="FootnoteText"/>
        <w:rPr>
          <w:lang w:val="en-AU"/>
        </w:rPr>
      </w:pPr>
      <w:r>
        <w:rPr>
          <w:rStyle w:val="FootnoteReference"/>
        </w:rPr>
        <w:footnoteRef/>
      </w:r>
      <w:r>
        <w:t xml:space="preserve">  Page 10, </w:t>
      </w:r>
      <w:r>
        <w:rPr>
          <w:lang w:val="en-AU"/>
        </w:rPr>
        <w:t>Inquiry Book</w:t>
      </w:r>
    </w:p>
  </w:footnote>
  <w:footnote w:id="36">
    <w:p w14:paraId="159734A8" w14:textId="76BADAAC" w:rsidR="009E1A6F" w:rsidRPr="00EE5C30" w:rsidRDefault="009E1A6F">
      <w:pPr>
        <w:pStyle w:val="FootnoteText"/>
        <w:rPr>
          <w:lang w:val="en-AU"/>
        </w:rPr>
      </w:pPr>
      <w:r>
        <w:rPr>
          <w:rStyle w:val="FootnoteReference"/>
        </w:rPr>
        <w:footnoteRef/>
      </w:r>
      <w:r>
        <w:t xml:space="preserve"> </w:t>
      </w:r>
      <w:r>
        <w:rPr>
          <w:lang w:val="en-AU"/>
        </w:rPr>
        <w:t>Exhibit 6 contains the certificate of currency for the insurance policy, which was due to expire on 21 May 2017</w:t>
      </w:r>
    </w:p>
  </w:footnote>
  <w:footnote w:id="37">
    <w:p w14:paraId="1462AF7F" w14:textId="481B0FF6" w:rsidR="009E1A6F" w:rsidRPr="00EE5C30" w:rsidRDefault="009E1A6F">
      <w:pPr>
        <w:pStyle w:val="FootnoteText"/>
        <w:rPr>
          <w:lang w:val="en-AU"/>
        </w:rPr>
      </w:pPr>
      <w:r>
        <w:rPr>
          <w:rStyle w:val="FootnoteReference"/>
        </w:rPr>
        <w:footnoteRef/>
      </w:r>
      <w:r>
        <w:t xml:space="preserve"> </w:t>
      </w:r>
      <w:r>
        <w:rPr>
          <w:lang w:val="en-AU"/>
        </w:rPr>
        <w:t>Page 42 Inquiry Book (attachment 6)</w:t>
      </w:r>
    </w:p>
  </w:footnote>
  <w:footnote w:id="38">
    <w:p w14:paraId="3CDE85D9" w14:textId="170FB76E" w:rsidR="009E1A6F" w:rsidRPr="00EE5C30" w:rsidRDefault="009E1A6F">
      <w:pPr>
        <w:pStyle w:val="FootnoteText"/>
        <w:rPr>
          <w:lang w:val="en-AU"/>
        </w:rPr>
      </w:pPr>
      <w:r>
        <w:rPr>
          <w:rStyle w:val="FootnoteReference"/>
        </w:rPr>
        <w:footnoteRef/>
      </w:r>
      <w:r>
        <w:t xml:space="preserve"> </w:t>
      </w:r>
      <w:r>
        <w:rPr>
          <w:lang w:val="en-AU"/>
        </w:rPr>
        <w:t>The time is specified as 3.23pm</w:t>
      </w:r>
    </w:p>
  </w:footnote>
  <w:footnote w:id="39">
    <w:p w14:paraId="56572BEC" w14:textId="2DF4898B" w:rsidR="009E1A6F" w:rsidRPr="00EE5C30" w:rsidRDefault="009E1A6F">
      <w:pPr>
        <w:pStyle w:val="FootnoteText"/>
        <w:rPr>
          <w:lang w:val="en-AU"/>
        </w:rPr>
      </w:pPr>
      <w:r>
        <w:rPr>
          <w:rStyle w:val="FootnoteReference"/>
        </w:rPr>
        <w:footnoteRef/>
      </w:r>
      <w:r>
        <w:t xml:space="preserve"> </w:t>
      </w:r>
      <w:r>
        <w:rPr>
          <w:lang w:val="en-AU"/>
        </w:rPr>
        <w:t>Exhibit 5</w:t>
      </w:r>
    </w:p>
  </w:footnote>
  <w:footnote w:id="40">
    <w:p w14:paraId="59A31281" w14:textId="4172DED4" w:rsidR="009E1A6F" w:rsidRPr="00EE5C30" w:rsidRDefault="009E1A6F">
      <w:pPr>
        <w:pStyle w:val="FootnoteText"/>
        <w:rPr>
          <w:lang w:val="en-AU"/>
        </w:rPr>
      </w:pPr>
      <w:r>
        <w:rPr>
          <w:rStyle w:val="FootnoteReference"/>
        </w:rPr>
        <w:footnoteRef/>
      </w:r>
      <w:r>
        <w:t xml:space="preserve"> </w:t>
      </w:r>
      <w:r>
        <w:rPr>
          <w:lang w:val="en-AU"/>
        </w:rPr>
        <w:t>The time is specified as 3.10pm. As Ms Roberts’s message is in response to Ms Bruton’s message one of the times must be incorrect.</w:t>
      </w:r>
    </w:p>
  </w:footnote>
  <w:footnote w:id="41">
    <w:p w14:paraId="6D16A9F1" w14:textId="39EEFB24" w:rsidR="009E1A6F" w:rsidRPr="00EE5C30" w:rsidRDefault="009E1A6F">
      <w:pPr>
        <w:pStyle w:val="FootnoteText"/>
        <w:rPr>
          <w:lang w:val="en-AU"/>
        </w:rPr>
      </w:pPr>
      <w:r>
        <w:rPr>
          <w:rStyle w:val="FootnoteReference"/>
        </w:rPr>
        <w:footnoteRef/>
      </w:r>
      <w:r>
        <w:t xml:space="preserve"> </w:t>
      </w:r>
      <w:r>
        <w:rPr>
          <w:lang w:val="en-AU"/>
        </w:rPr>
        <w:t>Page 42, Inquiry Book</w:t>
      </w:r>
    </w:p>
  </w:footnote>
  <w:footnote w:id="42">
    <w:p w14:paraId="536C28DD" w14:textId="76A64DE1" w:rsidR="009E1A6F" w:rsidRDefault="009E1A6F">
      <w:pPr>
        <w:pStyle w:val="FootnoteText"/>
        <w:rPr>
          <w:lang w:val="en-AU"/>
        </w:rPr>
      </w:pPr>
      <w:r>
        <w:rPr>
          <w:rStyle w:val="FootnoteReference"/>
        </w:rPr>
        <w:footnoteRef/>
      </w:r>
      <w:r>
        <w:t xml:space="preserve"> She cced Dani, John and Isabel</w:t>
      </w:r>
    </w:p>
    <w:p w14:paraId="642D52F9" w14:textId="77777777" w:rsidR="009E1A6F" w:rsidRPr="00EE5C30" w:rsidRDefault="009E1A6F">
      <w:pPr>
        <w:pStyle w:val="FootnoteText"/>
        <w:rPr>
          <w:lang w:val="en-AU"/>
        </w:rPr>
      </w:pPr>
    </w:p>
  </w:footnote>
  <w:footnote w:id="43">
    <w:p w14:paraId="10F98E3C" w14:textId="099F1C3F" w:rsidR="009E1A6F" w:rsidRPr="00EE5C30" w:rsidRDefault="009E1A6F">
      <w:pPr>
        <w:pStyle w:val="FootnoteText"/>
        <w:rPr>
          <w:lang w:val="en-AU"/>
        </w:rPr>
      </w:pPr>
      <w:r>
        <w:rPr>
          <w:rStyle w:val="FootnoteReference"/>
        </w:rPr>
        <w:footnoteRef/>
      </w:r>
      <w:r>
        <w:t xml:space="preserve"> </w:t>
      </w:r>
      <w:r>
        <w:rPr>
          <w:lang w:val="en-AU"/>
        </w:rPr>
        <w:t>Jackson was a colleague of Casey Bruton at Whittles</w:t>
      </w:r>
    </w:p>
  </w:footnote>
  <w:footnote w:id="44">
    <w:p w14:paraId="22AD0D44" w14:textId="76F28942" w:rsidR="009E1A6F" w:rsidRPr="00EE5C30" w:rsidRDefault="009E1A6F">
      <w:pPr>
        <w:pStyle w:val="FootnoteText"/>
        <w:rPr>
          <w:lang w:val="en-AU"/>
        </w:rPr>
      </w:pPr>
      <w:r>
        <w:rPr>
          <w:rStyle w:val="FootnoteReference"/>
        </w:rPr>
        <w:footnoteRef/>
      </w:r>
      <w:r>
        <w:t xml:space="preserve"> </w:t>
      </w:r>
      <w:r>
        <w:rPr>
          <w:lang w:val="en-AU"/>
        </w:rPr>
        <w:t>Dani, Isabel, Michelle Roberts and John Roberts.</w:t>
      </w:r>
    </w:p>
  </w:footnote>
  <w:footnote w:id="45">
    <w:p w14:paraId="5F1C30CD" w14:textId="63BB1FC4" w:rsidR="009E1A6F" w:rsidRPr="00EE5C30" w:rsidRDefault="009E1A6F">
      <w:pPr>
        <w:pStyle w:val="FootnoteText"/>
        <w:rPr>
          <w:lang w:val="en-AU"/>
        </w:rPr>
      </w:pPr>
      <w:r>
        <w:rPr>
          <w:rStyle w:val="FootnoteReference"/>
        </w:rPr>
        <w:footnoteRef/>
      </w:r>
      <w:r>
        <w:t xml:space="preserve"> </w:t>
      </w:r>
      <w:r>
        <w:rPr>
          <w:lang w:val="en-AU"/>
        </w:rPr>
        <w:t>Page 11 &amp; 12, Inquiry Book</w:t>
      </w:r>
    </w:p>
  </w:footnote>
  <w:footnote w:id="46">
    <w:p w14:paraId="74452643" w14:textId="41A88943" w:rsidR="009E1A6F" w:rsidRPr="00EE5C30" w:rsidRDefault="009E1A6F">
      <w:pPr>
        <w:pStyle w:val="FootnoteText"/>
        <w:rPr>
          <w:lang w:val="en-AU"/>
        </w:rPr>
      </w:pPr>
      <w:r>
        <w:rPr>
          <w:rStyle w:val="FootnoteReference"/>
        </w:rPr>
        <w:footnoteRef/>
      </w:r>
      <w:r>
        <w:t xml:space="preserve"> </w:t>
      </w:r>
      <w:r>
        <w:rPr>
          <w:lang w:val="en-AU"/>
        </w:rPr>
        <w:t>Body Corporate and Corporation are used interchangeably.- as per the Unit Titles Act 1975. The Services Agreement refers to Body Corporate, whereas the allegations and particulars refer to Corporation.</w:t>
      </w:r>
    </w:p>
  </w:footnote>
  <w:footnote w:id="47">
    <w:p w14:paraId="41AFF63F" w14:textId="7BA2B61C" w:rsidR="009E1A6F" w:rsidRPr="00EE5C30" w:rsidRDefault="009E1A6F">
      <w:pPr>
        <w:pStyle w:val="FootnoteText"/>
        <w:rPr>
          <w:lang w:val="en-AU"/>
        </w:rPr>
      </w:pPr>
      <w:r>
        <w:rPr>
          <w:rStyle w:val="FootnoteReference"/>
        </w:rPr>
        <w:footnoteRef/>
      </w:r>
      <w:r>
        <w:t xml:space="preserve"> </w:t>
      </w:r>
      <w:r>
        <w:rPr>
          <w:lang w:val="en-AU"/>
        </w:rPr>
        <w:t>Page 51, Inquiry Book</w:t>
      </w:r>
    </w:p>
  </w:footnote>
  <w:footnote w:id="48">
    <w:p w14:paraId="697356B5" w14:textId="251BDF17" w:rsidR="009E1A6F" w:rsidRPr="00EE5C30" w:rsidRDefault="009E1A6F">
      <w:pPr>
        <w:pStyle w:val="FootnoteText"/>
        <w:rPr>
          <w:lang w:val="en-AU"/>
        </w:rPr>
      </w:pPr>
      <w:r>
        <w:rPr>
          <w:rStyle w:val="FootnoteReference"/>
        </w:rPr>
        <w:footnoteRef/>
      </w:r>
      <w:r>
        <w:t xml:space="preserve"> </w:t>
      </w:r>
      <w:r>
        <w:rPr>
          <w:lang w:val="en-AU"/>
        </w:rPr>
        <w:t>Page 51, Inquiry Book</w:t>
      </w:r>
    </w:p>
  </w:footnote>
  <w:footnote w:id="49">
    <w:p w14:paraId="49675381" w14:textId="7866F433" w:rsidR="009E1A6F" w:rsidRPr="00EE5C30" w:rsidRDefault="009E1A6F">
      <w:pPr>
        <w:pStyle w:val="FootnoteText"/>
        <w:rPr>
          <w:lang w:val="en-AU"/>
        </w:rPr>
      </w:pPr>
      <w:r>
        <w:rPr>
          <w:rStyle w:val="FootnoteReference"/>
        </w:rPr>
        <w:footnoteRef/>
      </w:r>
      <w:r>
        <w:t xml:space="preserve"> </w:t>
      </w:r>
      <w:r>
        <w:rPr>
          <w:lang w:val="en-AU"/>
        </w:rPr>
        <w:t>Page 52, Inquiry Book</w:t>
      </w:r>
    </w:p>
  </w:footnote>
  <w:footnote w:id="50">
    <w:p w14:paraId="0A73801E" w14:textId="161E9E15" w:rsidR="009E1A6F" w:rsidRPr="00EE5C30" w:rsidRDefault="009E1A6F">
      <w:pPr>
        <w:pStyle w:val="FootnoteText"/>
        <w:rPr>
          <w:lang w:val="en-AU"/>
        </w:rPr>
      </w:pPr>
      <w:r>
        <w:rPr>
          <w:rStyle w:val="FootnoteReference"/>
        </w:rPr>
        <w:footnoteRef/>
      </w:r>
      <w:r>
        <w:t xml:space="preserve"> </w:t>
      </w:r>
      <w:r>
        <w:rPr>
          <w:lang w:val="en-AU"/>
        </w:rPr>
        <w:t xml:space="preserve">There was no temporal reference in Clause 1.4. It does not for example say that insurances are to be renewed in a timely manner. Arguably, Whittles did in fact renew insurance but not in a timely manner. </w:t>
      </w:r>
    </w:p>
  </w:footnote>
  <w:footnote w:id="51">
    <w:p w14:paraId="5B0DF3E7" w14:textId="62D37298" w:rsidR="009E1A6F" w:rsidRPr="00EE5C30" w:rsidRDefault="009E1A6F">
      <w:pPr>
        <w:pStyle w:val="FootnoteText"/>
        <w:rPr>
          <w:lang w:val="en-AU"/>
        </w:rPr>
      </w:pPr>
      <w:r>
        <w:rPr>
          <w:rStyle w:val="FootnoteReference"/>
        </w:rPr>
        <w:footnoteRef/>
      </w:r>
      <w:r>
        <w:t xml:space="preserve"> </w:t>
      </w:r>
      <w:r>
        <w:rPr>
          <w:lang w:val="en-AU"/>
        </w:rPr>
        <w:t>Of the Services Agreement</w:t>
      </w:r>
    </w:p>
  </w:footnote>
  <w:footnote w:id="52">
    <w:p w14:paraId="6877CC3F" w14:textId="1B69A723" w:rsidR="009E1A6F" w:rsidRPr="00EE5C30" w:rsidRDefault="009E1A6F">
      <w:pPr>
        <w:pStyle w:val="FootnoteText"/>
        <w:rPr>
          <w:lang w:val="en-AU"/>
        </w:rPr>
      </w:pPr>
      <w:r>
        <w:rPr>
          <w:rStyle w:val="FootnoteReference"/>
        </w:rPr>
        <w:footnoteRef/>
      </w:r>
      <w:r>
        <w:t xml:space="preserve"> </w:t>
      </w:r>
      <w:r>
        <w:rPr>
          <w:lang w:val="en-AU"/>
        </w:rPr>
        <w:t>Para. 19 of Mr Maher’s submission. Later in his submission, at para. 29 he denies any duty under s 65(1)(d) was owed.</w:t>
      </w:r>
    </w:p>
  </w:footnote>
  <w:footnote w:id="53">
    <w:p w14:paraId="61586549" w14:textId="252912C5" w:rsidR="009E1A6F" w:rsidRPr="00EE5C30" w:rsidRDefault="009E1A6F">
      <w:pPr>
        <w:pStyle w:val="FootnoteText"/>
        <w:rPr>
          <w:lang w:val="en-AU"/>
        </w:rPr>
      </w:pPr>
      <w:r>
        <w:rPr>
          <w:rStyle w:val="FootnoteReference"/>
        </w:rPr>
        <w:footnoteRef/>
      </w:r>
      <w:r>
        <w:t xml:space="preserve"> </w:t>
      </w:r>
      <w:r>
        <w:rPr>
          <w:lang w:val="en-AU"/>
        </w:rPr>
        <w:t>In that case, a solicitor</w:t>
      </w:r>
    </w:p>
  </w:footnote>
  <w:footnote w:id="54">
    <w:p w14:paraId="682638BB" w14:textId="03D85921" w:rsidR="009E1A6F" w:rsidRPr="00EE5C30" w:rsidRDefault="009E1A6F">
      <w:pPr>
        <w:pStyle w:val="FootnoteText"/>
        <w:rPr>
          <w:lang w:val="en-AU"/>
        </w:rPr>
      </w:pPr>
      <w:r>
        <w:rPr>
          <w:rStyle w:val="FootnoteReference"/>
        </w:rPr>
        <w:footnoteRef/>
      </w:r>
      <w:r>
        <w:t xml:space="preserve"> </w:t>
      </w:r>
      <w:r>
        <w:rPr>
          <w:lang w:val="en-AU"/>
        </w:rPr>
        <w:t>[1978] 2 All ER 571 at 583</w:t>
      </w:r>
    </w:p>
  </w:footnote>
  <w:footnote w:id="55">
    <w:p w14:paraId="06664F7C" w14:textId="7D3C0EAA" w:rsidR="009E1A6F" w:rsidRPr="00EE5C30" w:rsidRDefault="009E1A6F">
      <w:pPr>
        <w:pStyle w:val="FootnoteText"/>
        <w:rPr>
          <w:lang w:val="en-AU"/>
        </w:rPr>
      </w:pPr>
      <w:r>
        <w:rPr>
          <w:rStyle w:val="FootnoteReference"/>
        </w:rPr>
        <w:footnoteRef/>
      </w:r>
      <w:r>
        <w:t xml:space="preserve"> </w:t>
      </w:r>
      <w:r>
        <w:rPr>
          <w:lang w:val="en-AU"/>
        </w:rPr>
        <w:t>Paragraph 19 of Mr Maher’s written submission</w:t>
      </w:r>
    </w:p>
  </w:footnote>
  <w:footnote w:id="56">
    <w:p w14:paraId="76F7D37A" w14:textId="114D0D15" w:rsidR="009E1A6F" w:rsidRPr="00EE5C30" w:rsidRDefault="009E1A6F">
      <w:pPr>
        <w:pStyle w:val="FootnoteText"/>
        <w:rPr>
          <w:lang w:val="en-AU"/>
        </w:rPr>
      </w:pPr>
      <w:r>
        <w:rPr>
          <w:rStyle w:val="FootnoteReference"/>
        </w:rPr>
        <w:footnoteRef/>
      </w:r>
      <w:r>
        <w:t xml:space="preserve"> </w:t>
      </w:r>
      <w:r>
        <w:rPr>
          <w:lang w:val="en-AU"/>
        </w:rPr>
        <w:t>Paragraph 29 of Mr Maher’s written submission</w:t>
      </w:r>
    </w:p>
  </w:footnote>
  <w:footnote w:id="57">
    <w:p w14:paraId="15F9C764" w14:textId="21829705" w:rsidR="009E1A6F" w:rsidRPr="00EE5C30" w:rsidRDefault="009E1A6F">
      <w:pPr>
        <w:pStyle w:val="FootnoteText"/>
        <w:rPr>
          <w:lang w:val="en-AU"/>
        </w:rPr>
      </w:pPr>
      <w:r>
        <w:rPr>
          <w:rStyle w:val="FootnoteReference"/>
        </w:rPr>
        <w:footnoteRef/>
      </w:r>
      <w:r>
        <w:t xml:space="preserve"> </w:t>
      </w:r>
      <w:r>
        <w:rPr>
          <w:lang w:val="en-AU"/>
        </w:rPr>
        <w:t>Para 15-165</w:t>
      </w:r>
    </w:p>
  </w:footnote>
  <w:footnote w:id="58">
    <w:p w14:paraId="689875D9" w14:textId="21E93536" w:rsidR="009E1A6F" w:rsidRPr="00EE5C30" w:rsidRDefault="009E1A6F">
      <w:pPr>
        <w:pStyle w:val="FootnoteText"/>
        <w:rPr>
          <w:lang w:val="en-AU"/>
        </w:rPr>
      </w:pPr>
      <w:r>
        <w:rPr>
          <w:rStyle w:val="FootnoteReference"/>
        </w:rPr>
        <w:footnoteRef/>
      </w:r>
      <w:r>
        <w:t xml:space="preserve"> </w:t>
      </w:r>
      <w:r>
        <w:rPr>
          <w:lang w:val="en-AU"/>
        </w:rPr>
        <w:t>Chown v Parrot (1863) 14  CBNS 74; 143 ER 372;  Re M (a debtor); Ex parte Dalgety &amp; Co Ltd (1909) 10 SR (NSW) 175 are, inter alia some of the authorised referenced by Professor Dal Pont in support of this principle.</w:t>
      </w:r>
    </w:p>
  </w:footnote>
  <w:footnote w:id="59">
    <w:p w14:paraId="5EA087B3" w14:textId="49475DC7" w:rsidR="009E1A6F" w:rsidRPr="00EE5C30" w:rsidRDefault="009E1A6F">
      <w:pPr>
        <w:pStyle w:val="FootnoteText"/>
        <w:rPr>
          <w:lang w:val="en-AU"/>
        </w:rPr>
      </w:pPr>
      <w:r>
        <w:rPr>
          <w:rStyle w:val="FootnoteReference"/>
        </w:rPr>
        <w:footnoteRef/>
      </w:r>
      <w:r>
        <w:t xml:space="preserve"> </w:t>
      </w:r>
      <w:r>
        <w:rPr>
          <w:lang w:val="en-AU"/>
        </w:rPr>
        <w:t>Russell v Hankey (1794) 6 Term Re 12; 101 ER 409 and Mallough v Barber (1815) 4 Camp 150; 171 ER 49; Pape v Westacott  [1894] 1 QB 272 at 279 ; (1893) 70 LT 18 CA</w:t>
      </w:r>
    </w:p>
  </w:footnote>
  <w:footnote w:id="60">
    <w:p w14:paraId="40085BA2" w14:textId="1AAE01DB" w:rsidR="009E1A6F" w:rsidRPr="00EE5C30" w:rsidRDefault="009E1A6F">
      <w:pPr>
        <w:pStyle w:val="FootnoteText"/>
        <w:rPr>
          <w:lang w:val="en-AU"/>
        </w:rPr>
      </w:pPr>
      <w:r>
        <w:rPr>
          <w:rStyle w:val="FootnoteReference"/>
        </w:rPr>
        <w:footnoteRef/>
      </w:r>
      <w:r>
        <w:t xml:space="preserve"> </w:t>
      </w:r>
      <w:r>
        <w:rPr>
          <w:lang w:val="en-AU"/>
        </w:rPr>
        <w:t>World Transport Agency Ltd v Royte (England) Ltd [1957] 1 Lloyd’s REP 381.</w:t>
      </w:r>
    </w:p>
  </w:footnote>
  <w:footnote w:id="61">
    <w:p w14:paraId="2E0FD9CC" w14:textId="6D6E902E" w:rsidR="009E1A6F" w:rsidRPr="00EE5C30" w:rsidRDefault="009E1A6F">
      <w:pPr>
        <w:pStyle w:val="FootnoteText"/>
        <w:rPr>
          <w:lang w:val="en-AU"/>
        </w:rPr>
      </w:pPr>
      <w:r>
        <w:rPr>
          <w:rStyle w:val="FootnoteReference"/>
        </w:rPr>
        <w:footnoteRef/>
      </w:r>
      <w:r>
        <w:t xml:space="preserve"> </w:t>
      </w:r>
      <w:r>
        <w:rPr>
          <w:lang w:val="en-AU"/>
        </w:rPr>
        <w:t>Farrer v Lacy; Hartland &amp; Co (1885) 31 Ch D 42; 55 LJ Ch 149; 53 LT 515, CA; Solomon v Barker (1862) 2  &amp; F 726; 175 ER 1258</w:t>
      </w:r>
    </w:p>
  </w:footnote>
  <w:footnote w:id="62">
    <w:p w14:paraId="47C0A581" w14:textId="232C8A3B" w:rsidR="009E1A6F" w:rsidRPr="00EE5C30" w:rsidRDefault="009E1A6F">
      <w:pPr>
        <w:pStyle w:val="FootnoteText"/>
        <w:rPr>
          <w:lang w:val="en-AU"/>
        </w:rPr>
      </w:pPr>
      <w:r>
        <w:rPr>
          <w:rStyle w:val="FootnoteReference"/>
        </w:rPr>
        <w:footnoteRef/>
      </w:r>
      <w:r>
        <w:rPr>
          <w:lang w:val="en-AU"/>
        </w:rPr>
        <w:t>Professor Dal Pont cites the seminal case of Beal v South Devon Railway Co (1864) 3 H &amp; C 337 at 341 and  many other cases  in support of this principle.</w:t>
      </w:r>
    </w:p>
  </w:footnote>
  <w:footnote w:id="63">
    <w:p w14:paraId="57927C62" w14:textId="0B4F5620" w:rsidR="009E1A6F" w:rsidRPr="00EE5C30" w:rsidRDefault="009E1A6F">
      <w:pPr>
        <w:pStyle w:val="FootnoteText"/>
        <w:rPr>
          <w:lang w:val="en-AU"/>
        </w:rPr>
      </w:pPr>
      <w:r>
        <w:rPr>
          <w:rStyle w:val="FootnoteReference"/>
        </w:rPr>
        <w:footnoteRef/>
      </w:r>
      <w:r>
        <w:t xml:space="preserve"> </w:t>
      </w:r>
      <w:r>
        <w:rPr>
          <w:lang w:val="en-AU"/>
        </w:rPr>
        <w:t>B Davis Lt v Tooth &amp; Co Ltd [1937]4 All ER 118 at 128, PC</w:t>
      </w:r>
    </w:p>
  </w:footnote>
  <w:footnote w:id="64">
    <w:p w14:paraId="03331466" w14:textId="38AEF751" w:rsidR="009E1A6F" w:rsidRPr="00EE5C30" w:rsidRDefault="009E1A6F">
      <w:pPr>
        <w:pStyle w:val="FootnoteText"/>
        <w:rPr>
          <w:lang w:val="en-AU"/>
        </w:rPr>
      </w:pPr>
      <w:r>
        <w:rPr>
          <w:rStyle w:val="FootnoteReference"/>
        </w:rPr>
        <w:footnoteRef/>
      </w:r>
      <w:r>
        <w:t xml:space="preserve"> </w:t>
      </w:r>
      <w:r>
        <w:rPr>
          <w:lang w:val="en-AU"/>
        </w:rPr>
        <w:t>Commonwealth Portland Cement Co Ltd v Weber Lohmann &amp; co Ltd [1905] AC 66, PC World Transport Agency Ltd v Royte (England) Ltd [1957] 1 Lloyd’s Rep 381</w:t>
      </w:r>
    </w:p>
  </w:footnote>
  <w:footnote w:id="65">
    <w:p w14:paraId="42C4ADC2" w14:textId="12DC8667" w:rsidR="009E1A6F" w:rsidRPr="00693E1F" w:rsidRDefault="009E1A6F">
      <w:pPr>
        <w:pStyle w:val="FootnoteText"/>
        <w:rPr>
          <w:lang w:val="en-AU"/>
        </w:rPr>
      </w:pPr>
      <w:r>
        <w:rPr>
          <w:rStyle w:val="FootnoteReference"/>
        </w:rPr>
        <w:footnoteRef/>
      </w:r>
      <w:r>
        <w:t xml:space="preserve"> </w:t>
      </w:r>
      <w:r>
        <w:rPr>
          <w:lang w:val="en-AU"/>
        </w:rPr>
        <w:t>(1981) 26 SASR 412</w:t>
      </w:r>
    </w:p>
  </w:footnote>
  <w:footnote w:id="66">
    <w:p w14:paraId="70C4AC24" w14:textId="66F750EE" w:rsidR="009E1A6F" w:rsidRPr="00EE5C30" w:rsidRDefault="009E1A6F">
      <w:pPr>
        <w:pStyle w:val="FootnoteText"/>
        <w:rPr>
          <w:lang w:val="en-AU"/>
        </w:rPr>
      </w:pPr>
      <w:r>
        <w:rPr>
          <w:rStyle w:val="FootnoteReference"/>
        </w:rPr>
        <w:footnoteRef/>
      </w:r>
      <w:r>
        <w:t xml:space="preserve"> </w:t>
      </w:r>
      <w:r>
        <w:rPr>
          <w:lang w:val="en-AU"/>
        </w:rPr>
        <w:t>Supra,  p 413</w:t>
      </w:r>
    </w:p>
  </w:footnote>
  <w:footnote w:id="67">
    <w:p w14:paraId="1445FE91" w14:textId="7251022B" w:rsidR="009E1A6F" w:rsidRPr="00EE5C30" w:rsidRDefault="009E1A6F">
      <w:pPr>
        <w:pStyle w:val="FootnoteText"/>
        <w:rPr>
          <w:lang w:val="en-AU"/>
        </w:rPr>
      </w:pPr>
      <w:r>
        <w:rPr>
          <w:rStyle w:val="FootnoteReference"/>
        </w:rPr>
        <w:footnoteRef/>
      </w:r>
      <w:r>
        <w:t xml:space="preserve"> </w:t>
      </w:r>
      <w:r>
        <w:rPr>
          <w:lang w:val="en-AU"/>
        </w:rPr>
        <w:t>The SA  equivalent of a real estate agent</w:t>
      </w:r>
    </w:p>
  </w:footnote>
  <w:footnote w:id="68">
    <w:p w14:paraId="17A39917" w14:textId="55BFB2D3" w:rsidR="009E1A6F" w:rsidRPr="00EE5C30" w:rsidRDefault="009E1A6F">
      <w:pPr>
        <w:pStyle w:val="FootnoteText"/>
        <w:rPr>
          <w:lang w:val="en-AU"/>
        </w:rPr>
      </w:pPr>
      <w:r>
        <w:rPr>
          <w:rStyle w:val="FootnoteReference"/>
        </w:rPr>
        <w:footnoteRef/>
      </w:r>
      <w:r>
        <w:t xml:space="preserve"> </w:t>
      </w:r>
      <w:r>
        <w:rPr>
          <w:lang w:val="en-AU"/>
        </w:rPr>
        <w:t>[1966] W. A. R. 172</w:t>
      </w:r>
    </w:p>
  </w:footnote>
  <w:footnote w:id="69">
    <w:p w14:paraId="07B0FD12" w14:textId="34E8A7CB" w:rsidR="009E1A6F" w:rsidRPr="00EE5C30" w:rsidRDefault="009E1A6F">
      <w:pPr>
        <w:pStyle w:val="FootnoteText"/>
        <w:rPr>
          <w:lang w:val="en-AU"/>
        </w:rPr>
      </w:pPr>
      <w:r>
        <w:rPr>
          <w:rStyle w:val="FootnoteReference"/>
        </w:rPr>
        <w:footnoteRef/>
      </w:r>
      <w:r>
        <w:t xml:space="preserve"> </w:t>
      </w:r>
      <w:r>
        <w:rPr>
          <w:lang w:val="en-AU"/>
        </w:rPr>
        <w:t>At [15.170]</w:t>
      </w:r>
    </w:p>
  </w:footnote>
  <w:footnote w:id="70">
    <w:p w14:paraId="100B08F0" w14:textId="45FCCFE0" w:rsidR="009E1A6F" w:rsidRPr="00EE5C30" w:rsidRDefault="009E1A6F">
      <w:pPr>
        <w:pStyle w:val="FootnoteText"/>
        <w:rPr>
          <w:lang w:val="en-AU"/>
        </w:rPr>
      </w:pPr>
      <w:r>
        <w:rPr>
          <w:rStyle w:val="FootnoteReference"/>
        </w:rPr>
        <w:footnoteRef/>
      </w:r>
      <w:r>
        <w:t xml:space="preserve"> </w:t>
      </w:r>
      <w:r>
        <w:rPr>
          <w:lang w:val="en-AU"/>
        </w:rPr>
        <w:t>Stafford v Conti Commodity Services Ltd [1981] 1 All ER 691 at 698 is one of numerous authorities cited by Professor Dal Pont on this point.</w:t>
      </w:r>
    </w:p>
  </w:footnote>
  <w:footnote w:id="71">
    <w:p w14:paraId="1A11E523" w14:textId="6FBAD460" w:rsidR="009E1A6F" w:rsidRPr="00EE5C30" w:rsidRDefault="009E1A6F">
      <w:pPr>
        <w:pStyle w:val="FootnoteText"/>
        <w:rPr>
          <w:lang w:val="en-AU"/>
        </w:rPr>
      </w:pPr>
      <w:r>
        <w:rPr>
          <w:rStyle w:val="FootnoteReference"/>
        </w:rPr>
        <w:footnoteRef/>
      </w:r>
      <w:r>
        <w:t xml:space="preserve"> </w:t>
      </w:r>
      <w:r>
        <w:rPr>
          <w:lang w:val="en-AU"/>
        </w:rPr>
        <w:t>Geoffrey W Hill &amp; Assocs (Insurance Brokers) Ltd Ltd v Squash Centre (Allawah North) Pty Ltd (1990)  6 ANZ Ins Ca 61-102 at 76-768 per Kirby P; Provincial Insurance Australia Pty Ltd v Consolidate Wood Products Pty Ltd (1991) 25 NSWLR 541 at 556 6 ANZ Ins Cas 61-066</w:t>
      </w:r>
    </w:p>
  </w:footnote>
  <w:footnote w:id="72">
    <w:p w14:paraId="79E89CFD" w14:textId="5A8EB244" w:rsidR="009E1A6F" w:rsidRPr="00EE5C30" w:rsidRDefault="009E1A6F">
      <w:pPr>
        <w:pStyle w:val="FootnoteText"/>
        <w:rPr>
          <w:lang w:val="en-AU"/>
        </w:rPr>
      </w:pPr>
      <w:r>
        <w:rPr>
          <w:rStyle w:val="FootnoteReference"/>
        </w:rPr>
        <w:footnoteRef/>
      </w:r>
      <w:r>
        <w:t xml:space="preserve"> </w:t>
      </w:r>
      <w:r>
        <w:rPr>
          <w:lang w:val="en-AU"/>
        </w:rPr>
        <w:t>The Learned author cites, inter alia to Geoffrey W Hill &amp; Assocs supra, as well as Provincial Insurance Australia supra.</w:t>
      </w:r>
    </w:p>
  </w:footnote>
  <w:footnote w:id="73">
    <w:p w14:paraId="0CA04A0E" w14:textId="1C031CBE" w:rsidR="009E1A6F" w:rsidRPr="00EE5C30" w:rsidRDefault="009E1A6F">
      <w:pPr>
        <w:pStyle w:val="FootnoteText"/>
        <w:rPr>
          <w:lang w:val="en-AU"/>
        </w:rPr>
      </w:pPr>
      <w:r>
        <w:rPr>
          <w:rStyle w:val="FootnoteReference"/>
        </w:rPr>
        <w:footnoteRef/>
      </w:r>
      <w:r>
        <w:t xml:space="preserve"> Professor Dal Pont cites: </w:t>
      </w:r>
      <w:r>
        <w:rPr>
          <w:lang w:val="en-AU"/>
        </w:rPr>
        <w:t>Yates Property Corp Pty Ltd (in liq) v Boland (1998) 85 FCR 84 ; 157 ALR 30; BC 9803621 at 65, 348.9 (reversed on appeal without casting doubt on this point Boland v Yates Property Corp Pty Ltd (1999) 167 ALR 575; 74 ALJR 209; (2000) AnZ ConvR  1919; (2000) Aust Tort Reports 81-538); Palios Meegan &amp; Nicholson Holdings Pty Ltd v Shore (2010) 108 SASR  31; 271 LSJS 414; [2010] SASCFC 21; BC201006247 at [39]-[41] per Gray J; Goddard Elliott (a firm) v Fritsch [2012] VSC 87; BC 201201151 at [412]-[417] per Bell J</w:t>
      </w:r>
    </w:p>
  </w:footnote>
  <w:footnote w:id="74">
    <w:p w14:paraId="1EB42F32" w14:textId="021D04E1" w:rsidR="009E1A6F" w:rsidRPr="00C95002" w:rsidRDefault="009E1A6F">
      <w:pPr>
        <w:pStyle w:val="FootnoteText"/>
        <w:rPr>
          <w:lang w:val="en-AU"/>
        </w:rPr>
      </w:pPr>
      <w:r>
        <w:rPr>
          <w:rStyle w:val="FootnoteReference"/>
        </w:rPr>
        <w:footnoteRef/>
      </w:r>
      <w:r>
        <w:t xml:space="preserve"> </w:t>
      </w:r>
      <w:r>
        <w:rPr>
          <w:lang w:val="en-AU"/>
        </w:rPr>
        <w:t>Turpin v Bilton (1843)  5 Man &amp; G 455; 134 ER 641</w:t>
      </w:r>
    </w:p>
  </w:footnote>
  <w:footnote w:id="75">
    <w:p w14:paraId="75AC43CC" w14:textId="41325F27" w:rsidR="009E1A6F" w:rsidRPr="00C95002" w:rsidRDefault="009E1A6F">
      <w:pPr>
        <w:pStyle w:val="FootnoteText"/>
        <w:rPr>
          <w:lang w:val="en-AU"/>
        </w:rPr>
      </w:pPr>
      <w:r>
        <w:rPr>
          <w:rStyle w:val="FootnoteReference"/>
        </w:rPr>
        <w:footnoteRef/>
      </w:r>
      <w:r>
        <w:t xml:space="preserve"> </w:t>
      </w:r>
      <w:r>
        <w:rPr>
          <w:lang w:val="en-AU"/>
        </w:rPr>
        <w:t>Howell v Bennet &amp; Fisher Ltd [1966] SASR 188 ; Greenwood v Harvey [1965] NSWR 1489; Proudfoot v Montefiore  (1867) LR 2 QB 511.; Havas v Cornish and Co Pty Ltd [1985] 2 Qd 353</w:t>
      </w:r>
    </w:p>
  </w:footnote>
  <w:footnote w:id="76">
    <w:p w14:paraId="2E52A401" w14:textId="2A73457B" w:rsidR="009E1A6F" w:rsidRPr="00EE5C30" w:rsidRDefault="009E1A6F">
      <w:pPr>
        <w:pStyle w:val="FootnoteText"/>
        <w:rPr>
          <w:lang w:val="en-AU"/>
        </w:rPr>
      </w:pPr>
      <w:r>
        <w:rPr>
          <w:rStyle w:val="FootnoteReference"/>
        </w:rPr>
        <w:footnoteRef/>
      </w:r>
      <w:r>
        <w:t xml:space="preserve"> </w:t>
      </w:r>
      <w:r>
        <w:rPr>
          <w:lang w:val="en-AU"/>
        </w:rPr>
        <w:t>There is no evidence of a committee nominee</w:t>
      </w:r>
    </w:p>
  </w:footnote>
  <w:footnote w:id="77">
    <w:p w14:paraId="037FD46B" w14:textId="05212D8F" w:rsidR="009E1A6F" w:rsidRPr="00EE5C30" w:rsidRDefault="009E1A6F">
      <w:pPr>
        <w:pStyle w:val="FootnoteText"/>
        <w:rPr>
          <w:lang w:val="en-AU"/>
        </w:rPr>
      </w:pPr>
      <w:r>
        <w:rPr>
          <w:rStyle w:val="FootnoteReference"/>
        </w:rPr>
        <w:footnoteRef/>
      </w:r>
      <w:r>
        <w:t xml:space="preserve"> Para. 64. </w:t>
      </w:r>
    </w:p>
  </w:footnote>
  <w:footnote w:id="78">
    <w:p w14:paraId="427C569D" w14:textId="71FB9A77" w:rsidR="009E1A6F" w:rsidRPr="00EE5C30" w:rsidRDefault="009E1A6F">
      <w:pPr>
        <w:pStyle w:val="FootnoteText"/>
        <w:rPr>
          <w:lang w:val="en-AU"/>
        </w:rPr>
      </w:pPr>
      <w:r>
        <w:rPr>
          <w:rStyle w:val="FootnoteReference"/>
        </w:rPr>
        <w:footnoteRef/>
      </w:r>
      <w:r>
        <w:t xml:space="preserve"> </w:t>
      </w:r>
      <w:r>
        <w:rPr>
          <w:lang w:val="en-AU"/>
        </w:rPr>
        <w:t>Oxford English Dictionary On Line version (2021)</w:t>
      </w:r>
    </w:p>
  </w:footnote>
  <w:footnote w:id="79">
    <w:p w14:paraId="1B5FB8A0" w14:textId="4978D2E0" w:rsidR="009E1A6F" w:rsidRPr="00362C1D" w:rsidRDefault="009E1A6F">
      <w:pPr>
        <w:pStyle w:val="FootnoteText"/>
        <w:rPr>
          <w:lang w:val="en-AU"/>
        </w:rPr>
      </w:pPr>
      <w:r>
        <w:rPr>
          <w:rStyle w:val="FootnoteReference"/>
        </w:rPr>
        <w:footnoteRef/>
      </w:r>
      <w:r>
        <w:t xml:space="preserve"> </w:t>
      </w:r>
      <w:r>
        <w:rPr>
          <w:lang w:val="en-AU"/>
        </w:rPr>
        <w:t>Ibid</w:t>
      </w:r>
    </w:p>
  </w:footnote>
  <w:footnote w:id="80">
    <w:p w14:paraId="5A7313D7" w14:textId="7F2ABD91" w:rsidR="009E1A6F" w:rsidRPr="001C341A" w:rsidRDefault="009E1A6F">
      <w:pPr>
        <w:pStyle w:val="FootnoteText"/>
        <w:rPr>
          <w:lang w:val="en-AU"/>
        </w:rPr>
      </w:pPr>
      <w:r>
        <w:rPr>
          <w:rStyle w:val="FootnoteReference"/>
        </w:rPr>
        <w:footnoteRef/>
      </w:r>
      <w:r>
        <w:t xml:space="preserve"> </w:t>
      </w:r>
      <w:r>
        <w:rPr>
          <w:lang w:val="en-AU"/>
        </w:rPr>
        <w:t>Inquiry Book, p 42 (at 3.10pm)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8D4DE" w14:textId="77777777" w:rsidR="009E1A6F" w:rsidRDefault="009E1A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D022D" w14:textId="77777777" w:rsidR="009E1A6F" w:rsidRDefault="009E1A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93EE" w14:textId="77777777" w:rsidR="009E1A6F" w:rsidRDefault="009E1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5B3F"/>
    <w:multiLevelType w:val="hybridMultilevel"/>
    <w:tmpl w:val="B95C98E6"/>
    <w:lvl w:ilvl="0" w:tplc="40DC9256">
      <w:start w:val="1"/>
      <w:numFmt w:val="decimal"/>
      <w:lvlText w:val="%1."/>
      <w:lvlJc w:val="left"/>
      <w:pPr>
        <w:ind w:left="1080" w:hanging="360"/>
      </w:pPr>
      <w:rPr>
        <w:rFonts w:hint="default"/>
        <w:b w:val="0"/>
        <w:i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A5310A"/>
    <w:multiLevelType w:val="hybridMultilevel"/>
    <w:tmpl w:val="9D041CB0"/>
    <w:lvl w:ilvl="0" w:tplc="A378C4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1E45B9"/>
    <w:multiLevelType w:val="hybridMultilevel"/>
    <w:tmpl w:val="DF0085DA"/>
    <w:lvl w:ilvl="0" w:tplc="77569F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7335C"/>
    <w:multiLevelType w:val="hybridMultilevel"/>
    <w:tmpl w:val="3CF6FA5E"/>
    <w:lvl w:ilvl="0" w:tplc="D652AF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F848AF"/>
    <w:multiLevelType w:val="hybridMultilevel"/>
    <w:tmpl w:val="D0A8395A"/>
    <w:lvl w:ilvl="0" w:tplc="8F5C44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9B4E75"/>
    <w:multiLevelType w:val="hybridMultilevel"/>
    <w:tmpl w:val="B95C98E6"/>
    <w:lvl w:ilvl="0" w:tplc="40DC9256">
      <w:start w:val="1"/>
      <w:numFmt w:val="decimal"/>
      <w:lvlText w:val="%1."/>
      <w:lvlJc w:val="left"/>
      <w:pPr>
        <w:ind w:left="1080" w:hanging="360"/>
      </w:pPr>
      <w:rPr>
        <w:rFonts w:hint="default"/>
        <w:b w:val="0"/>
        <w:i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9C0E0F"/>
    <w:multiLevelType w:val="hybridMultilevel"/>
    <w:tmpl w:val="DFE4EB7C"/>
    <w:lvl w:ilvl="0" w:tplc="533806DC">
      <w:start w:val="1"/>
      <w:numFmt w:val="decimal"/>
      <w:lvlText w:val="%1."/>
      <w:lvlJc w:val="left"/>
      <w:pPr>
        <w:ind w:left="1080" w:hanging="360"/>
      </w:pPr>
      <w:rPr>
        <w:rFonts w:hint="default"/>
        <w:i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1C35F2"/>
    <w:multiLevelType w:val="hybridMultilevel"/>
    <w:tmpl w:val="88C0A622"/>
    <w:lvl w:ilvl="0" w:tplc="41CA5DEC">
      <w:start w:val="1"/>
      <w:numFmt w:val="decimal"/>
      <w:lvlText w:val="%1."/>
      <w:lvlJc w:val="left"/>
      <w:pPr>
        <w:ind w:left="952" w:hanging="697"/>
        <w:jc w:val="right"/>
      </w:pPr>
      <w:rPr>
        <w:rFonts w:hint="default"/>
        <w:i w:val="0"/>
        <w:spacing w:val="-6"/>
        <w:w w:val="105"/>
      </w:rPr>
    </w:lvl>
    <w:lvl w:ilvl="1" w:tplc="0C09000F">
      <w:start w:val="1"/>
      <w:numFmt w:val="decimal"/>
      <w:lvlText w:val="%2."/>
      <w:lvlJc w:val="left"/>
      <w:pPr>
        <w:ind w:left="1665" w:hanging="823"/>
      </w:pPr>
      <w:rPr>
        <w:rFonts w:hint="default"/>
        <w:color w:val="262626"/>
        <w:spacing w:val="-1"/>
        <w:w w:val="99"/>
        <w:sz w:val="23"/>
        <w:szCs w:val="23"/>
      </w:rPr>
    </w:lvl>
    <w:lvl w:ilvl="2" w:tplc="0C09001B">
      <w:start w:val="1"/>
      <w:numFmt w:val="lowerRoman"/>
      <w:lvlText w:val="%3."/>
      <w:lvlJc w:val="right"/>
      <w:pPr>
        <w:ind w:left="2449" w:hanging="823"/>
      </w:pPr>
      <w:rPr>
        <w:rFonts w:hint="default"/>
      </w:rPr>
    </w:lvl>
    <w:lvl w:ilvl="3" w:tplc="0C090017">
      <w:start w:val="1"/>
      <w:numFmt w:val="lowerLetter"/>
      <w:lvlText w:val="%4)"/>
      <w:lvlJc w:val="left"/>
      <w:pPr>
        <w:ind w:left="3238" w:hanging="823"/>
      </w:pPr>
      <w:rPr>
        <w:rFonts w:hint="default"/>
      </w:rPr>
    </w:lvl>
    <w:lvl w:ilvl="4" w:tplc="0C09000F">
      <w:start w:val="1"/>
      <w:numFmt w:val="decimal"/>
      <w:lvlText w:val="%5."/>
      <w:lvlJc w:val="left"/>
      <w:pPr>
        <w:ind w:left="4028" w:hanging="823"/>
      </w:pPr>
      <w:rPr>
        <w:rFonts w:hint="default"/>
      </w:rPr>
    </w:lvl>
    <w:lvl w:ilvl="5" w:tplc="BA1683D2">
      <w:numFmt w:val="bullet"/>
      <w:lvlText w:val="•"/>
      <w:lvlJc w:val="left"/>
      <w:pPr>
        <w:ind w:left="4817" w:hanging="823"/>
      </w:pPr>
      <w:rPr>
        <w:rFonts w:hint="default"/>
      </w:rPr>
    </w:lvl>
    <w:lvl w:ilvl="6" w:tplc="A768E608">
      <w:numFmt w:val="bullet"/>
      <w:lvlText w:val="•"/>
      <w:lvlJc w:val="left"/>
      <w:pPr>
        <w:ind w:left="5606" w:hanging="823"/>
      </w:pPr>
      <w:rPr>
        <w:rFonts w:hint="default"/>
      </w:rPr>
    </w:lvl>
    <w:lvl w:ilvl="7" w:tplc="3C12E0A8">
      <w:numFmt w:val="bullet"/>
      <w:lvlText w:val="•"/>
      <w:lvlJc w:val="left"/>
      <w:pPr>
        <w:ind w:left="6396" w:hanging="823"/>
      </w:pPr>
      <w:rPr>
        <w:rFonts w:hint="default"/>
      </w:rPr>
    </w:lvl>
    <w:lvl w:ilvl="8" w:tplc="457AAFE0">
      <w:numFmt w:val="bullet"/>
      <w:lvlText w:val="•"/>
      <w:lvlJc w:val="left"/>
      <w:pPr>
        <w:ind w:left="7185" w:hanging="823"/>
      </w:pPr>
      <w:rPr>
        <w:rFonts w:hint="default"/>
      </w:rPr>
    </w:lvl>
  </w:abstractNum>
  <w:abstractNum w:abstractNumId="8" w15:restartNumberingAfterBreak="0">
    <w:nsid w:val="66882CAF"/>
    <w:multiLevelType w:val="hybridMultilevel"/>
    <w:tmpl w:val="0B788088"/>
    <w:lvl w:ilvl="0" w:tplc="80B2955A">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9" w15:restartNumberingAfterBreak="0">
    <w:nsid w:val="67A60CC2"/>
    <w:multiLevelType w:val="hybridMultilevel"/>
    <w:tmpl w:val="9DBCB7B0"/>
    <w:lvl w:ilvl="0" w:tplc="533806DC">
      <w:start w:val="1"/>
      <w:numFmt w:val="decimal"/>
      <w:lvlText w:val="%1."/>
      <w:lvlJc w:val="left"/>
      <w:pPr>
        <w:ind w:left="1080" w:hanging="360"/>
      </w:pPr>
      <w:rPr>
        <w:rFonts w:hint="default"/>
        <w:i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332D0D"/>
    <w:multiLevelType w:val="hybridMultilevel"/>
    <w:tmpl w:val="1D6E54CC"/>
    <w:lvl w:ilvl="0" w:tplc="04090019">
      <w:start w:val="1"/>
      <w:numFmt w:val="lowerLetter"/>
      <w:lvlText w:val="%1."/>
      <w:lvlJc w:val="left"/>
      <w:pPr>
        <w:ind w:left="180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B8278F"/>
    <w:multiLevelType w:val="hybridMultilevel"/>
    <w:tmpl w:val="B95C98E6"/>
    <w:lvl w:ilvl="0" w:tplc="40DC9256">
      <w:start w:val="1"/>
      <w:numFmt w:val="decimal"/>
      <w:lvlText w:val="%1."/>
      <w:lvlJc w:val="left"/>
      <w:pPr>
        <w:ind w:left="1080" w:hanging="360"/>
      </w:pPr>
      <w:rPr>
        <w:rFonts w:hint="default"/>
        <w:b w:val="0"/>
        <w:i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3"/>
  </w:num>
  <w:num w:numId="5">
    <w:abstractNumId w:val="1"/>
  </w:num>
  <w:num w:numId="6">
    <w:abstractNumId w:val="10"/>
  </w:num>
  <w:num w:numId="7">
    <w:abstractNumId w:val="9"/>
  </w:num>
  <w:num w:numId="8">
    <w:abstractNumId w:val="8"/>
  </w:num>
  <w:num w:numId="9">
    <w:abstractNumId w:val="7"/>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BED"/>
    <w:rsid w:val="00003227"/>
    <w:rsid w:val="00004C75"/>
    <w:rsid w:val="00016A78"/>
    <w:rsid w:val="000207C2"/>
    <w:rsid w:val="00022C2A"/>
    <w:rsid w:val="00023D22"/>
    <w:rsid w:val="00024305"/>
    <w:rsid w:val="00032EDE"/>
    <w:rsid w:val="00035336"/>
    <w:rsid w:val="0004166C"/>
    <w:rsid w:val="00042CE7"/>
    <w:rsid w:val="00043BD9"/>
    <w:rsid w:val="00051857"/>
    <w:rsid w:val="0006120F"/>
    <w:rsid w:val="00063AB0"/>
    <w:rsid w:val="00063BCF"/>
    <w:rsid w:val="00076E13"/>
    <w:rsid w:val="0008137B"/>
    <w:rsid w:val="0008639B"/>
    <w:rsid w:val="0009010B"/>
    <w:rsid w:val="0009426D"/>
    <w:rsid w:val="00094760"/>
    <w:rsid w:val="000975F1"/>
    <w:rsid w:val="000A0F30"/>
    <w:rsid w:val="000A69BB"/>
    <w:rsid w:val="000B16FD"/>
    <w:rsid w:val="000B4510"/>
    <w:rsid w:val="000C00AC"/>
    <w:rsid w:val="000C141A"/>
    <w:rsid w:val="000C6C37"/>
    <w:rsid w:val="000D09E1"/>
    <w:rsid w:val="000D35DB"/>
    <w:rsid w:val="000D39F9"/>
    <w:rsid w:val="000D5827"/>
    <w:rsid w:val="000D7462"/>
    <w:rsid w:val="000E2DB5"/>
    <w:rsid w:val="000E6970"/>
    <w:rsid w:val="000E6D63"/>
    <w:rsid w:val="000F7C0C"/>
    <w:rsid w:val="00100FC1"/>
    <w:rsid w:val="00104A04"/>
    <w:rsid w:val="0010607C"/>
    <w:rsid w:val="00122ACC"/>
    <w:rsid w:val="0012684E"/>
    <w:rsid w:val="001268C6"/>
    <w:rsid w:val="00134764"/>
    <w:rsid w:val="00134DB8"/>
    <w:rsid w:val="00137699"/>
    <w:rsid w:val="00140193"/>
    <w:rsid w:val="00141631"/>
    <w:rsid w:val="00144F3A"/>
    <w:rsid w:val="00152B13"/>
    <w:rsid w:val="00152EB0"/>
    <w:rsid w:val="00157AA7"/>
    <w:rsid w:val="00161FD4"/>
    <w:rsid w:val="0016736F"/>
    <w:rsid w:val="001702F6"/>
    <w:rsid w:val="001722C4"/>
    <w:rsid w:val="0018104F"/>
    <w:rsid w:val="00185FC4"/>
    <w:rsid w:val="00191D1B"/>
    <w:rsid w:val="0019301F"/>
    <w:rsid w:val="0019449D"/>
    <w:rsid w:val="0019652E"/>
    <w:rsid w:val="001A03F2"/>
    <w:rsid w:val="001B7296"/>
    <w:rsid w:val="001C1D3B"/>
    <w:rsid w:val="001C3009"/>
    <w:rsid w:val="001C341A"/>
    <w:rsid w:val="001C4719"/>
    <w:rsid w:val="00212A39"/>
    <w:rsid w:val="002166EC"/>
    <w:rsid w:val="00217ED9"/>
    <w:rsid w:val="00220D66"/>
    <w:rsid w:val="00221280"/>
    <w:rsid w:val="0022453D"/>
    <w:rsid w:val="00235544"/>
    <w:rsid w:val="002477E3"/>
    <w:rsid w:val="002511F0"/>
    <w:rsid w:val="002566B5"/>
    <w:rsid w:val="00267DCD"/>
    <w:rsid w:val="00283170"/>
    <w:rsid w:val="00283E7B"/>
    <w:rsid w:val="002879FC"/>
    <w:rsid w:val="00291435"/>
    <w:rsid w:val="00291B72"/>
    <w:rsid w:val="0029377B"/>
    <w:rsid w:val="00293E55"/>
    <w:rsid w:val="0029728E"/>
    <w:rsid w:val="002A7F5E"/>
    <w:rsid w:val="002B086C"/>
    <w:rsid w:val="002B4C22"/>
    <w:rsid w:val="002B57F1"/>
    <w:rsid w:val="002C024A"/>
    <w:rsid w:val="002D0125"/>
    <w:rsid w:val="002D3CDC"/>
    <w:rsid w:val="002E65C9"/>
    <w:rsid w:val="002E6E3A"/>
    <w:rsid w:val="002F1986"/>
    <w:rsid w:val="002F2D7E"/>
    <w:rsid w:val="002F4C20"/>
    <w:rsid w:val="002F59CC"/>
    <w:rsid w:val="00300748"/>
    <w:rsid w:val="00301BED"/>
    <w:rsid w:val="00302765"/>
    <w:rsid w:val="00306F5B"/>
    <w:rsid w:val="00313665"/>
    <w:rsid w:val="00317BA1"/>
    <w:rsid w:val="00320C09"/>
    <w:rsid w:val="00322E64"/>
    <w:rsid w:val="003264A9"/>
    <w:rsid w:val="00336194"/>
    <w:rsid w:val="003375BD"/>
    <w:rsid w:val="00344CDE"/>
    <w:rsid w:val="00353DFC"/>
    <w:rsid w:val="00356373"/>
    <w:rsid w:val="0036024F"/>
    <w:rsid w:val="0036092A"/>
    <w:rsid w:val="00362C1D"/>
    <w:rsid w:val="003631A6"/>
    <w:rsid w:val="00365D55"/>
    <w:rsid w:val="003669E8"/>
    <w:rsid w:val="00367C8F"/>
    <w:rsid w:val="0037087E"/>
    <w:rsid w:val="00370F18"/>
    <w:rsid w:val="003718E4"/>
    <w:rsid w:val="00373941"/>
    <w:rsid w:val="00382CB9"/>
    <w:rsid w:val="00382EB9"/>
    <w:rsid w:val="0038463F"/>
    <w:rsid w:val="00390B2B"/>
    <w:rsid w:val="00393F07"/>
    <w:rsid w:val="003B12CB"/>
    <w:rsid w:val="003B55FF"/>
    <w:rsid w:val="003C5CAC"/>
    <w:rsid w:val="003D25DB"/>
    <w:rsid w:val="003D329A"/>
    <w:rsid w:val="003D7E98"/>
    <w:rsid w:val="003E0E8F"/>
    <w:rsid w:val="003E4519"/>
    <w:rsid w:val="003F3687"/>
    <w:rsid w:val="003F36BD"/>
    <w:rsid w:val="003F3C02"/>
    <w:rsid w:val="004017F2"/>
    <w:rsid w:val="004036F9"/>
    <w:rsid w:val="004047A5"/>
    <w:rsid w:val="004074CC"/>
    <w:rsid w:val="00407BFB"/>
    <w:rsid w:val="00411760"/>
    <w:rsid w:val="00425251"/>
    <w:rsid w:val="00427EE9"/>
    <w:rsid w:val="00430B1F"/>
    <w:rsid w:val="00431D05"/>
    <w:rsid w:val="0043215C"/>
    <w:rsid w:val="004410D3"/>
    <w:rsid w:val="00443E58"/>
    <w:rsid w:val="00444696"/>
    <w:rsid w:val="00450933"/>
    <w:rsid w:val="00453C80"/>
    <w:rsid w:val="00455DBD"/>
    <w:rsid w:val="004605F8"/>
    <w:rsid w:val="00460B0E"/>
    <w:rsid w:val="00463263"/>
    <w:rsid w:val="00466E0C"/>
    <w:rsid w:val="0046784A"/>
    <w:rsid w:val="00470E98"/>
    <w:rsid w:val="004733AA"/>
    <w:rsid w:val="00474325"/>
    <w:rsid w:val="004822B0"/>
    <w:rsid w:val="00486E4D"/>
    <w:rsid w:val="00497814"/>
    <w:rsid w:val="004A13F2"/>
    <w:rsid w:val="004A2D40"/>
    <w:rsid w:val="004A2EEA"/>
    <w:rsid w:val="004A5F12"/>
    <w:rsid w:val="004A7BE3"/>
    <w:rsid w:val="004A7D4D"/>
    <w:rsid w:val="004B49EA"/>
    <w:rsid w:val="004B6E1B"/>
    <w:rsid w:val="004C3076"/>
    <w:rsid w:val="004D0D8F"/>
    <w:rsid w:val="004D3BBC"/>
    <w:rsid w:val="004E2928"/>
    <w:rsid w:val="004E7497"/>
    <w:rsid w:val="004F2052"/>
    <w:rsid w:val="004F697E"/>
    <w:rsid w:val="00500F89"/>
    <w:rsid w:val="00507E60"/>
    <w:rsid w:val="00512CC2"/>
    <w:rsid w:val="00513802"/>
    <w:rsid w:val="00522E50"/>
    <w:rsid w:val="00527ECE"/>
    <w:rsid w:val="00541179"/>
    <w:rsid w:val="00550158"/>
    <w:rsid w:val="00550829"/>
    <w:rsid w:val="00556DEB"/>
    <w:rsid w:val="005608BF"/>
    <w:rsid w:val="00574470"/>
    <w:rsid w:val="0057486F"/>
    <w:rsid w:val="005824E8"/>
    <w:rsid w:val="00591874"/>
    <w:rsid w:val="00593A87"/>
    <w:rsid w:val="00594042"/>
    <w:rsid w:val="00595CF2"/>
    <w:rsid w:val="005A0420"/>
    <w:rsid w:val="005A1150"/>
    <w:rsid w:val="005A2D6A"/>
    <w:rsid w:val="005A304D"/>
    <w:rsid w:val="005A319B"/>
    <w:rsid w:val="005A6766"/>
    <w:rsid w:val="005B0F1A"/>
    <w:rsid w:val="005B3C7B"/>
    <w:rsid w:val="005B7CF8"/>
    <w:rsid w:val="005C0F7C"/>
    <w:rsid w:val="005C17E9"/>
    <w:rsid w:val="005C5AB4"/>
    <w:rsid w:val="005C6389"/>
    <w:rsid w:val="005C6BDF"/>
    <w:rsid w:val="005D0420"/>
    <w:rsid w:val="005D2B53"/>
    <w:rsid w:val="005D3BE7"/>
    <w:rsid w:val="005E4F06"/>
    <w:rsid w:val="005E7A51"/>
    <w:rsid w:val="005F62E4"/>
    <w:rsid w:val="005F6486"/>
    <w:rsid w:val="005F6769"/>
    <w:rsid w:val="005F6E00"/>
    <w:rsid w:val="005F7CBC"/>
    <w:rsid w:val="006008F9"/>
    <w:rsid w:val="0060371C"/>
    <w:rsid w:val="00607762"/>
    <w:rsid w:val="006148C8"/>
    <w:rsid w:val="00615636"/>
    <w:rsid w:val="00615D0D"/>
    <w:rsid w:val="00620A0F"/>
    <w:rsid w:val="006260B2"/>
    <w:rsid w:val="00634A7D"/>
    <w:rsid w:val="006417AC"/>
    <w:rsid w:val="00644942"/>
    <w:rsid w:val="00650511"/>
    <w:rsid w:val="00650C77"/>
    <w:rsid w:val="00657EA1"/>
    <w:rsid w:val="0066242E"/>
    <w:rsid w:val="00666216"/>
    <w:rsid w:val="006718C7"/>
    <w:rsid w:val="00673861"/>
    <w:rsid w:val="00683952"/>
    <w:rsid w:val="006846AE"/>
    <w:rsid w:val="00693E1F"/>
    <w:rsid w:val="006974C7"/>
    <w:rsid w:val="00697729"/>
    <w:rsid w:val="006A4B2A"/>
    <w:rsid w:val="006B1933"/>
    <w:rsid w:val="006B5899"/>
    <w:rsid w:val="006B7C0D"/>
    <w:rsid w:val="006D0B3D"/>
    <w:rsid w:val="006D332D"/>
    <w:rsid w:val="006D3DA5"/>
    <w:rsid w:val="006D3EDA"/>
    <w:rsid w:val="006D5CE2"/>
    <w:rsid w:val="006D7303"/>
    <w:rsid w:val="006E4B37"/>
    <w:rsid w:val="006E6850"/>
    <w:rsid w:val="006F172D"/>
    <w:rsid w:val="006F270C"/>
    <w:rsid w:val="006F4347"/>
    <w:rsid w:val="006F520C"/>
    <w:rsid w:val="006F5E11"/>
    <w:rsid w:val="006F64AB"/>
    <w:rsid w:val="00712C58"/>
    <w:rsid w:val="00716B63"/>
    <w:rsid w:val="00725888"/>
    <w:rsid w:val="00726FCE"/>
    <w:rsid w:val="00730BAD"/>
    <w:rsid w:val="00734A86"/>
    <w:rsid w:val="00735AE9"/>
    <w:rsid w:val="0074239C"/>
    <w:rsid w:val="00756C64"/>
    <w:rsid w:val="00756DA9"/>
    <w:rsid w:val="0075702B"/>
    <w:rsid w:val="0076160A"/>
    <w:rsid w:val="00761C5A"/>
    <w:rsid w:val="0076523A"/>
    <w:rsid w:val="007670F3"/>
    <w:rsid w:val="00771295"/>
    <w:rsid w:val="0077656D"/>
    <w:rsid w:val="007812C3"/>
    <w:rsid w:val="00782F96"/>
    <w:rsid w:val="00783917"/>
    <w:rsid w:val="007845A5"/>
    <w:rsid w:val="00784F4B"/>
    <w:rsid w:val="00786E9D"/>
    <w:rsid w:val="00792001"/>
    <w:rsid w:val="007964C7"/>
    <w:rsid w:val="00797B6C"/>
    <w:rsid w:val="007A0216"/>
    <w:rsid w:val="007A71B0"/>
    <w:rsid w:val="007B094C"/>
    <w:rsid w:val="007B0E10"/>
    <w:rsid w:val="007B3733"/>
    <w:rsid w:val="007B6772"/>
    <w:rsid w:val="007B7AAC"/>
    <w:rsid w:val="007C25B3"/>
    <w:rsid w:val="007C34DD"/>
    <w:rsid w:val="007C3508"/>
    <w:rsid w:val="007C4517"/>
    <w:rsid w:val="007D6A76"/>
    <w:rsid w:val="007D6DD0"/>
    <w:rsid w:val="007E012C"/>
    <w:rsid w:val="007E1AF4"/>
    <w:rsid w:val="007E365E"/>
    <w:rsid w:val="007F63BB"/>
    <w:rsid w:val="007F6466"/>
    <w:rsid w:val="007F64B3"/>
    <w:rsid w:val="008017B2"/>
    <w:rsid w:val="00801DB1"/>
    <w:rsid w:val="00803F5F"/>
    <w:rsid w:val="00804EAA"/>
    <w:rsid w:val="0081629A"/>
    <w:rsid w:val="00820D8C"/>
    <w:rsid w:val="00822402"/>
    <w:rsid w:val="00823767"/>
    <w:rsid w:val="008260F7"/>
    <w:rsid w:val="00842C63"/>
    <w:rsid w:val="00843658"/>
    <w:rsid w:val="00850966"/>
    <w:rsid w:val="0085616E"/>
    <w:rsid w:val="00857864"/>
    <w:rsid w:val="00861D94"/>
    <w:rsid w:val="008653F7"/>
    <w:rsid w:val="008744FD"/>
    <w:rsid w:val="00886B19"/>
    <w:rsid w:val="0089162D"/>
    <w:rsid w:val="0089403F"/>
    <w:rsid w:val="008A4E53"/>
    <w:rsid w:val="008A5B5A"/>
    <w:rsid w:val="008A7792"/>
    <w:rsid w:val="008B3BFD"/>
    <w:rsid w:val="008C5D17"/>
    <w:rsid w:val="008D468C"/>
    <w:rsid w:val="008D6699"/>
    <w:rsid w:val="008D7441"/>
    <w:rsid w:val="008E01A6"/>
    <w:rsid w:val="008F0BBA"/>
    <w:rsid w:val="008F36CC"/>
    <w:rsid w:val="00903185"/>
    <w:rsid w:val="00904462"/>
    <w:rsid w:val="0090447A"/>
    <w:rsid w:val="0091102E"/>
    <w:rsid w:val="00911DA5"/>
    <w:rsid w:val="00915068"/>
    <w:rsid w:val="0091601C"/>
    <w:rsid w:val="009172F7"/>
    <w:rsid w:val="009204CE"/>
    <w:rsid w:val="009218AC"/>
    <w:rsid w:val="00924946"/>
    <w:rsid w:val="00930A56"/>
    <w:rsid w:val="00930F1E"/>
    <w:rsid w:val="0093577C"/>
    <w:rsid w:val="0094328D"/>
    <w:rsid w:val="009466F5"/>
    <w:rsid w:val="009529BC"/>
    <w:rsid w:val="0095326E"/>
    <w:rsid w:val="00953CC0"/>
    <w:rsid w:val="00956D68"/>
    <w:rsid w:val="009577BD"/>
    <w:rsid w:val="00960CC6"/>
    <w:rsid w:val="009656BF"/>
    <w:rsid w:val="009677BE"/>
    <w:rsid w:val="00972EE4"/>
    <w:rsid w:val="00973234"/>
    <w:rsid w:val="00973960"/>
    <w:rsid w:val="00975213"/>
    <w:rsid w:val="00977D1D"/>
    <w:rsid w:val="00982DE3"/>
    <w:rsid w:val="00983DD1"/>
    <w:rsid w:val="00983EC4"/>
    <w:rsid w:val="00985ACC"/>
    <w:rsid w:val="009A3C38"/>
    <w:rsid w:val="009A5B14"/>
    <w:rsid w:val="009A61A8"/>
    <w:rsid w:val="009B5D46"/>
    <w:rsid w:val="009C695D"/>
    <w:rsid w:val="009D0F74"/>
    <w:rsid w:val="009D38E9"/>
    <w:rsid w:val="009D3F0F"/>
    <w:rsid w:val="009D714E"/>
    <w:rsid w:val="009E0D34"/>
    <w:rsid w:val="009E1463"/>
    <w:rsid w:val="009E18DB"/>
    <w:rsid w:val="009E1A6F"/>
    <w:rsid w:val="009E2AE7"/>
    <w:rsid w:val="009E4203"/>
    <w:rsid w:val="009E7E39"/>
    <w:rsid w:val="009F6D4C"/>
    <w:rsid w:val="009F70B0"/>
    <w:rsid w:val="009F7262"/>
    <w:rsid w:val="00A0216A"/>
    <w:rsid w:val="00A02637"/>
    <w:rsid w:val="00A12406"/>
    <w:rsid w:val="00A125F1"/>
    <w:rsid w:val="00A126C3"/>
    <w:rsid w:val="00A13401"/>
    <w:rsid w:val="00A1591A"/>
    <w:rsid w:val="00A15D51"/>
    <w:rsid w:val="00A1602E"/>
    <w:rsid w:val="00A177FD"/>
    <w:rsid w:val="00A368C5"/>
    <w:rsid w:val="00A44DAE"/>
    <w:rsid w:val="00A46B70"/>
    <w:rsid w:val="00A47C5A"/>
    <w:rsid w:val="00A53E01"/>
    <w:rsid w:val="00A54916"/>
    <w:rsid w:val="00A56DF4"/>
    <w:rsid w:val="00A57A36"/>
    <w:rsid w:val="00A664A9"/>
    <w:rsid w:val="00A70B8F"/>
    <w:rsid w:val="00A7437E"/>
    <w:rsid w:val="00A77CD7"/>
    <w:rsid w:val="00A8170F"/>
    <w:rsid w:val="00A85C69"/>
    <w:rsid w:val="00A9562F"/>
    <w:rsid w:val="00A96353"/>
    <w:rsid w:val="00A96FE7"/>
    <w:rsid w:val="00AA0F1D"/>
    <w:rsid w:val="00AA107B"/>
    <w:rsid w:val="00AA3313"/>
    <w:rsid w:val="00AA3F7E"/>
    <w:rsid w:val="00AA5002"/>
    <w:rsid w:val="00AA560B"/>
    <w:rsid w:val="00AA60B3"/>
    <w:rsid w:val="00AB5151"/>
    <w:rsid w:val="00AC23A3"/>
    <w:rsid w:val="00AC2F56"/>
    <w:rsid w:val="00AC4412"/>
    <w:rsid w:val="00AD1391"/>
    <w:rsid w:val="00AE5E9C"/>
    <w:rsid w:val="00AE671F"/>
    <w:rsid w:val="00AF06DC"/>
    <w:rsid w:val="00AF2B43"/>
    <w:rsid w:val="00AF41B0"/>
    <w:rsid w:val="00B0212B"/>
    <w:rsid w:val="00B041B4"/>
    <w:rsid w:val="00B060D4"/>
    <w:rsid w:val="00B069D0"/>
    <w:rsid w:val="00B0733E"/>
    <w:rsid w:val="00B116AB"/>
    <w:rsid w:val="00B11BE8"/>
    <w:rsid w:val="00B17B73"/>
    <w:rsid w:val="00B17D7C"/>
    <w:rsid w:val="00B17F93"/>
    <w:rsid w:val="00B22267"/>
    <w:rsid w:val="00B24CE2"/>
    <w:rsid w:val="00B30D41"/>
    <w:rsid w:val="00B36B9C"/>
    <w:rsid w:val="00B40462"/>
    <w:rsid w:val="00B4151F"/>
    <w:rsid w:val="00B44657"/>
    <w:rsid w:val="00B47E78"/>
    <w:rsid w:val="00B5057A"/>
    <w:rsid w:val="00B54DE6"/>
    <w:rsid w:val="00B57C6C"/>
    <w:rsid w:val="00B57E18"/>
    <w:rsid w:val="00B650A1"/>
    <w:rsid w:val="00B74E0D"/>
    <w:rsid w:val="00B81682"/>
    <w:rsid w:val="00B84FC6"/>
    <w:rsid w:val="00B9233D"/>
    <w:rsid w:val="00B97AB8"/>
    <w:rsid w:val="00BC0BB1"/>
    <w:rsid w:val="00BC677A"/>
    <w:rsid w:val="00BD291D"/>
    <w:rsid w:val="00BD2E52"/>
    <w:rsid w:val="00BD35F5"/>
    <w:rsid w:val="00BD44FE"/>
    <w:rsid w:val="00BD519A"/>
    <w:rsid w:val="00BD5D28"/>
    <w:rsid w:val="00BD5E95"/>
    <w:rsid w:val="00BD5FCA"/>
    <w:rsid w:val="00BD71D3"/>
    <w:rsid w:val="00BE7B39"/>
    <w:rsid w:val="00BF1609"/>
    <w:rsid w:val="00BF3378"/>
    <w:rsid w:val="00C00547"/>
    <w:rsid w:val="00C01895"/>
    <w:rsid w:val="00C040F9"/>
    <w:rsid w:val="00C057F3"/>
    <w:rsid w:val="00C05880"/>
    <w:rsid w:val="00C12C5D"/>
    <w:rsid w:val="00C12DC5"/>
    <w:rsid w:val="00C135CB"/>
    <w:rsid w:val="00C25BB8"/>
    <w:rsid w:val="00C31388"/>
    <w:rsid w:val="00C34429"/>
    <w:rsid w:val="00C35701"/>
    <w:rsid w:val="00C37751"/>
    <w:rsid w:val="00C439CF"/>
    <w:rsid w:val="00C47514"/>
    <w:rsid w:val="00C50780"/>
    <w:rsid w:val="00C51D5B"/>
    <w:rsid w:val="00C53805"/>
    <w:rsid w:val="00C54066"/>
    <w:rsid w:val="00C54620"/>
    <w:rsid w:val="00C5480D"/>
    <w:rsid w:val="00C6176F"/>
    <w:rsid w:val="00C70FD0"/>
    <w:rsid w:val="00C758F1"/>
    <w:rsid w:val="00C778F6"/>
    <w:rsid w:val="00C81B68"/>
    <w:rsid w:val="00C82324"/>
    <w:rsid w:val="00C8257A"/>
    <w:rsid w:val="00C86E8E"/>
    <w:rsid w:val="00C93628"/>
    <w:rsid w:val="00C95002"/>
    <w:rsid w:val="00C95817"/>
    <w:rsid w:val="00C9616B"/>
    <w:rsid w:val="00CA115D"/>
    <w:rsid w:val="00CA4846"/>
    <w:rsid w:val="00CC13A5"/>
    <w:rsid w:val="00CC1FDE"/>
    <w:rsid w:val="00CC4300"/>
    <w:rsid w:val="00CD0AA8"/>
    <w:rsid w:val="00CF0DD8"/>
    <w:rsid w:val="00CF1D95"/>
    <w:rsid w:val="00CF5C38"/>
    <w:rsid w:val="00CF78B0"/>
    <w:rsid w:val="00D00709"/>
    <w:rsid w:val="00D03C57"/>
    <w:rsid w:val="00D067BA"/>
    <w:rsid w:val="00D160EA"/>
    <w:rsid w:val="00D1687D"/>
    <w:rsid w:val="00D20CDA"/>
    <w:rsid w:val="00D229A7"/>
    <w:rsid w:val="00D3287C"/>
    <w:rsid w:val="00D34211"/>
    <w:rsid w:val="00D51E50"/>
    <w:rsid w:val="00D53850"/>
    <w:rsid w:val="00D61809"/>
    <w:rsid w:val="00D636EB"/>
    <w:rsid w:val="00D63D1C"/>
    <w:rsid w:val="00D76BEB"/>
    <w:rsid w:val="00D81EB9"/>
    <w:rsid w:val="00D829CB"/>
    <w:rsid w:val="00D832EA"/>
    <w:rsid w:val="00D87851"/>
    <w:rsid w:val="00D87D0F"/>
    <w:rsid w:val="00D9478F"/>
    <w:rsid w:val="00DB4022"/>
    <w:rsid w:val="00DB410F"/>
    <w:rsid w:val="00DB55D7"/>
    <w:rsid w:val="00DC35A7"/>
    <w:rsid w:val="00DD1000"/>
    <w:rsid w:val="00DD1A83"/>
    <w:rsid w:val="00DD1E33"/>
    <w:rsid w:val="00DD1F38"/>
    <w:rsid w:val="00DD450A"/>
    <w:rsid w:val="00DE0367"/>
    <w:rsid w:val="00DE079C"/>
    <w:rsid w:val="00DE1ECA"/>
    <w:rsid w:val="00DE38AC"/>
    <w:rsid w:val="00DF040B"/>
    <w:rsid w:val="00E0305C"/>
    <w:rsid w:val="00E05CB4"/>
    <w:rsid w:val="00E12A93"/>
    <w:rsid w:val="00E15905"/>
    <w:rsid w:val="00E168B5"/>
    <w:rsid w:val="00E21CDD"/>
    <w:rsid w:val="00E21D3A"/>
    <w:rsid w:val="00E22407"/>
    <w:rsid w:val="00E23E77"/>
    <w:rsid w:val="00E25DCF"/>
    <w:rsid w:val="00E33DAE"/>
    <w:rsid w:val="00E3452F"/>
    <w:rsid w:val="00E37C32"/>
    <w:rsid w:val="00E401A6"/>
    <w:rsid w:val="00E4159F"/>
    <w:rsid w:val="00E416A3"/>
    <w:rsid w:val="00E52DF3"/>
    <w:rsid w:val="00E56C33"/>
    <w:rsid w:val="00E61FE5"/>
    <w:rsid w:val="00E63F48"/>
    <w:rsid w:val="00E7045A"/>
    <w:rsid w:val="00E73BDB"/>
    <w:rsid w:val="00E740E2"/>
    <w:rsid w:val="00E75F53"/>
    <w:rsid w:val="00E77C34"/>
    <w:rsid w:val="00E81C6C"/>
    <w:rsid w:val="00E90009"/>
    <w:rsid w:val="00E92FF8"/>
    <w:rsid w:val="00E951FF"/>
    <w:rsid w:val="00EB3E9E"/>
    <w:rsid w:val="00EB426F"/>
    <w:rsid w:val="00EB6C3F"/>
    <w:rsid w:val="00EC22B7"/>
    <w:rsid w:val="00EC3402"/>
    <w:rsid w:val="00EC34A8"/>
    <w:rsid w:val="00EC503D"/>
    <w:rsid w:val="00EC6755"/>
    <w:rsid w:val="00EC7753"/>
    <w:rsid w:val="00ED3B32"/>
    <w:rsid w:val="00ED7A94"/>
    <w:rsid w:val="00ED7DA3"/>
    <w:rsid w:val="00ED7ED1"/>
    <w:rsid w:val="00EE045D"/>
    <w:rsid w:val="00EE1BA5"/>
    <w:rsid w:val="00EE1EDE"/>
    <w:rsid w:val="00EE22EC"/>
    <w:rsid w:val="00EE5C30"/>
    <w:rsid w:val="00EF322D"/>
    <w:rsid w:val="00F12E0F"/>
    <w:rsid w:val="00F14378"/>
    <w:rsid w:val="00F15DA8"/>
    <w:rsid w:val="00F2345D"/>
    <w:rsid w:val="00F2347B"/>
    <w:rsid w:val="00F25C7F"/>
    <w:rsid w:val="00F30FFB"/>
    <w:rsid w:val="00F33CBA"/>
    <w:rsid w:val="00F3686E"/>
    <w:rsid w:val="00F4232F"/>
    <w:rsid w:val="00F4567E"/>
    <w:rsid w:val="00F45E0D"/>
    <w:rsid w:val="00F47E22"/>
    <w:rsid w:val="00F50A71"/>
    <w:rsid w:val="00F5157A"/>
    <w:rsid w:val="00F54509"/>
    <w:rsid w:val="00F56B21"/>
    <w:rsid w:val="00F6105F"/>
    <w:rsid w:val="00F67643"/>
    <w:rsid w:val="00F71505"/>
    <w:rsid w:val="00F74216"/>
    <w:rsid w:val="00F810A1"/>
    <w:rsid w:val="00F8771F"/>
    <w:rsid w:val="00F87EE5"/>
    <w:rsid w:val="00F907F8"/>
    <w:rsid w:val="00F933EC"/>
    <w:rsid w:val="00FA3451"/>
    <w:rsid w:val="00FB032D"/>
    <w:rsid w:val="00FB78FB"/>
    <w:rsid w:val="00FC195C"/>
    <w:rsid w:val="00FC2100"/>
    <w:rsid w:val="00FC2259"/>
    <w:rsid w:val="00FC7AE2"/>
    <w:rsid w:val="00FD3368"/>
    <w:rsid w:val="00FE139D"/>
    <w:rsid w:val="00FE1597"/>
    <w:rsid w:val="00FE33A5"/>
    <w:rsid w:val="00FE7B6A"/>
    <w:rsid w:val="00FF3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2FD5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33AA"/>
    <w:pPr>
      <w:ind w:left="720"/>
      <w:contextualSpacing/>
    </w:pPr>
  </w:style>
  <w:style w:type="paragraph" w:styleId="Footer">
    <w:name w:val="footer"/>
    <w:basedOn w:val="Normal"/>
    <w:link w:val="FooterChar"/>
    <w:uiPriority w:val="99"/>
    <w:unhideWhenUsed/>
    <w:rsid w:val="0019301F"/>
    <w:pPr>
      <w:tabs>
        <w:tab w:val="center" w:pos="4513"/>
        <w:tab w:val="right" w:pos="9026"/>
      </w:tabs>
    </w:pPr>
  </w:style>
  <w:style w:type="character" w:customStyle="1" w:styleId="FooterChar">
    <w:name w:val="Footer Char"/>
    <w:basedOn w:val="DefaultParagraphFont"/>
    <w:link w:val="Footer"/>
    <w:uiPriority w:val="99"/>
    <w:rsid w:val="0019301F"/>
  </w:style>
  <w:style w:type="character" w:styleId="PageNumber">
    <w:name w:val="page number"/>
    <w:basedOn w:val="DefaultParagraphFont"/>
    <w:uiPriority w:val="99"/>
    <w:semiHidden/>
    <w:unhideWhenUsed/>
    <w:rsid w:val="0019301F"/>
  </w:style>
  <w:style w:type="paragraph" w:styleId="FootnoteText">
    <w:name w:val="footnote text"/>
    <w:basedOn w:val="Normal"/>
    <w:link w:val="FootnoteTextChar"/>
    <w:uiPriority w:val="99"/>
    <w:unhideWhenUsed/>
    <w:rsid w:val="00556DEB"/>
  </w:style>
  <w:style w:type="character" w:customStyle="1" w:styleId="FootnoteTextChar">
    <w:name w:val="Footnote Text Char"/>
    <w:basedOn w:val="DefaultParagraphFont"/>
    <w:link w:val="FootnoteText"/>
    <w:uiPriority w:val="99"/>
    <w:rsid w:val="00556DEB"/>
  </w:style>
  <w:style w:type="character" w:styleId="FootnoteReference">
    <w:name w:val="footnote reference"/>
    <w:basedOn w:val="DefaultParagraphFont"/>
    <w:uiPriority w:val="99"/>
    <w:unhideWhenUsed/>
    <w:rsid w:val="00556DEB"/>
    <w:rPr>
      <w:vertAlign w:val="superscript"/>
    </w:rPr>
  </w:style>
  <w:style w:type="paragraph" w:styleId="Header">
    <w:name w:val="header"/>
    <w:basedOn w:val="Normal"/>
    <w:link w:val="HeaderChar"/>
    <w:uiPriority w:val="99"/>
    <w:unhideWhenUsed/>
    <w:rsid w:val="0019652E"/>
    <w:pPr>
      <w:tabs>
        <w:tab w:val="center" w:pos="4513"/>
        <w:tab w:val="right" w:pos="9026"/>
      </w:tabs>
    </w:pPr>
  </w:style>
  <w:style w:type="character" w:customStyle="1" w:styleId="HeaderChar">
    <w:name w:val="Header Char"/>
    <w:basedOn w:val="DefaultParagraphFont"/>
    <w:link w:val="Header"/>
    <w:uiPriority w:val="99"/>
    <w:rsid w:val="0019652E"/>
  </w:style>
  <w:style w:type="paragraph" w:styleId="Revision">
    <w:name w:val="Revision"/>
    <w:hidden/>
    <w:uiPriority w:val="99"/>
    <w:semiHidden/>
    <w:rsid w:val="00EE5C30"/>
  </w:style>
  <w:style w:type="paragraph" w:styleId="BalloonText">
    <w:name w:val="Balloon Text"/>
    <w:basedOn w:val="Normal"/>
    <w:link w:val="BalloonTextChar"/>
    <w:uiPriority w:val="99"/>
    <w:semiHidden/>
    <w:unhideWhenUsed/>
    <w:rsid w:val="00666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216"/>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06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41B0-AB55-42C7-89E5-2BE139C60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6858</Words>
  <Characters>39095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Registrar of Land, Business and Conveyancing Agents v Luke Hemmings</vt:lpstr>
    </vt:vector>
  </TitlesOfParts>
  <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Isabel Ordogh, Tode and Dani Delev v Whittles Body Corporate Management Pty Ltd</dc:title>
  <dc:subject/>
  <dc:creator/>
  <cp:keywords/>
  <dc:description/>
  <cp:lastModifiedBy/>
  <cp:revision>1</cp:revision>
  <dcterms:created xsi:type="dcterms:W3CDTF">2021-05-05T01:47:00Z</dcterms:created>
  <dcterms:modified xsi:type="dcterms:W3CDTF">2021-06-03T05:35:00Z</dcterms:modified>
</cp:coreProperties>
</file>