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93B" w:rsidRDefault="00733EBE">
      <w:pPr>
        <w:pStyle w:val="Heading2"/>
      </w:pPr>
      <w:r>
        <w:t xml:space="preserve">IN A MATTER BEFORE </w:t>
      </w:r>
    </w:p>
    <w:p w:rsidR="0001693B" w:rsidRDefault="00733EBE">
      <w:pPr>
        <w:rPr>
          <w:rFonts w:cs="Arial"/>
          <w:b/>
        </w:rPr>
      </w:pPr>
      <w:r>
        <w:rPr>
          <w:rFonts w:cs="Arial"/>
          <w:b/>
        </w:rPr>
        <w:t xml:space="preserve">THE AGENTS LICENSING BOARD </w:t>
      </w:r>
    </w:p>
    <w:p w:rsidR="0001693B" w:rsidRDefault="00733EBE">
      <w:pPr>
        <w:rPr>
          <w:rFonts w:cs="Arial"/>
          <w:b/>
        </w:rPr>
      </w:pPr>
      <w:r>
        <w:rPr>
          <w:rFonts w:cs="Arial"/>
          <w:b/>
        </w:rPr>
        <w:t>OF THE NORTHERN TERRITORY</w:t>
      </w:r>
    </w:p>
    <w:p w:rsidR="0001693B" w:rsidRDefault="0001693B">
      <w:pPr>
        <w:rPr>
          <w:rFonts w:cs="Arial"/>
          <w:b/>
        </w:rPr>
      </w:pPr>
    </w:p>
    <w:p w:rsidR="0001693B" w:rsidRDefault="00733EBE">
      <w:pPr>
        <w:rPr>
          <w:rFonts w:cs="Arial"/>
          <w:b/>
        </w:rPr>
      </w:pPr>
      <w:r>
        <w:rPr>
          <w:rFonts w:cs="Arial"/>
          <w:b/>
        </w:rPr>
        <w:t>APPLICATION FOR DISCIPLINARY ACTION</w:t>
      </w:r>
    </w:p>
    <w:p w:rsidR="0001693B" w:rsidRDefault="0001693B">
      <w:pPr>
        <w:rPr>
          <w:rFonts w:cs="Arial"/>
          <w:b/>
        </w:rPr>
      </w:pPr>
    </w:p>
    <w:p w:rsidR="0001693B" w:rsidRDefault="00D666CE" w:rsidP="00004A25">
      <w:pPr>
        <w:ind w:left="4320" w:hanging="4320"/>
        <w:rPr>
          <w:rFonts w:cs="Arial"/>
          <w:b/>
        </w:rPr>
      </w:pPr>
      <w:r>
        <w:rPr>
          <w:rFonts w:cs="Arial"/>
          <w:b/>
        </w:rPr>
        <w:t>BETWEEN:</w:t>
      </w:r>
      <w:r>
        <w:rPr>
          <w:rFonts w:cs="Arial"/>
          <w:b/>
        </w:rPr>
        <w:tab/>
      </w:r>
      <w:r w:rsidR="002A6CCD">
        <w:rPr>
          <w:rFonts w:cs="Arial"/>
          <w:b/>
        </w:rPr>
        <w:t>MARGARET ARBON</w:t>
      </w:r>
      <w:r w:rsidR="00006B62">
        <w:rPr>
          <w:rFonts w:cs="Arial"/>
          <w:b/>
        </w:rPr>
        <w:t xml:space="preserve"> </w:t>
      </w:r>
    </w:p>
    <w:p w:rsidR="00D666CE" w:rsidRPr="00D666CE" w:rsidRDefault="00D666CE" w:rsidP="00D666CE">
      <w:pPr>
        <w:pStyle w:val="NormalIndent"/>
      </w:pPr>
      <w:r>
        <w:tab/>
      </w:r>
      <w:r>
        <w:tab/>
      </w:r>
      <w:r>
        <w:tab/>
      </w:r>
      <w:r>
        <w:tab/>
      </w:r>
      <w:r>
        <w:tab/>
        <w:t>Applicant</w:t>
      </w:r>
    </w:p>
    <w:p w:rsidR="00D666CE" w:rsidRPr="00D666CE" w:rsidRDefault="00D666CE" w:rsidP="00D666CE">
      <w:pPr>
        <w:pStyle w:val="NormalIndent"/>
      </w:pPr>
    </w:p>
    <w:p w:rsidR="002A6CCD" w:rsidRDefault="00733EBE">
      <w:pPr>
        <w:ind w:left="4320" w:hanging="4320"/>
        <w:rPr>
          <w:rFonts w:cs="Arial"/>
          <w:b/>
        </w:rPr>
      </w:pPr>
      <w:r>
        <w:rPr>
          <w:rFonts w:cs="Arial"/>
          <w:b/>
        </w:rPr>
        <w:t>AND</w:t>
      </w:r>
      <w:r>
        <w:rPr>
          <w:rFonts w:cs="Arial"/>
          <w:b/>
        </w:rPr>
        <w:tab/>
      </w:r>
      <w:r w:rsidR="002A6CCD">
        <w:rPr>
          <w:rFonts w:cs="Arial"/>
          <w:b/>
        </w:rPr>
        <w:t>CATE KILLINER</w:t>
      </w:r>
    </w:p>
    <w:p w:rsidR="0001693B" w:rsidRDefault="00733EBE" w:rsidP="002A6CCD">
      <w:pPr>
        <w:ind w:left="4320"/>
        <w:rPr>
          <w:rFonts w:cs="Arial"/>
        </w:rPr>
      </w:pPr>
      <w:r>
        <w:rPr>
          <w:rFonts w:cs="Arial"/>
        </w:rPr>
        <w:t>Respondent</w:t>
      </w:r>
    </w:p>
    <w:p w:rsidR="0001693B" w:rsidRDefault="0001693B">
      <w:pPr>
        <w:ind w:left="4320" w:hanging="4320"/>
        <w:rPr>
          <w:rFonts w:cs="Arial"/>
        </w:rPr>
      </w:pPr>
    </w:p>
    <w:p w:rsidR="0001693B" w:rsidRDefault="0001693B">
      <w:pPr>
        <w:ind w:left="4320" w:hanging="4320"/>
        <w:rPr>
          <w:rFonts w:cs="Arial"/>
        </w:rPr>
      </w:pPr>
    </w:p>
    <w:p w:rsidR="0001693B" w:rsidRDefault="00733EBE">
      <w:pPr>
        <w:ind w:left="4320" w:hanging="4320"/>
        <w:rPr>
          <w:rFonts w:cs="Arial"/>
          <w:b/>
          <w:bCs/>
        </w:rPr>
      </w:pPr>
      <w:r>
        <w:rPr>
          <w:rFonts w:cs="Arial"/>
        </w:rPr>
        <w:t>Date of hearing:</w:t>
      </w:r>
      <w:r>
        <w:rPr>
          <w:rFonts w:cs="Arial"/>
        </w:rPr>
        <w:tab/>
      </w:r>
      <w:r>
        <w:rPr>
          <w:rFonts w:cs="Arial"/>
          <w:b/>
          <w:bCs/>
        </w:rPr>
        <w:t xml:space="preserve"> </w:t>
      </w:r>
      <w:r w:rsidR="002A6CCD">
        <w:rPr>
          <w:rFonts w:cs="Arial"/>
          <w:b/>
          <w:bCs/>
        </w:rPr>
        <w:t>17</w:t>
      </w:r>
      <w:r w:rsidR="002A6CCD" w:rsidRPr="002A6CCD">
        <w:rPr>
          <w:rFonts w:cs="Arial"/>
          <w:b/>
          <w:bCs/>
          <w:vertAlign w:val="superscript"/>
        </w:rPr>
        <w:t>th</w:t>
      </w:r>
      <w:r w:rsidR="002A6CCD">
        <w:rPr>
          <w:rFonts w:cs="Arial"/>
          <w:b/>
          <w:bCs/>
        </w:rPr>
        <w:t xml:space="preserve"> </w:t>
      </w:r>
      <w:r w:rsidR="000A4CB7">
        <w:rPr>
          <w:rFonts w:cs="Arial"/>
          <w:b/>
          <w:bCs/>
        </w:rPr>
        <w:t>J</w:t>
      </w:r>
      <w:r w:rsidR="002A6CCD">
        <w:rPr>
          <w:rFonts w:cs="Arial"/>
          <w:b/>
          <w:bCs/>
        </w:rPr>
        <w:t>une</w:t>
      </w:r>
      <w:r>
        <w:rPr>
          <w:rFonts w:cs="Arial"/>
          <w:b/>
          <w:bCs/>
        </w:rPr>
        <w:t xml:space="preserve">, </w:t>
      </w:r>
      <w:bookmarkStart w:id="0" w:name="_GoBack"/>
      <w:r>
        <w:rPr>
          <w:rFonts w:cs="Arial"/>
          <w:b/>
          <w:bCs/>
        </w:rPr>
        <w:t>20</w:t>
      </w:r>
      <w:bookmarkEnd w:id="0"/>
      <w:r w:rsidR="00006B62">
        <w:rPr>
          <w:rFonts w:cs="Arial"/>
          <w:b/>
          <w:bCs/>
        </w:rPr>
        <w:t>1</w:t>
      </w:r>
      <w:r w:rsidR="000A4CB7">
        <w:rPr>
          <w:rFonts w:cs="Arial"/>
          <w:b/>
          <w:bCs/>
        </w:rPr>
        <w:t>4</w:t>
      </w:r>
    </w:p>
    <w:p w:rsidR="0001693B" w:rsidRDefault="0001693B">
      <w:pPr>
        <w:ind w:left="4320" w:hanging="4320"/>
        <w:rPr>
          <w:rFonts w:cs="Arial"/>
          <w:b/>
          <w:bCs/>
        </w:rPr>
      </w:pPr>
    </w:p>
    <w:p w:rsidR="00630D1F" w:rsidRDefault="00630D1F" w:rsidP="00630D1F">
      <w:pPr>
        <w:ind w:left="4320" w:hanging="4320"/>
        <w:rPr>
          <w:rFonts w:cs="Arial"/>
        </w:rPr>
      </w:pPr>
      <w:r>
        <w:rPr>
          <w:rFonts w:cs="Arial"/>
        </w:rPr>
        <w:t>Chairperson:</w:t>
      </w:r>
      <w:r>
        <w:rPr>
          <w:rFonts w:cs="Arial"/>
        </w:rPr>
        <w:tab/>
        <w:t>Suzanne Philip</w:t>
      </w:r>
    </w:p>
    <w:p w:rsidR="00630D1F" w:rsidRDefault="00630D1F" w:rsidP="00630D1F">
      <w:pPr>
        <w:ind w:left="4320" w:hanging="4320"/>
        <w:rPr>
          <w:rFonts w:cs="Arial"/>
        </w:rPr>
      </w:pPr>
      <w:r>
        <w:rPr>
          <w:rFonts w:cs="Arial"/>
        </w:rPr>
        <w:t>Industry Member:</w:t>
      </w:r>
      <w:r>
        <w:rPr>
          <w:rFonts w:cs="Arial"/>
        </w:rPr>
        <w:tab/>
        <w:t>Diane Davis</w:t>
      </w:r>
    </w:p>
    <w:p w:rsidR="00630D1F" w:rsidRDefault="00630D1F" w:rsidP="00630D1F">
      <w:pPr>
        <w:ind w:left="4320" w:hanging="4320"/>
        <w:rPr>
          <w:rFonts w:cs="Arial"/>
        </w:rPr>
      </w:pPr>
      <w:r>
        <w:rPr>
          <w:rFonts w:cs="Arial"/>
        </w:rPr>
        <w:t>Industry Member:</w:t>
      </w:r>
      <w:r>
        <w:rPr>
          <w:rFonts w:cs="Arial"/>
        </w:rPr>
        <w:tab/>
        <w:t>Jo-Anne Pulsford</w:t>
      </w:r>
    </w:p>
    <w:p w:rsidR="00630D1F" w:rsidRDefault="00630D1F" w:rsidP="00630D1F">
      <w:pPr>
        <w:ind w:left="4320" w:hanging="4320"/>
        <w:rPr>
          <w:rFonts w:cs="Arial"/>
        </w:rPr>
      </w:pPr>
      <w:r>
        <w:rPr>
          <w:rFonts w:cs="Arial"/>
        </w:rPr>
        <w:t>Consumer Representative:</w:t>
      </w:r>
      <w:r>
        <w:rPr>
          <w:rFonts w:cs="Arial"/>
        </w:rPr>
        <w:tab/>
        <w:t>Lea Aitken</w:t>
      </w:r>
    </w:p>
    <w:p w:rsidR="00630D1F" w:rsidRDefault="00630D1F">
      <w:pPr>
        <w:ind w:left="4320" w:hanging="4320"/>
        <w:rPr>
          <w:rFonts w:cs="Arial"/>
        </w:rPr>
      </w:pPr>
    </w:p>
    <w:p w:rsidR="0001693B" w:rsidRDefault="00733EBE">
      <w:pPr>
        <w:ind w:left="4320" w:hanging="4320"/>
        <w:rPr>
          <w:rFonts w:cs="Arial"/>
        </w:rPr>
      </w:pPr>
      <w:r>
        <w:rPr>
          <w:rFonts w:cs="Arial"/>
        </w:rPr>
        <w:t>Appearances:</w:t>
      </w:r>
    </w:p>
    <w:p w:rsidR="00FB51CB" w:rsidRDefault="00FB51CB">
      <w:pPr>
        <w:ind w:left="4320" w:hanging="4320"/>
        <w:rPr>
          <w:rFonts w:cs="Arial"/>
        </w:rPr>
      </w:pPr>
    </w:p>
    <w:p w:rsidR="004B1B85" w:rsidRDefault="004B1B85" w:rsidP="004B1B85">
      <w:pPr>
        <w:ind w:left="4320" w:hanging="4320"/>
        <w:rPr>
          <w:rFonts w:cs="Arial"/>
        </w:rPr>
      </w:pPr>
      <w:r>
        <w:rPr>
          <w:rFonts w:cs="Arial"/>
        </w:rPr>
        <w:t>Counsel Assisting the Board:</w:t>
      </w:r>
      <w:r>
        <w:rPr>
          <w:rFonts w:cs="Arial"/>
        </w:rPr>
        <w:tab/>
        <w:t>Bronwyn Ha</w:t>
      </w:r>
      <w:r w:rsidR="00396901">
        <w:rPr>
          <w:rFonts w:cs="Arial"/>
        </w:rPr>
        <w:t>a</w:t>
      </w:r>
      <w:r>
        <w:rPr>
          <w:rFonts w:cs="Arial"/>
        </w:rPr>
        <w:t>ck</w:t>
      </w:r>
    </w:p>
    <w:p w:rsidR="0001693B" w:rsidRDefault="00C15434">
      <w:pPr>
        <w:ind w:left="4320" w:hanging="4320"/>
        <w:rPr>
          <w:rFonts w:cs="Arial"/>
        </w:rPr>
      </w:pPr>
      <w:r>
        <w:rPr>
          <w:rFonts w:cs="Arial"/>
        </w:rPr>
        <w:t>The Applicant appeared in person.</w:t>
      </w:r>
      <w:r w:rsidR="00733EBE">
        <w:rPr>
          <w:rFonts w:cs="Arial"/>
        </w:rPr>
        <w:t xml:space="preserve"> </w:t>
      </w:r>
    </w:p>
    <w:p w:rsidR="004B1B85" w:rsidRDefault="004B1B85" w:rsidP="004B1B85">
      <w:pPr>
        <w:ind w:left="4320" w:hanging="4320"/>
        <w:rPr>
          <w:rFonts w:cs="Arial"/>
        </w:rPr>
      </w:pPr>
      <w:r>
        <w:rPr>
          <w:rFonts w:cs="Arial"/>
        </w:rPr>
        <w:t>Respondent:</w:t>
      </w:r>
      <w:r>
        <w:rPr>
          <w:rFonts w:cs="Arial"/>
        </w:rPr>
        <w:tab/>
        <w:t>Tas</w:t>
      </w:r>
      <w:r w:rsidR="00396901">
        <w:rPr>
          <w:rFonts w:cs="Arial"/>
        </w:rPr>
        <w:t>s</w:t>
      </w:r>
      <w:r>
        <w:rPr>
          <w:rFonts w:cs="Arial"/>
        </w:rPr>
        <w:t xml:space="preserve"> Liveris</w:t>
      </w:r>
    </w:p>
    <w:p w:rsidR="004B1B85" w:rsidRDefault="004B1B85" w:rsidP="004B1B85">
      <w:pPr>
        <w:ind w:left="4320" w:hanging="4320"/>
        <w:rPr>
          <w:rFonts w:cs="Arial"/>
        </w:rPr>
      </w:pPr>
    </w:p>
    <w:p w:rsidR="0001693B" w:rsidRDefault="0001693B">
      <w:pPr>
        <w:ind w:left="4320" w:hanging="4320"/>
        <w:rPr>
          <w:rFonts w:cs="Arial"/>
        </w:rPr>
      </w:pPr>
    </w:p>
    <w:p w:rsidR="0001693B" w:rsidRDefault="00733EBE">
      <w:pPr>
        <w:ind w:left="4320" w:hanging="4320"/>
        <w:jc w:val="center"/>
        <w:rPr>
          <w:rFonts w:cs="Arial"/>
          <w:b/>
        </w:rPr>
      </w:pPr>
      <w:r>
        <w:rPr>
          <w:rFonts w:cs="Arial"/>
          <w:b/>
        </w:rPr>
        <w:t>STATEMENT OF REASONS FOR DECISION</w:t>
      </w:r>
    </w:p>
    <w:p w:rsidR="0001693B" w:rsidRDefault="0001693B">
      <w:pPr>
        <w:ind w:left="4320" w:hanging="4320"/>
        <w:rPr>
          <w:rFonts w:cs="Arial"/>
        </w:rPr>
      </w:pPr>
    </w:p>
    <w:p w:rsidR="0001693B" w:rsidRDefault="00733EBE">
      <w:pPr>
        <w:ind w:left="4320" w:hanging="4320"/>
        <w:rPr>
          <w:rFonts w:cs="Arial"/>
          <w:b/>
        </w:rPr>
      </w:pPr>
      <w:r>
        <w:rPr>
          <w:rFonts w:cs="Arial"/>
          <w:b/>
        </w:rPr>
        <w:t>Background</w:t>
      </w:r>
    </w:p>
    <w:p w:rsidR="0001693B" w:rsidRDefault="0001693B">
      <w:pPr>
        <w:ind w:left="4320" w:hanging="4320"/>
        <w:rPr>
          <w:rFonts w:cs="Arial"/>
        </w:rPr>
      </w:pPr>
    </w:p>
    <w:p w:rsidR="00C15434" w:rsidRDefault="00A7676C" w:rsidP="00004A25">
      <w:pPr>
        <w:jc w:val="both"/>
      </w:pPr>
      <w:r>
        <w:t>1.</w:t>
      </w:r>
      <w:r w:rsidR="00C15434">
        <w:tab/>
        <w:t xml:space="preserve">On the </w:t>
      </w:r>
      <w:r w:rsidR="004B1B85">
        <w:t>19</w:t>
      </w:r>
      <w:r w:rsidR="00C15434" w:rsidRPr="00F30458">
        <w:rPr>
          <w:vertAlign w:val="superscript"/>
        </w:rPr>
        <w:t>th</w:t>
      </w:r>
      <w:r w:rsidR="00F30458">
        <w:t xml:space="preserve"> </w:t>
      </w:r>
      <w:r w:rsidR="004B1B85">
        <w:t>March</w:t>
      </w:r>
      <w:r w:rsidR="00C15434">
        <w:t xml:space="preserve"> 2013</w:t>
      </w:r>
      <w:r w:rsidR="00F30458">
        <w:t>,</w:t>
      </w:r>
      <w:r w:rsidR="00C15434">
        <w:t xml:space="preserve"> the Applicant, </w:t>
      </w:r>
      <w:r w:rsidR="004B1B85">
        <w:t>Margaret Arbon,</w:t>
      </w:r>
      <w:r w:rsidR="00C15434">
        <w:t xml:space="preserve"> made application to the Board under </w:t>
      </w:r>
      <w:r w:rsidR="00F30458">
        <w:t xml:space="preserve">Section </w:t>
      </w:r>
      <w:r w:rsidR="00C15434">
        <w:t xml:space="preserve">68(3) </w:t>
      </w:r>
      <w:r w:rsidR="00C15434" w:rsidRPr="00F30458">
        <w:rPr>
          <w:i/>
        </w:rPr>
        <w:t>Agents Licensing Act</w:t>
      </w:r>
      <w:r w:rsidR="00C15434">
        <w:t xml:space="preserve"> (hereinafter called “ALA”) for Disciplinary Action against the Respondent, </w:t>
      </w:r>
      <w:r w:rsidR="00256BE3">
        <w:t>Cate Killiner</w:t>
      </w:r>
      <w:r w:rsidR="00C15434">
        <w:rPr>
          <w:rFonts w:cs="Arial"/>
          <w:color w:val="000000"/>
        </w:rPr>
        <w:t>,</w:t>
      </w:r>
      <w:r w:rsidR="00C15434">
        <w:t xml:space="preserve"> on the </w:t>
      </w:r>
      <w:r w:rsidR="00F30458">
        <w:t>ground set out in Section 67(1</w:t>
      </w:r>
      <w:proofErr w:type="gramStart"/>
      <w:r w:rsidR="00F30458">
        <w:t>)</w:t>
      </w:r>
      <w:r w:rsidR="00C15434">
        <w:t>(</w:t>
      </w:r>
      <w:proofErr w:type="gramEnd"/>
      <w:r w:rsidR="00C15434">
        <w:t>c)</w:t>
      </w:r>
      <w:r w:rsidR="00256BE3">
        <w:t xml:space="preserve"> of the </w:t>
      </w:r>
      <w:r w:rsidR="00C15434">
        <w:t xml:space="preserve">ALA of breach of the rules of conduct for agents, such rules being contained in Section 65 </w:t>
      </w:r>
      <w:r w:rsidR="000409EB">
        <w:t xml:space="preserve">of the </w:t>
      </w:r>
      <w:r w:rsidR="00C15434">
        <w:t>ALA.</w:t>
      </w:r>
    </w:p>
    <w:p w:rsidR="00D04AFF" w:rsidRDefault="00D04AFF" w:rsidP="00004A25">
      <w:pPr>
        <w:pStyle w:val="NormalIndent"/>
        <w:ind w:left="0"/>
        <w:jc w:val="both"/>
      </w:pPr>
    </w:p>
    <w:p w:rsidR="00256BE3" w:rsidRDefault="00D04AFF" w:rsidP="00004A25">
      <w:pPr>
        <w:pStyle w:val="NormalIndent"/>
        <w:ind w:left="0"/>
        <w:jc w:val="both"/>
      </w:pPr>
      <w:r>
        <w:t>2.</w:t>
      </w:r>
      <w:r>
        <w:tab/>
      </w:r>
      <w:r w:rsidR="00C15434">
        <w:t xml:space="preserve">The application alleged that the Respondent had breached </w:t>
      </w:r>
      <w:r w:rsidR="00F30458">
        <w:t>Sections </w:t>
      </w:r>
      <w:r w:rsidR="00256BE3">
        <w:t>65(1)(c) and (d) of the ALA in that she had failed to perform duties on behalf of</w:t>
      </w:r>
      <w:r w:rsidR="009F258E">
        <w:t>,</w:t>
      </w:r>
      <w:r w:rsidR="00256BE3">
        <w:t xml:space="preserve"> or carry out instructions of</w:t>
      </w:r>
      <w:r w:rsidR="009F258E">
        <w:t>,</w:t>
      </w:r>
      <w:r w:rsidR="00256BE3">
        <w:t xml:space="preserve"> her principal and that she had failed to exercise due skill, care and diligence on behalf of her principal.</w:t>
      </w:r>
    </w:p>
    <w:p w:rsidR="00EE0A59" w:rsidRDefault="00EE0A59" w:rsidP="00004A25">
      <w:pPr>
        <w:pStyle w:val="NormalIndent"/>
        <w:ind w:left="0"/>
        <w:jc w:val="both"/>
      </w:pPr>
    </w:p>
    <w:p w:rsidR="00C5561B" w:rsidRDefault="00EE0A59" w:rsidP="00004A25">
      <w:pPr>
        <w:pStyle w:val="NormalIndent"/>
        <w:ind w:left="0"/>
        <w:jc w:val="both"/>
      </w:pPr>
      <w:r>
        <w:t>3.</w:t>
      </w:r>
      <w:r>
        <w:tab/>
        <w:t xml:space="preserve">Following </w:t>
      </w:r>
      <w:r w:rsidR="00B251B9">
        <w:t xml:space="preserve">receipt of the application, the Registrar </w:t>
      </w:r>
      <w:r w:rsidR="003911D6">
        <w:t xml:space="preserve">of Land, Business and Conveyancing Agents </w:t>
      </w:r>
      <w:r w:rsidR="00B251B9">
        <w:t>caused an Investigation Report to be prepared. That report, dated 21</w:t>
      </w:r>
      <w:r w:rsidR="00B251B9" w:rsidRPr="00B251B9">
        <w:rPr>
          <w:vertAlign w:val="superscript"/>
        </w:rPr>
        <w:t>st</w:t>
      </w:r>
      <w:r w:rsidR="00B251B9">
        <w:t xml:space="preserve"> </w:t>
      </w:r>
      <w:r w:rsidR="00256BE3">
        <w:t>February</w:t>
      </w:r>
      <w:r w:rsidR="00B251B9">
        <w:t xml:space="preserve"> 201</w:t>
      </w:r>
      <w:r w:rsidR="00256BE3">
        <w:t>4</w:t>
      </w:r>
      <w:r w:rsidR="00A7676C">
        <w:t>,</w:t>
      </w:r>
      <w:r w:rsidR="00B251B9">
        <w:t xml:space="preserve"> was </w:t>
      </w:r>
      <w:r>
        <w:t>tabl</w:t>
      </w:r>
      <w:r w:rsidR="00B251B9">
        <w:t>ed</w:t>
      </w:r>
      <w:r>
        <w:t xml:space="preserve"> and consider</w:t>
      </w:r>
      <w:r w:rsidR="00B251B9">
        <w:t>ed by</w:t>
      </w:r>
      <w:r>
        <w:t xml:space="preserve"> the</w:t>
      </w:r>
      <w:r w:rsidR="00B251B9">
        <w:t xml:space="preserve"> Agents’ Licensing</w:t>
      </w:r>
      <w:r>
        <w:t xml:space="preserve"> Board </w:t>
      </w:r>
      <w:r w:rsidR="003911D6">
        <w:t>(hereinafter called “the Board”)</w:t>
      </w:r>
      <w:r w:rsidR="00A7676C">
        <w:t xml:space="preserve"> at its meeting held on </w:t>
      </w:r>
      <w:r w:rsidR="00256BE3">
        <w:t>11</w:t>
      </w:r>
      <w:r w:rsidR="00256BE3" w:rsidRPr="00A7676C">
        <w:rPr>
          <w:vertAlign w:val="superscript"/>
        </w:rPr>
        <w:t>th</w:t>
      </w:r>
      <w:r w:rsidR="00256BE3">
        <w:t xml:space="preserve"> March 2014</w:t>
      </w:r>
      <w:r w:rsidR="00396901">
        <w:t>. T</w:t>
      </w:r>
      <w:r w:rsidR="00A7676C">
        <w:t>he Board</w:t>
      </w:r>
      <w:r w:rsidR="00396901">
        <w:t xml:space="preserve"> accepted the Investigation Report recommendation that </w:t>
      </w:r>
      <w:r w:rsidR="006F073C">
        <w:t xml:space="preserve">there was sufficient evidence to suggest an alleged </w:t>
      </w:r>
      <w:r w:rsidR="00396901">
        <w:t>breach of Section 65(1</w:t>
      </w:r>
      <w:proofErr w:type="gramStart"/>
      <w:r w:rsidR="00396901">
        <w:t>)(</w:t>
      </w:r>
      <w:proofErr w:type="gramEnd"/>
      <w:r w:rsidR="00396901">
        <w:t>c), particular</w:t>
      </w:r>
      <w:r w:rsidR="00590824">
        <w:t>ised as f</w:t>
      </w:r>
      <w:r w:rsidR="00396901">
        <w:t>ailure</w:t>
      </w:r>
      <w:r w:rsidR="00590824">
        <w:t xml:space="preserve"> by the agent </w:t>
      </w:r>
      <w:r w:rsidR="00396901">
        <w:t xml:space="preserve">to perform </w:t>
      </w:r>
      <w:r w:rsidR="00590824">
        <w:t>her</w:t>
      </w:r>
      <w:r w:rsidR="00396901">
        <w:t xml:space="preserve"> duties to her principal by </w:t>
      </w:r>
      <w:r w:rsidR="00396901">
        <w:lastRenderedPageBreak/>
        <w:t xml:space="preserve">amending a contract of sale </w:t>
      </w:r>
      <w:r w:rsidR="00590824">
        <w:t>dated 13</w:t>
      </w:r>
      <w:r w:rsidR="00590824" w:rsidRPr="00590824">
        <w:rPr>
          <w:vertAlign w:val="superscript"/>
        </w:rPr>
        <w:t>th</w:t>
      </w:r>
      <w:r w:rsidR="00590824">
        <w:t xml:space="preserve"> December 2013</w:t>
      </w:r>
      <w:r w:rsidR="00F30458">
        <w:t>,</w:t>
      </w:r>
      <w:r w:rsidR="00590824">
        <w:t xml:space="preserve"> </w:t>
      </w:r>
      <w:r w:rsidR="00396901">
        <w:t>relating to the Applicant’</w:t>
      </w:r>
      <w:r w:rsidR="00CD3CCC">
        <w:t xml:space="preserve">s </w:t>
      </w:r>
      <w:r w:rsidR="00CD3CCC">
        <w:rPr>
          <w:rFonts w:cs="Arial"/>
        </w:rPr>
        <w:t>house property at 5 Ble</w:t>
      </w:r>
      <w:r w:rsidR="00B650F8">
        <w:rPr>
          <w:rFonts w:cs="Arial"/>
        </w:rPr>
        <w:t>e</w:t>
      </w:r>
      <w:r w:rsidR="00CD3CCC">
        <w:rPr>
          <w:rFonts w:cs="Arial"/>
        </w:rPr>
        <w:t>ser Street Fannie Bay, Darwin (hereinafter called “</w:t>
      </w:r>
      <w:r w:rsidR="00590824">
        <w:rPr>
          <w:rFonts w:cs="Arial"/>
        </w:rPr>
        <w:t>the Contract</w:t>
      </w:r>
      <w:r w:rsidR="00CD3CCC">
        <w:rPr>
          <w:rFonts w:cs="Arial"/>
        </w:rPr>
        <w:t>”)</w:t>
      </w:r>
      <w:r w:rsidR="00590824">
        <w:rPr>
          <w:rFonts w:cs="Arial"/>
        </w:rPr>
        <w:t xml:space="preserve"> without the consent of</w:t>
      </w:r>
      <w:r w:rsidR="00590177">
        <w:rPr>
          <w:rFonts w:cs="Arial"/>
        </w:rPr>
        <w:t>,</w:t>
      </w:r>
      <w:r w:rsidR="00590824">
        <w:rPr>
          <w:rFonts w:cs="Arial"/>
        </w:rPr>
        <w:t xml:space="preserve"> or in consultation with</w:t>
      </w:r>
      <w:r w:rsidR="00590177">
        <w:rPr>
          <w:rFonts w:cs="Arial"/>
        </w:rPr>
        <w:t>,</w:t>
      </w:r>
      <w:r w:rsidR="00590824">
        <w:rPr>
          <w:rFonts w:cs="Arial"/>
        </w:rPr>
        <w:t xml:space="preserve"> the Applicant. The Board further accepted</w:t>
      </w:r>
      <w:r w:rsidR="00590824">
        <w:t xml:space="preserve"> the Investigation Report recommendation that it reject a claim based on breach of Section 65(1</w:t>
      </w:r>
      <w:proofErr w:type="gramStart"/>
      <w:r w:rsidR="00590824">
        <w:t>)(</w:t>
      </w:r>
      <w:proofErr w:type="gramEnd"/>
      <w:r w:rsidR="00590824">
        <w:t xml:space="preserve">d), alleging failure to exercise due skill, care or diligence arising out of the amendment of the contract. The Board accordingly </w:t>
      </w:r>
      <w:r w:rsidR="00A7676C">
        <w:t xml:space="preserve">determined that there </w:t>
      </w:r>
      <w:r w:rsidR="006F073C">
        <w:t>m</w:t>
      </w:r>
      <w:r w:rsidR="00A7676C">
        <w:t>ight be grounds for disciplinary action. As required by Section 68(4) of the ALA,</w:t>
      </w:r>
      <w:r w:rsidR="006A6461">
        <w:t xml:space="preserve"> </w:t>
      </w:r>
      <w:r w:rsidR="00A7676C">
        <w:t xml:space="preserve">the matter was set down for Inquiry </w:t>
      </w:r>
    </w:p>
    <w:p w:rsidR="00CC5811" w:rsidRDefault="00CC5811" w:rsidP="00004A25">
      <w:pPr>
        <w:pStyle w:val="NormalIndent"/>
        <w:ind w:left="0"/>
        <w:jc w:val="both"/>
      </w:pPr>
    </w:p>
    <w:p w:rsidR="0001693B" w:rsidRDefault="00733EBE" w:rsidP="00004A25">
      <w:pPr>
        <w:jc w:val="both"/>
        <w:rPr>
          <w:rFonts w:cs="Arial"/>
          <w:b/>
        </w:rPr>
      </w:pPr>
      <w:r>
        <w:rPr>
          <w:rFonts w:cs="Arial"/>
          <w:b/>
        </w:rPr>
        <w:t>The Issues</w:t>
      </w:r>
    </w:p>
    <w:p w:rsidR="0001693B" w:rsidRDefault="0001693B" w:rsidP="00004A25">
      <w:pPr>
        <w:jc w:val="both"/>
        <w:rPr>
          <w:rFonts w:cs="Arial"/>
        </w:rPr>
      </w:pPr>
    </w:p>
    <w:p w:rsidR="0001693B" w:rsidRDefault="00AA4A64" w:rsidP="00004A25">
      <w:pPr>
        <w:jc w:val="both"/>
        <w:rPr>
          <w:rFonts w:cs="Arial"/>
        </w:rPr>
      </w:pPr>
      <w:r>
        <w:rPr>
          <w:rFonts w:cs="Arial"/>
        </w:rPr>
        <w:t>4</w:t>
      </w:r>
      <w:r w:rsidR="00733EBE">
        <w:rPr>
          <w:rFonts w:cs="Arial"/>
        </w:rPr>
        <w:t>.</w:t>
      </w:r>
      <w:r w:rsidR="00733EBE">
        <w:rPr>
          <w:rFonts w:cs="Arial"/>
        </w:rPr>
        <w:tab/>
        <w:t>The issues in this Inquiry were:</w:t>
      </w:r>
    </w:p>
    <w:p w:rsidR="0001693B" w:rsidRDefault="0001693B" w:rsidP="00004A25">
      <w:pPr>
        <w:pStyle w:val="NormalIndent"/>
        <w:ind w:left="0"/>
        <w:jc w:val="both"/>
      </w:pPr>
    </w:p>
    <w:p w:rsidR="00256BE3" w:rsidRDefault="00256BE3" w:rsidP="00F30458">
      <w:pPr>
        <w:pStyle w:val="NormalIndent"/>
        <w:jc w:val="both"/>
      </w:pPr>
      <w:proofErr w:type="gramStart"/>
      <w:r>
        <w:t>a</w:t>
      </w:r>
      <w:proofErr w:type="gramEnd"/>
      <w:r>
        <w:t>.</w:t>
      </w:r>
      <w:r>
        <w:tab/>
      </w:r>
      <w:r>
        <w:rPr>
          <w:rFonts w:cs="Arial"/>
        </w:rPr>
        <w:t>a consideration by the Board as to whether the Respondent</w:t>
      </w:r>
      <w:r w:rsidR="00590177">
        <w:rPr>
          <w:rFonts w:cs="Arial"/>
        </w:rPr>
        <w:t>’</w:t>
      </w:r>
      <w:r>
        <w:rPr>
          <w:rFonts w:cs="Arial"/>
        </w:rPr>
        <w:t xml:space="preserve">s actions amounted to a breach of the rules of conduct as contemplated by the terms of Section 65(1)(c) </w:t>
      </w:r>
      <w:r w:rsidR="000409EB">
        <w:rPr>
          <w:rFonts w:cs="Arial"/>
        </w:rPr>
        <w:t xml:space="preserve">of the </w:t>
      </w:r>
      <w:r>
        <w:rPr>
          <w:rFonts w:cs="Arial"/>
        </w:rPr>
        <w:t>ALA</w:t>
      </w:r>
      <w:r>
        <w:t>;</w:t>
      </w:r>
    </w:p>
    <w:p w:rsidR="00256BE3" w:rsidRDefault="00256BE3" w:rsidP="00004A25">
      <w:pPr>
        <w:jc w:val="both"/>
        <w:rPr>
          <w:rFonts w:cs="Arial"/>
        </w:rPr>
      </w:pPr>
    </w:p>
    <w:p w:rsidR="0001693B" w:rsidRDefault="00256BE3" w:rsidP="00F30458">
      <w:pPr>
        <w:ind w:firstLine="720"/>
        <w:jc w:val="both"/>
        <w:rPr>
          <w:rFonts w:cs="Arial"/>
          <w:color w:val="FF0000"/>
        </w:rPr>
      </w:pPr>
      <w:proofErr w:type="gramStart"/>
      <w:r>
        <w:rPr>
          <w:rFonts w:cs="Arial"/>
        </w:rPr>
        <w:t>b</w:t>
      </w:r>
      <w:proofErr w:type="gramEnd"/>
      <w:r>
        <w:rPr>
          <w:rFonts w:cs="Arial"/>
        </w:rPr>
        <w:t>.</w:t>
      </w:r>
      <w:r>
        <w:rPr>
          <w:rFonts w:cs="Arial"/>
        </w:rPr>
        <w:tab/>
        <w:t>if so, the appropriate disciplinary sanction</w:t>
      </w:r>
    </w:p>
    <w:p w:rsidR="0001693B" w:rsidRDefault="0001693B" w:rsidP="00004A25">
      <w:pPr>
        <w:jc w:val="both"/>
      </w:pPr>
    </w:p>
    <w:p w:rsidR="0001693B" w:rsidRDefault="00733EBE" w:rsidP="00004A25">
      <w:pPr>
        <w:jc w:val="both"/>
        <w:rPr>
          <w:rFonts w:cs="Arial"/>
          <w:b/>
        </w:rPr>
      </w:pPr>
      <w:r>
        <w:rPr>
          <w:rFonts w:cs="Arial"/>
          <w:b/>
        </w:rPr>
        <w:t>Relevant Legislation</w:t>
      </w:r>
    </w:p>
    <w:p w:rsidR="0001693B" w:rsidRDefault="0001693B" w:rsidP="00004A25">
      <w:pPr>
        <w:jc w:val="both"/>
        <w:rPr>
          <w:rFonts w:cs="Arial"/>
        </w:rPr>
      </w:pPr>
    </w:p>
    <w:p w:rsidR="0001693B" w:rsidRDefault="00AA4A64" w:rsidP="00004A25">
      <w:pPr>
        <w:pStyle w:val="BodyText2"/>
        <w:tabs>
          <w:tab w:val="clear" w:pos="-720"/>
        </w:tabs>
        <w:spacing w:before="0" w:after="0"/>
      </w:pPr>
      <w:r>
        <w:rPr>
          <w:rFonts w:cs="Arial"/>
          <w:szCs w:val="24"/>
          <w:lang w:eastAsia="en-US"/>
        </w:rPr>
        <w:t>5</w:t>
      </w:r>
      <w:r w:rsidR="008A0A4A">
        <w:rPr>
          <w:rFonts w:cs="Arial"/>
          <w:szCs w:val="24"/>
          <w:lang w:eastAsia="en-US"/>
        </w:rPr>
        <w:t>.</w:t>
      </w:r>
      <w:r w:rsidR="00733EBE">
        <w:rPr>
          <w:rFonts w:cs="Arial"/>
          <w:szCs w:val="24"/>
          <w:lang w:eastAsia="en-US"/>
        </w:rPr>
        <w:tab/>
      </w:r>
      <w:r w:rsidR="00733EBE">
        <w:t>Disciplinary action may be taken against a licensed ag</w:t>
      </w:r>
      <w:r w:rsidR="00F30458">
        <w:t>ent on the grounds provided in S</w:t>
      </w:r>
      <w:r w:rsidR="00733EBE">
        <w:t xml:space="preserve">ection 67 </w:t>
      </w:r>
      <w:r w:rsidR="00E6165D">
        <w:t>ALA</w:t>
      </w:r>
      <w:r w:rsidR="00733EBE">
        <w:t>.</w:t>
      </w:r>
    </w:p>
    <w:p w:rsidR="00F30458" w:rsidRPr="00F30458" w:rsidRDefault="00F30458" w:rsidP="00F30458">
      <w:pPr>
        <w:rPr>
          <w:lang w:eastAsia="en-AU"/>
        </w:rPr>
      </w:pPr>
    </w:p>
    <w:p w:rsidR="008A0A4A" w:rsidRDefault="008A0A4A" w:rsidP="00F30458">
      <w:pPr>
        <w:pStyle w:val="Section"/>
        <w:spacing w:line="24" w:lineRule="atLeast"/>
        <w:ind w:left="720" w:hanging="720"/>
        <w:rPr>
          <w:rFonts w:cs="Arial"/>
        </w:rPr>
      </w:pPr>
      <w:bookmarkStart w:id="1" w:name="_Hlk43864884"/>
      <w:r>
        <w:rPr>
          <w:rFonts w:cs="Arial"/>
          <w:b/>
          <w:i/>
          <w:iCs/>
          <w:sz w:val="24"/>
          <w:szCs w:val="22"/>
        </w:rPr>
        <w:tab/>
      </w:r>
      <w:r w:rsidR="00733EBE">
        <w:rPr>
          <w:rFonts w:cs="Arial"/>
          <w:b/>
          <w:i/>
          <w:iCs/>
          <w:sz w:val="24"/>
          <w:szCs w:val="22"/>
        </w:rPr>
        <w:t>67.</w:t>
      </w:r>
      <w:bookmarkEnd w:id="1"/>
      <w:r w:rsidR="00733EBE">
        <w:rPr>
          <w:rFonts w:cs="Arial"/>
          <w:b/>
          <w:i/>
          <w:iCs/>
          <w:sz w:val="24"/>
          <w:szCs w:val="22"/>
        </w:rPr>
        <w:tab/>
        <w:t>Grounds for disciplinary action</w:t>
      </w:r>
      <w:r w:rsidR="00733EBE">
        <w:rPr>
          <w:sz w:val="22"/>
          <w:szCs w:val="22"/>
        </w:rPr>
        <w:tab/>
      </w:r>
    </w:p>
    <w:p w:rsidR="008A0A4A" w:rsidRDefault="008A0A4A" w:rsidP="00004A25">
      <w:pPr>
        <w:pStyle w:val="BodyTextIndent"/>
        <w:jc w:val="both"/>
        <w:rPr>
          <w:rFonts w:cs="Arial"/>
        </w:rPr>
      </w:pPr>
      <w:r>
        <w:rPr>
          <w:rFonts w:cs="Arial"/>
        </w:rPr>
        <w:t>(1)</w:t>
      </w:r>
      <w:r>
        <w:rPr>
          <w:rFonts w:cs="Arial"/>
        </w:rPr>
        <w:tab/>
        <w:t>Subject to this Part, the Board may take disciplinary action in accordance with this Part against a licensed agent on one or more of the following grounds:</w:t>
      </w:r>
    </w:p>
    <w:p w:rsidR="00F30458" w:rsidRDefault="00F30458" w:rsidP="00004A25">
      <w:pPr>
        <w:pStyle w:val="BodyTextIndent"/>
        <w:jc w:val="both"/>
        <w:rPr>
          <w:rFonts w:cs="Arial"/>
        </w:rPr>
      </w:pPr>
    </w:p>
    <w:p w:rsidR="008A0A4A" w:rsidRDefault="008A0A4A" w:rsidP="00F30458">
      <w:pPr>
        <w:pStyle w:val="BodyTextIndent"/>
        <w:ind w:left="1440"/>
        <w:jc w:val="both"/>
        <w:rPr>
          <w:rFonts w:cs="Arial"/>
        </w:rPr>
      </w:pPr>
      <w:r>
        <w:rPr>
          <w:rFonts w:cs="Arial"/>
        </w:rPr>
        <w:t xml:space="preserve">(c) </w:t>
      </w:r>
      <w:proofErr w:type="gramStart"/>
      <w:r>
        <w:rPr>
          <w:rFonts w:cs="Arial"/>
        </w:rPr>
        <w:t>the</w:t>
      </w:r>
      <w:proofErr w:type="gramEnd"/>
      <w:r>
        <w:rPr>
          <w:rFonts w:cs="Arial"/>
        </w:rPr>
        <w:t xml:space="preserve"> licensed agent has been guilty of a breach of the rules of conduct for agents;</w:t>
      </w:r>
    </w:p>
    <w:p w:rsidR="0001693B" w:rsidRDefault="0001693B" w:rsidP="00004A25">
      <w:pPr>
        <w:pStyle w:val="BodyTextIndent"/>
        <w:jc w:val="both"/>
        <w:rPr>
          <w:rFonts w:cs="Arial"/>
        </w:rPr>
      </w:pPr>
    </w:p>
    <w:p w:rsidR="0001693B" w:rsidRDefault="00AA4A64" w:rsidP="00004A25">
      <w:pPr>
        <w:pStyle w:val="Section"/>
        <w:spacing w:line="24" w:lineRule="atLeast"/>
        <w:ind w:left="720" w:hanging="720"/>
        <w:rPr>
          <w:rFonts w:cs="Arial"/>
          <w:sz w:val="24"/>
        </w:rPr>
      </w:pPr>
      <w:r>
        <w:rPr>
          <w:rFonts w:cs="Arial"/>
          <w:sz w:val="24"/>
        </w:rPr>
        <w:t>6</w:t>
      </w:r>
      <w:r w:rsidR="00733EBE">
        <w:rPr>
          <w:rFonts w:cs="Arial"/>
          <w:sz w:val="24"/>
        </w:rPr>
        <w:t xml:space="preserve">. </w:t>
      </w:r>
      <w:r w:rsidR="00733EBE">
        <w:rPr>
          <w:rFonts w:cs="Arial"/>
          <w:sz w:val="24"/>
        </w:rPr>
        <w:tab/>
        <w:t>Applications for such action are made under Section 68</w:t>
      </w:r>
      <w:r w:rsidR="00E6165D">
        <w:rPr>
          <w:rFonts w:cs="Arial"/>
          <w:sz w:val="24"/>
        </w:rPr>
        <w:t xml:space="preserve"> ALA.</w:t>
      </w:r>
    </w:p>
    <w:p w:rsidR="0001693B" w:rsidRDefault="008A0A4A" w:rsidP="00004A25">
      <w:pPr>
        <w:pStyle w:val="NewSectionHeading"/>
        <w:rPr>
          <w:rFonts w:ascii="Arial" w:hAnsi="Arial" w:cs="Arial"/>
          <w:i/>
          <w:iCs/>
          <w:sz w:val="24"/>
        </w:rPr>
      </w:pPr>
      <w:bookmarkStart w:id="2" w:name="_Hlk43864893"/>
      <w:r>
        <w:rPr>
          <w:rFonts w:ascii="Arial" w:hAnsi="Arial" w:cs="Arial"/>
          <w:i/>
          <w:iCs/>
          <w:sz w:val="24"/>
        </w:rPr>
        <w:tab/>
      </w:r>
      <w:r w:rsidR="00733EBE">
        <w:rPr>
          <w:rFonts w:ascii="Arial" w:hAnsi="Arial" w:cs="Arial"/>
          <w:i/>
          <w:iCs/>
          <w:sz w:val="24"/>
        </w:rPr>
        <w:t>68.</w:t>
      </w:r>
      <w:bookmarkEnd w:id="2"/>
      <w:r w:rsidR="00733EBE">
        <w:rPr>
          <w:rFonts w:ascii="Arial" w:hAnsi="Arial" w:cs="Arial"/>
          <w:i/>
          <w:iCs/>
          <w:sz w:val="24"/>
        </w:rPr>
        <w:tab/>
        <w:t>Applications for disciplinary action</w:t>
      </w:r>
    </w:p>
    <w:p w:rsidR="00491A75" w:rsidRDefault="00491A75" w:rsidP="00004A25">
      <w:pPr>
        <w:spacing w:before="100" w:beforeAutospacing="1" w:after="100" w:afterAutospacing="1"/>
        <w:ind w:left="720"/>
        <w:jc w:val="both"/>
        <w:rPr>
          <w:rFonts w:cs="Arial"/>
          <w:i/>
          <w:color w:val="000000"/>
          <w:lang w:eastAsia="en-AU"/>
        </w:rPr>
      </w:pPr>
      <w:r w:rsidRPr="008B7AAA">
        <w:rPr>
          <w:rFonts w:cs="Arial"/>
          <w:i/>
          <w:color w:val="000000"/>
          <w:lang w:eastAsia="en-AU"/>
        </w:rPr>
        <w:t>(3)</w:t>
      </w:r>
      <w:r w:rsidR="00F30458">
        <w:rPr>
          <w:rFonts w:cs="Arial"/>
          <w:i/>
          <w:color w:val="000000"/>
          <w:lang w:eastAsia="en-AU"/>
        </w:rPr>
        <w:tab/>
      </w:r>
      <w:r w:rsidRPr="008B7AAA">
        <w:rPr>
          <w:rFonts w:cs="Arial"/>
          <w:i/>
          <w:color w:val="000000"/>
          <w:lang w:eastAsia="en-AU"/>
        </w:rPr>
        <w:t xml:space="preserve"> Any person may apply, by notice in writing lodged with the Registrar, for disciplinary action to be taken against a licensed agent on one or more of the grounds referred to in section 67. </w:t>
      </w:r>
    </w:p>
    <w:p w:rsidR="0001693B" w:rsidRDefault="00F30458" w:rsidP="00F30458">
      <w:pPr>
        <w:pStyle w:val="NormalIndent"/>
        <w:rPr>
          <w:rFonts w:cs="Arial"/>
          <w:i/>
          <w:iCs/>
        </w:rPr>
      </w:pPr>
      <w:r>
        <w:rPr>
          <w:lang w:eastAsia="en-AU"/>
        </w:rPr>
        <w:br w:type="page"/>
      </w:r>
      <w:r w:rsidR="00733EBE">
        <w:rPr>
          <w:rFonts w:cs="Arial"/>
          <w:i/>
          <w:iCs/>
        </w:rPr>
        <w:lastRenderedPageBreak/>
        <w:t>(4)</w:t>
      </w:r>
      <w:r w:rsidR="00733EBE">
        <w:rPr>
          <w:rFonts w:cs="Arial"/>
          <w:i/>
          <w:iCs/>
        </w:rPr>
        <w:tab/>
        <w:t>Where –</w:t>
      </w:r>
    </w:p>
    <w:p w:rsidR="00F30458" w:rsidRDefault="00F30458" w:rsidP="00F30458">
      <w:pPr>
        <w:pStyle w:val="NormalIndent"/>
        <w:rPr>
          <w:rFonts w:cs="Arial"/>
          <w:i/>
          <w:iCs/>
        </w:rPr>
      </w:pPr>
    </w:p>
    <w:p w:rsidR="0001693B" w:rsidRDefault="00F30458" w:rsidP="00004A25">
      <w:pPr>
        <w:pStyle w:val="Section"/>
        <w:ind w:left="1440" w:hanging="720"/>
        <w:rPr>
          <w:rFonts w:cs="Arial"/>
          <w:i/>
          <w:iCs/>
          <w:sz w:val="24"/>
        </w:rPr>
      </w:pPr>
      <w:r>
        <w:rPr>
          <w:rFonts w:cs="Arial"/>
          <w:i/>
          <w:iCs/>
          <w:sz w:val="24"/>
        </w:rPr>
        <w:tab/>
      </w:r>
      <w:r w:rsidR="00733EBE">
        <w:rPr>
          <w:rFonts w:cs="Arial"/>
          <w:i/>
          <w:iCs/>
          <w:sz w:val="24"/>
        </w:rPr>
        <w:t>(b)</w:t>
      </w:r>
      <w:r w:rsidR="00733EBE">
        <w:rPr>
          <w:rFonts w:cs="Arial"/>
          <w:i/>
          <w:iCs/>
          <w:sz w:val="24"/>
        </w:rPr>
        <w:tab/>
      </w:r>
      <w:proofErr w:type="gramStart"/>
      <w:r w:rsidR="00733EBE">
        <w:rPr>
          <w:rFonts w:cs="Arial"/>
          <w:i/>
          <w:iCs/>
          <w:sz w:val="24"/>
        </w:rPr>
        <w:t>the</w:t>
      </w:r>
      <w:proofErr w:type="gramEnd"/>
      <w:r w:rsidR="00733EBE">
        <w:rPr>
          <w:rFonts w:cs="Arial"/>
          <w:i/>
          <w:iCs/>
          <w:sz w:val="24"/>
        </w:rPr>
        <w:t xml:space="preserve"> Board considers that there may be grounds under section 67 for disciplinary action to be taken against a licensed agent,</w:t>
      </w:r>
    </w:p>
    <w:p w:rsidR="0001693B" w:rsidRDefault="00733EBE" w:rsidP="00F30458">
      <w:pPr>
        <w:pStyle w:val="Section"/>
        <w:tabs>
          <w:tab w:val="clear" w:pos="720"/>
        </w:tabs>
        <w:ind w:left="1418" w:hanging="1418"/>
        <w:rPr>
          <w:rFonts w:cs="Arial"/>
          <w:i/>
          <w:iCs/>
          <w:sz w:val="24"/>
        </w:rPr>
      </w:pPr>
      <w:r>
        <w:rPr>
          <w:rFonts w:cs="Arial"/>
          <w:i/>
          <w:iCs/>
          <w:sz w:val="24"/>
        </w:rPr>
        <w:tab/>
      </w:r>
      <w:proofErr w:type="gramStart"/>
      <w:r>
        <w:rPr>
          <w:rFonts w:cs="Arial"/>
          <w:i/>
          <w:iCs/>
          <w:sz w:val="24"/>
        </w:rPr>
        <w:t>the</w:t>
      </w:r>
      <w:proofErr w:type="gramEnd"/>
      <w:r>
        <w:rPr>
          <w:rFonts w:cs="Arial"/>
          <w:i/>
          <w:iCs/>
          <w:sz w:val="24"/>
        </w:rPr>
        <w:t xml:space="preserve"> Board shall hold an inquiry.</w:t>
      </w:r>
    </w:p>
    <w:p w:rsidR="00256BE3" w:rsidRDefault="00AA4A64" w:rsidP="00004A25">
      <w:pPr>
        <w:jc w:val="both"/>
        <w:rPr>
          <w:rFonts w:cs="Arial"/>
        </w:rPr>
      </w:pPr>
      <w:r>
        <w:rPr>
          <w:rFonts w:cs="Arial"/>
        </w:rPr>
        <w:t>7</w:t>
      </w:r>
      <w:r w:rsidR="00733EBE">
        <w:rPr>
          <w:rFonts w:cs="Arial"/>
        </w:rPr>
        <w:t>.</w:t>
      </w:r>
      <w:r w:rsidR="00733EBE">
        <w:rPr>
          <w:rFonts w:cs="Arial"/>
        </w:rPr>
        <w:tab/>
      </w:r>
      <w:r w:rsidR="00256BE3">
        <w:rPr>
          <w:rFonts w:cs="Arial"/>
        </w:rPr>
        <w:t xml:space="preserve">In this case, the Board relied on </w:t>
      </w:r>
      <w:r w:rsidR="00F30458">
        <w:rPr>
          <w:rFonts w:cs="Arial"/>
        </w:rPr>
        <w:t>Sections</w:t>
      </w:r>
      <w:r w:rsidR="00256BE3">
        <w:rPr>
          <w:rFonts w:cs="Arial"/>
        </w:rPr>
        <w:t xml:space="preserve"> 65(1</w:t>
      </w:r>
      <w:proofErr w:type="gramStart"/>
      <w:r w:rsidR="00256BE3">
        <w:rPr>
          <w:rFonts w:cs="Arial"/>
        </w:rPr>
        <w:t>)(</w:t>
      </w:r>
      <w:proofErr w:type="gramEnd"/>
      <w:r w:rsidR="00256BE3">
        <w:rPr>
          <w:rFonts w:cs="Arial"/>
        </w:rPr>
        <w:t xml:space="preserve">c) </w:t>
      </w:r>
      <w:r w:rsidR="00D85AED">
        <w:rPr>
          <w:rFonts w:cs="Arial"/>
        </w:rPr>
        <w:t xml:space="preserve">of the </w:t>
      </w:r>
      <w:r w:rsidR="00256BE3">
        <w:rPr>
          <w:rFonts w:cs="Arial"/>
        </w:rPr>
        <w:t xml:space="preserve">ALA to ground the application for disciplinary action.  </w:t>
      </w:r>
    </w:p>
    <w:p w:rsidR="00256BE3" w:rsidRDefault="00256BE3" w:rsidP="00004A25">
      <w:pPr>
        <w:jc w:val="both"/>
        <w:rPr>
          <w:rFonts w:cs="Arial"/>
        </w:rPr>
      </w:pPr>
    </w:p>
    <w:p w:rsidR="00256BE3" w:rsidRDefault="00256BE3" w:rsidP="00004A25">
      <w:pPr>
        <w:pStyle w:val="NewSectionHeading"/>
        <w:rPr>
          <w:rFonts w:ascii="Arial" w:hAnsi="Arial" w:cs="Arial"/>
          <w:i/>
          <w:iCs/>
          <w:sz w:val="24"/>
        </w:rPr>
      </w:pPr>
      <w:r>
        <w:rPr>
          <w:rFonts w:ascii="Arial" w:hAnsi="Arial" w:cs="Arial"/>
          <w:i/>
          <w:iCs/>
          <w:sz w:val="24"/>
        </w:rPr>
        <w:tab/>
        <w:t>65.</w:t>
      </w:r>
      <w:r>
        <w:rPr>
          <w:rFonts w:ascii="Arial" w:hAnsi="Arial" w:cs="Arial"/>
          <w:i/>
          <w:iCs/>
          <w:sz w:val="24"/>
        </w:rPr>
        <w:tab/>
        <w:t>Rules of conduct</w:t>
      </w:r>
    </w:p>
    <w:p w:rsidR="00256BE3" w:rsidRDefault="00256BE3" w:rsidP="00004A25">
      <w:pPr>
        <w:pStyle w:val="Section"/>
        <w:ind w:left="1440" w:hanging="720"/>
        <w:rPr>
          <w:rFonts w:cs="Arial"/>
          <w:i/>
          <w:iCs/>
          <w:sz w:val="24"/>
        </w:rPr>
      </w:pPr>
      <w:r>
        <w:rPr>
          <w:rFonts w:cs="Arial"/>
          <w:i/>
          <w:iCs/>
          <w:sz w:val="24"/>
        </w:rPr>
        <w:t>(1)</w:t>
      </w:r>
      <w:r>
        <w:rPr>
          <w:rFonts w:cs="Arial"/>
          <w:i/>
          <w:iCs/>
          <w:sz w:val="24"/>
        </w:rPr>
        <w:tab/>
        <w:t>A licensed agent who –</w:t>
      </w:r>
    </w:p>
    <w:p w:rsidR="00256BE3" w:rsidRPr="00AD1F53" w:rsidRDefault="00256BE3" w:rsidP="00004A25">
      <w:pPr>
        <w:pStyle w:val="NormalWeb"/>
        <w:ind w:left="1440"/>
        <w:jc w:val="both"/>
        <w:rPr>
          <w:rFonts w:cs="Arial"/>
          <w:i/>
        </w:rPr>
      </w:pPr>
      <w:r w:rsidRPr="00AD1F53">
        <w:rPr>
          <w:rFonts w:cs="Arial"/>
          <w:i/>
        </w:rPr>
        <w:t>(</w:t>
      </w:r>
      <w:proofErr w:type="gramStart"/>
      <w:r w:rsidRPr="00AD1F53">
        <w:rPr>
          <w:rFonts w:cs="Arial"/>
          <w:i/>
        </w:rPr>
        <w:t>c</w:t>
      </w:r>
      <w:proofErr w:type="gramEnd"/>
      <w:r w:rsidRPr="00AD1F53">
        <w:rPr>
          <w:rFonts w:cs="Arial"/>
          <w:i/>
        </w:rPr>
        <w:t xml:space="preserve">) </w:t>
      </w:r>
      <w:r w:rsidR="00F30458">
        <w:rPr>
          <w:rFonts w:cs="Arial"/>
          <w:i/>
        </w:rPr>
        <w:tab/>
      </w:r>
      <w:r w:rsidRPr="00AD1F53">
        <w:rPr>
          <w:rFonts w:cs="Arial"/>
          <w:i/>
        </w:rPr>
        <w:t>fails to perform his duties to his principal or to carry out the lawful i</w:t>
      </w:r>
      <w:r w:rsidR="003A65F4">
        <w:rPr>
          <w:rFonts w:cs="Arial"/>
          <w:i/>
        </w:rPr>
        <w:t xml:space="preserve">nstructions of his principal; </w:t>
      </w:r>
      <w:r w:rsidRPr="00AD1F53">
        <w:rPr>
          <w:rFonts w:cs="Arial"/>
          <w:i/>
        </w:rPr>
        <w:t xml:space="preserve"> </w:t>
      </w:r>
    </w:p>
    <w:p w:rsidR="00256BE3" w:rsidRDefault="00F30458" w:rsidP="00F30458">
      <w:pPr>
        <w:pStyle w:val="Section"/>
        <w:tabs>
          <w:tab w:val="clear" w:pos="720"/>
          <w:tab w:val="clear" w:pos="1440"/>
          <w:tab w:val="clear" w:pos="2160"/>
          <w:tab w:val="clear" w:pos="2880"/>
          <w:tab w:val="clear" w:pos="3600"/>
          <w:tab w:val="left" w:pos="1418"/>
        </w:tabs>
        <w:rPr>
          <w:rFonts w:cs="Arial"/>
          <w:i/>
          <w:iCs/>
          <w:sz w:val="24"/>
        </w:rPr>
      </w:pPr>
      <w:r>
        <w:rPr>
          <w:rFonts w:cs="Arial"/>
          <w:i/>
          <w:iCs/>
          <w:sz w:val="24"/>
        </w:rPr>
        <w:tab/>
      </w:r>
      <w:proofErr w:type="gramStart"/>
      <w:r w:rsidR="00256BE3">
        <w:rPr>
          <w:rFonts w:cs="Arial"/>
          <w:i/>
          <w:iCs/>
          <w:sz w:val="24"/>
        </w:rPr>
        <w:t>is</w:t>
      </w:r>
      <w:proofErr w:type="gramEnd"/>
      <w:r w:rsidR="00256BE3">
        <w:rPr>
          <w:rFonts w:cs="Arial"/>
          <w:i/>
          <w:iCs/>
          <w:sz w:val="24"/>
        </w:rPr>
        <w:t xml:space="preserve"> guilty of a breach of the rules of conduct for agents.</w:t>
      </w:r>
    </w:p>
    <w:p w:rsidR="0001693B" w:rsidRDefault="00AA4A64" w:rsidP="00004A25">
      <w:pPr>
        <w:jc w:val="both"/>
        <w:rPr>
          <w:rFonts w:cs="Arial"/>
        </w:rPr>
      </w:pPr>
      <w:r>
        <w:rPr>
          <w:rFonts w:cs="Arial"/>
        </w:rPr>
        <w:t>8</w:t>
      </w:r>
      <w:r w:rsidR="00011AE3">
        <w:rPr>
          <w:rFonts w:cs="Arial"/>
        </w:rPr>
        <w:t>.</w:t>
      </w:r>
      <w:r w:rsidR="00011AE3">
        <w:rPr>
          <w:rFonts w:cs="Arial"/>
        </w:rPr>
        <w:tab/>
        <w:t>Where</w:t>
      </w:r>
      <w:r w:rsidR="00733EBE">
        <w:rPr>
          <w:rFonts w:cs="Arial"/>
        </w:rPr>
        <w:t xml:space="preserve"> the Board grants </w:t>
      </w:r>
      <w:r w:rsidR="00011AE3">
        <w:rPr>
          <w:rFonts w:cs="Arial"/>
        </w:rPr>
        <w:t>an</w:t>
      </w:r>
      <w:r w:rsidR="00733EBE">
        <w:rPr>
          <w:rFonts w:cs="Arial"/>
        </w:rPr>
        <w:t xml:space="preserve"> application, the Respondent ma</w:t>
      </w:r>
      <w:r w:rsidR="00F30458">
        <w:rPr>
          <w:rFonts w:cs="Arial"/>
        </w:rPr>
        <w:t>y be dealt with as provided in Section 69 of the ALA</w:t>
      </w:r>
      <w:r w:rsidR="00733EBE">
        <w:rPr>
          <w:rFonts w:cs="Arial"/>
        </w:rPr>
        <w:t>.</w:t>
      </w:r>
    </w:p>
    <w:p w:rsidR="0001693B" w:rsidRDefault="00733EBE" w:rsidP="00004A25">
      <w:pPr>
        <w:pStyle w:val="NormalWeb"/>
        <w:ind w:firstLine="720"/>
        <w:jc w:val="both"/>
        <w:rPr>
          <w:rFonts w:cs="Arial"/>
          <w:i/>
          <w:iCs/>
        </w:rPr>
      </w:pPr>
      <w:r>
        <w:rPr>
          <w:rFonts w:cs="Arial"/>
          <w:b/>
          <w:bCs/>
          <w:i/>
          <w:iCs/>
          <w:szCs w:val="27"/>
        </w:rPr>
        <w:t>69.</w:t>
      </w:r>
      <w:r>
        <w:rPr>
          <w:rFonts w:cs="Arial"/>
          <w:b/>
          <w:bCs/>
          <w:i/>
          <w:iCs/>
          <w:szCs w:val="27"/>
        </w:rPr>
        <w:tab/>
        <w:t xml:space="preserve"> Powers of Board after inquiry</w:t>
      </w:r>
      <w:r>
        <w:rPr>
          <w:rFonts w:cs="Arial"/>
          <w:i/>
          <w:iCs/>
        </w:rPr>
        <w:t xml:space="preserve"> </w:t>
      </w:r>
    </w:p>
    <w:p w:rsidR="0001693B" w:rsidRDefault="00733EBE" w:rsidP="00004A25">
      <w:pPr>
        <w:pStyle w:val="NormalWeb"/>
        <w:ind w:left="720"/>
        <w:jc w:val="both"/>
        <w:rPr>
          <w:rFonts w:cs="Arial"/>
          <w:i/>
          <w:iCs/>
        </w:rPr>
      </w:pPr>
      <w:r>
        <w:rPr>
          <w:rFonts w:cs="Arial"/>
          <w:i/>
          <w:iCs/>
          <w:szCs w:val="27"/>
        </w:rPr>
        <w:t xml:space="preserve">(1) </w:t>
      </w:r>
      <w:r w:rsidR="00D85AED">
        <w:rPr>
          <w:rFonts w:cs="Arial"/>
          <w:i/>
          <w:iCs/>
          <w:szCs w:val="27"/>
        </w:rPr>
        <w:tab/>
      </w:r>
      <w:r>
        <w:rPr>
          <w:rFonts w:cs="Arial"/>
          <w:i/>
          <w:iCs/>
          <w:szCs w:val="27"/>
        </w:rPr>
        <w:t>Where, at the conclusion of an inquiry conducted pursuant to section 68(4), the Board is satisfied that it is authorised to take disciplinary action against a licensed agent, the Board may –</w:t>
      </w:r>
      <w:r>
        <w:rPr>
          <w:rFonts w:cs="Arial"/>
          <w:i/>
          <w:iCs/>
        </w:rPr>
        <w:t xml:space="preserve"> </w:t>
      </w:r>
    </w:p>
    <w:p w:rsidR="0001693B" w:rsidRDefault="00733EBE" w:rsidP="00D85AED">
      <w:pPr>
        <w:tabs>
          <w:tab w:val="left" w:pos="2127"/>
        </w:tabs>
        <w:ind w:left="1429" w:firstLine="11"/>
        <w:jc w:val="both"/>
        <w:rPr>
          <w:rFonts w:cs="Arial"/>
          <w:i/>
          <w:iCs/>
        </w:rPr>
      </w:pPr>
      <w:r>
        <w:rPr>
          <w:rFonts w:cs="Arial"/>
          <w:i/>
          <w:iCs/>
          <w:szCs w:val="27"/>
        </w:rPr>
        <w:t xml:space="preserve">(a) </w:t>
      </w:r>
      <w:r w:rsidR="00D85AED">
        <w:rPr>
          <w:rFonts w:cs="Arial"/>
          <w:i/>
          <w:iCs/>
          <w:szCs w:val="27"/>
        </w:rPr>
        <w:tab/>
      </w:r>
      <w:proofErr w:type="gramStart"/>
      <w:r>
        <w:rPr>
          <w:rFonts w:cs="Arial"/>
          <w:i/>
          <w:iCs/>
          <w:szCs w:val="27"/>
        </w:rPr>
        <w:t>reprimand</w:t>
      </w:r>
      <w:proofErr w:type="gramEnd"/>
      <w:r>
        <w:rPr>
          <w:rFonts w:cs="Arial"/>
          <w:i/>
          <w:iCs/>
          <w:szCs w:val="27"/>
        </w:rPr>
        <w:t xml:space="preserve"> or caution the agent;</w:t>
      </w:r>
      <w:r>
        <w:rPr>
          <w:rFonts w:cs="Arial"/>
          <w:i/>
          <w:iCs/>
        </w:rPr>
        <w:t xml:space="preserve"> </w:t>
      </w:r>
    </w:p>
    <w:p w:rsidR="0001693B" w:rsidRDefault="00733EBE" w:rsidP="00D85AED">
      <w:pPr>
        <w:pStyle w:val="NormalWeb"/>
        <w:ind w:left="1429"/>
        <w:jc w:val="both"/>
        <w:rPr>
          <w:rFonts w:cs="Arial"/>
          <w:i/>
          <w:iCs/>
        </w:rPr>
      </w:pPr>
      <w:r>
        <w:rPr>
          <w:rFonts w:cs="Arial"/>
          <w:i/>
          <w:iCs/>
          <w:szCs w:val="27"/>
        </w:rPr>
        <w:t xml:space="preserve">(b) </w:t>
      </w:r>
      <w:r w:rsidR="00D85AED">
        <w:rPr>
          <w:rFonts w:cs="Arial"/>
          <w:i/>
          <w:iCs/>
          <w:szCs w:val="27"/>
        </w:rPr>
        <w:tab/>
      </w:r>
      <w:proofErr w:type="gramStart"/>
      <w:r>
        <w:rPr>
          <w:rFonts w:cs="Arial"/>
          <w:i/>
          <w:iCs/>
          <w:szCs w:val="27"/>
        </w:rPr>
        <w:t>by</w:t>
      </w:r>
      <w:proofErr w:type="gramEnd"/>
      <w:r>
        <w:rPr>
          <w:rFonts w:cs="Arial"/>
          <w:i/>
          <w:iCs/>
          <w:szCs w:val="27"/>
        </w:rPr>
        <w:t xml:space="preserve"> notice in writing, impose a fine not exceeding 50 penalty units on the agent;</w:t>
      </w:r>
      <w:r>
        <w:rPr>
          <w:rFonts w:cs="Arial"/>
          <w:i/>
          <w:iCs/>
        </w:rPr>
        <w:t xml:space="preserve"> </w:t>
      </w:r>
    </w:p>
    <w:p w:rsidR="0001693B" w:rsidRDefault="00733EBE" w:rsidP="00D85AED">
      <w:pPr>
        <w:pStyle w:val="NormalWeb"/>
        <w:ind w:left="1429"/>
        <w:jc w:val="both"/>
        <w:rPr>
          <w:rFonts w:cs="Arial"/>
          <w:i/>
          <w:iCs/>
        </w:rPr>
      </w:pPr>
      <w:r>
        <w:rPr>
          <w:rFonts w:cs="Arial"/>
          <w:i/>
          <w:iCs/>
          <w:szCs w:val="27"/>
        </w:rPr>
        <w:t xml:space="preserve">(c) </w:t>
      </w:r>
      <w:r w:rsidR="00D85AED">
        <w:rPr>
          <w:rFonts w:cs="Arial"/>
          <w:i/>
          <w:iCs/>
          <w:szCs w:val="27"/>
        </w:rPr>
        <w:tab/>
      </w:r>
      <w:proofErr w:type="gramStart"/>
      <w:r>
        <w:rPr>
          <w:rFonts w:cs="Arial"/>
          <w:i/>
          <w:iCs/>
          <w:szCs w:val="27"/>
        </w:rPr>
        <w:t>by</w:t>
      </w:r>
      <w:proofErr w:type="gramEnd"/>
      <w:r>
        <w:rPr>
          <w:rFonts w:cs="Arial"/>
          <w:i/>
          <w:iCs/>
          <w:szCs w:val="27"/>
        </w:rPr>
        <w:t xml:space="preserve"> notice in writing, suspend the licence of the agent until the expiration of the period, or the fulfilment of a condition, specified in the notice; or</w:t>
      </w:r>
      <w:r>
        <w:rPr>
          <w:rFonts w:cs="Arial"/>
          <w:i/>
          <w:iCs/>
        </w:rPr>
        <w:t xml:space="preserve"> </w:t>
      </w:r>
    </w:p>
    <w:p w:rsidR="0001693B" w:rsidRDefault="00733EBE" w:rsidP="00D85AED">
      <w:pPr>
        <w:numPr>
          <w:ilvl w:val="0"/>
          <w:numId w:val="16"/>
        </w:numPr>
        <w:ind w:left="709" w:firstLine="709"/>
        <w:jc w:val="both"/>
        <w:rPr>
          <w:rFonts w:cs="Arial"/>
          <w:i/>
          <w:iCs/>
          <w:szCs w:val="27"/>
        </w:rPr>
      </w:pPr>
      <w:proofErr w:type="gramStart"/>
      <w:r>
        <w:rPr>
          <w:rFonts w:cs="Arial"/>
          <w:i/>
          <w:iCs/>
          <w:szCs w:val="27"/>
        </w:rPr>
        <w:t>by</w:t>
      </w:r>
      <w:proofErr w:type="gramEnd"/>
      <w:r>
        <w:rPr>
          <w:rFonts w:cs="Arial"/>
          <w:i/>
          <w:iCs/>
          <w:szCs w:val="27"/>
        </w:rPr>
        <w:t xml:space="preserve"> notice in wri</w:t>
      </w:r>
      <w:r w:rsidR="007300CB">
        <w:rPr>
          <w:rFonts w:cs="Arial"/>
          <w:i/>
          <w:iCs/>
          <w:szCs w:val="27"/>
        </w:rPr>
        <w:t xml:space="preserve">ting, revoke the licence of the </w:t>
      </w:r>
      <w:r>
        <w:rPr>
          <w:rFonts w:cs="Arial"/>
          <w:i/>
          <w:iCs/>
          <w:szCs w:val="27"/>
        </w:rPr>
        <w:t>agent.</w:t>
      </w:r>
    </w:p>
    <w:p w:rsidR="0001693B" w:rsidRDefault="0001693B" w:rsidP="00004A25">
      <w:pPr>
        <w:jc w:val="both"/>
        <w:rPr>
          <w:rFonts w:cs="Arial"/>
          <w:i/>
          <w:iCs/>
          <w:szCs w:val="27"/>
        </w:rPr>
      </w:pPr>
    </w:p>
    <w:p w:rsidR="0001693B" w:rsidRPr="002B3042" w:rsidRDefault="002B3042" w:rsidP="00004A25">
      <w:pPr>
        <w:ind w:left="720"/>
        <w:jc w:val="both"/>
        <w:rPr>
          <w:rFonts w:cs="Arial"/>
          <w:i/>
          <w:iCs/>
          <w:szCs w:val="27"/>
        </w:rPr>
      </w:pPr>
      <w:r w:rsidRPr="002B3042">
        <w:rPr>
          <w:rFonts w:cs="Arial"/>
          <w:i/>
        </w:rPr>
        <w:t xml:space="preserve">(3) </w:t>
      </w:r>
      <w:r w:rsidR="00D85AED">
        <w:rPr>
          <w:rFonts w:cs="Arial"/>
          <w:i/>
        </w:rPr>
        <w:tab/>
      </w:r>
      <w:r w:rsidRPr="002B3042">
        <w:rPr>
          <w:rFonts w:cs="Arial"/>
          <w:i/>
        </w:rPr>
        <w:t>Where the Board decides to take action of a kind specified in subsection (1)(a), (b) or (c), the Board may, by notice in writing, direct the licensed agent to take, or to refrain from taking, a specified action within such time as the Board shall in that notice specify.</w:t>
      </w:r>
    </w:p>
    <w:p w:rsidR="0001693B" w:rsidRDefault="00D85AED" w:rsidP="00004A25">
      <w:pPr>
        <w:jc w:val="both"/>
        <w:rPr>
          <w:rFonts w:cs="Arial"/>
          <w:b/>
        </w:rPr>
      </w:pPr>
      <w:r>
        <w:rPr>
          <w:rFonts w:cs="Arial"/>
          <w:i/>
          <w:iCs/>
          <w:szCs w:val="27"/>
        </w:rPr>
        <w:br w:type="page"/>
      </w:r>
      <w:r w:rsidR="00733EBE">
        <w:rPr>
          <w:rFonts w:cs="Arial"/>
          <w:b/>
        </w:rPr>
        <w:lastRenderedPageBreak/>
        <w:t>Conduct of the Matter</w:t>
      </w:r>
      <w:r w:rsidR="003602F9">
        <w:rPr>
          <w:rFonts w:cs="Arial"/>
          <w:b/>
        </w:rPr>
        <w:t xml:space="preserve"> </w:t>
      </w:r>
      <w:r w:rsidR="002516E4">
        <w:rPr>
          <w:rFonts w:cs="Arial"/>
          <w:b/>
        </w:rPr>
        <w:t xml:space="preserve"> </w:t>
      </w:r>
    </w:p>
    <w:p w:rsidR="0001693B" w:rsidRDefault="0001693B" w:rsidP="00004A25">
      <w:pPr>
        <w:jc w:val="both"/>
        <w:rPr>
          <w:rFonts w:cs="Arial"/>
        </w:rPr>
      </w:pPr>
    </w:p>
    <w:p w:rsidR="00256BE3" w:rsidRDefault="00256BE3" w:rsidP="00004A25">
      <w:pPr>
        <w:jc w:val="both"/>
        <w:rPr>
          <w:rFonts w:cs="Arial"/>
        </w:rPr>
      </w:pPr>
      <w:r>
        <w:rPr>
          <w:rFonts w:cs="Arial"/>
        </w:rPr>
        <w:t>9.</w:t>
      </w:r>
      <w:r>
        <w:rPr>
          <w:rFonts w:cs="Arial"/>
        </w:rPr>
        <w:tab/>
        <w:t>The central issue to be determined under Section 65(1</w:t>
      </w:r>
      <w:proofErr w:type="gramStart"/>
      <w:r>
        <w:rPr>
          <w:rFonts w:cs="Arial"/>
        </w:rPr>
        <w:t>)(</w:t>
      </w:r>
      <w:proofErr w:type="gramEnd"/>
      <w:r>
        <w:rPr>
          <w:rFonts w:cs="Arial"/>
        </w:rPr>
        <w:t>c</w:t>
      </w:r>
      <w:r w:rsidR="002B3042">
        <w:rPr>
          <w:rFonts w:cs="Arial"/>
        </w:rPr>
        <w:t xml:space="preserve">) </w:t>
      </w:r>
      <w:r w:rsidR="00D85AED">
        <w:rPr>
          <w:rFonts w:cs="Arial"/>
        </w:rPr>
        <w:t xml:space="preserve">of the </w:t>
      </w:r>
      <w:r>
        <w:rPr>
          <w:rFonts w:cs="Arial"/>
        </w:rPr>
        <w:t>ALA was whether the Respondent, through her course of dealing</w:t>
      </w:r>
      <w:r w:rsidR="00B10C60">
        <w:rPr>
          <w:rFonts w:cs="Arial"/>
        </w:rPr>
        <w:t>s as agent for sale of the Applicant’s house property at 5 Ble</w:t>
      </w:r>
      <w:r w:rsidR="00B650F8">
        <w:rPr>
          <w:rFonts w:cs="Arial"/>
        </w:rPr>
        <w:t>e</w:t>
      </w:r>
      <w:r w:rsidR="00B10C60">
        <w:rPr>
          <w:rFonts w:cs="Arial"/>
        </w:rPr>
        <w:t>ser Street Fannie Bay</w:t>
      </w:r>
      <w:r w:rsidR="00D85AED">
        <w:rPr>
          <w:rFonts w:cs="Arial"/>
        </w:rPr>
        <w:t>,</w:t>
      </w:r>
      <w:r w:rsidR="00B10C60">
        <w:rPr>
          <w:rFonts w:cs="Arial"/>
        </w:rPr>
        <w:t xml:space="preserve"> Darwin</w:t>
      </w:r>
      <w:r w:rsidR="006349F6">
        <w:rPr>
          <w:rFonts w:cs="Arial"/>
        </w:rPr>
        <w:t xml:space="preserve"> (hereinafter called “Ble</w:t>
      </w:r>
      <w:r w:rsidR="00B650F8">
        <w:rPr>
          <w:rFonts w:cs="Arial"/>
        </w:rPr>
        <w:t>e</w:t>
      </w:r>
      <w:r w:rsidR="006349F6">
        <w:rPr>
          <w:rFonts w:cs="Arial"/>
        </w:rPr>
        <w:t>ser Street”)</w:t>
      </w:r>
      <w:r>
        <w:rPr>
          <w:rFonts w:cs="Arial"/>
        </w:rPr>
        <w:t xml:space="preserve">, </w:t>
      </w:r>
      <w:r w:rsidR="00B10C60">
        <w:rPr>
          <w:rFonts w:cs="Arial"/>
        </w:rPr>
        <w:t xml:space="preserve">had </w:t>
      </w:r>
      <w:r>
        <w:rPr>
          <w:rFonts w:cs="Arial"/>
        </w:rPr>
        <w:t>failed to perform</w:t>
      </w:r>
      <w:r w:rsidR="00D20D98">
        <w:rPr>
          <w:rFonts w:cs="Arial"/>
        </w:rPr>
        <w:t xml:space="preserve"> her</w:t>
      </w:r>
      <w:r>
        <w:rPr>
          <w:rFonts w:cs="Arial"/>
        </w:rPr>
        <w:t xml:space="preserve"> duties</w:t>
      </w:r>
      <w:r w:rsidR="00D20D98">
        <w:rPr>
          <w:rFonts w:cs="Arial"/>
        </w:rPr>
        <w:t xml:space="preserve"> to,</w:t>
      </w:r>
      <w:r>
        <w:rPr>
          <w:rFonts w:cs="Arial"/>
        </w:rPr>
        <w:t xml:space="preserve"> or carry out instructions </w:t>
      </w:r>
      <w:r w:rsidR="00B10C60">
        <w:rPr>
          <w:rFonts w:cs="Arial"/>
        </w:rPr>
        <w:t xml:space="preserve">of the Applicant </w:t>
      </w:r>
      <w:r>
        <w:rPr>
          <w:rFonts w:cs="Arial"/>
        </w:rPr>
        <w:t xml:space="preserve">as required by the ALA . </w:t>
      </w:r>
    </w:p>
    <w:p w:rsidR="00256BE3" w:rsidRDefault="00256BE3" w:rsidP="00004A25">
      <w:pPr>
        <w:jc w:val="both"/>
        <w:rPr>
          <w:rFonts w:cs="Arial"/>
        </w:rPr>
      </w:pPr>
    </w:p>
    <w:p w:rsidR="002B3042" w:rsidRDefault="00256BE3" w:rsidP="00004A25">
      <w:pPr>
        <w:jc w:val="both"/>
        <w:rPr>
          <w:rFonts w:cs="Arial"/>
        </w:rPr>
      </w:pPr>
      <w:r>
        <w:rPr>
          <w:rFonts w:cs="Arial"/>
        </w:rPr>
        <w:t>10.</w:t>
      </w:r>
      <w:r>
        <w:rPr>
          <w:rFonts w:cs="Arial"/>
        </w:rPr>
        <w:tab/>
        <w:t xml:space="preserve">The Board was assisted by </w:t>
      </w:r>
      <w:r w:rsidR="00491A75">
        <w:rPr>
          <w:rFonts w:cs="Arial"/>
        </w:rPr>
        <w:t>Bronwyn Ha</w:t>
      </w:r>
      <w:r w:rsidR="002B3042">
        <w:rPr>
          <w:rFonts w:cs="Arial"/>
        </w:rPr>
        <w:t>a</w:t>
      </w:r>
      <w:r w:rsidR="00491A75">
        <w:rPr>
          <w:rFonts w:cs="Arial"/>
        </w:rPr>
        <w:t>ck</w:t>
      </w:r>
      <w:r>
        <w:rPr>
          <w:rFonts w:cs="Arial"/>
        </w:rPr>
        <w:t xml:space="preserve"> throughout the Inquiry who called </w:t>
      </w:r>
      <w:r w:rsidR="002B3042">
        <w:rPr>
          <w:rFonts w:cs="Arial"/>
        </w:rPr>
        <w:t>the applicant and her conveyance</w:t>
      </w:r>
      <w:r w:rsidR="009F258E">
        <w:rPr>
          <w:rFonts w:cs="Arial"/>
        </w:rPr>
        <w:t>r</w:t>
      </w:r>
      <w:r w:rsidR="002B3042">
        <w:rPr>
          <w:rFonts w:cs="Arial"/>
        </w:rPr>
        <w:t>, Naomi Irvine,</w:t>
      </w:r>
      <w:r>
        <w:rPr>
          <w:rFonts w:cs="Arial"/>
        </w:rPr>
        <w:t xml:space="preserve"> to present evidence on behalf of the Applicant. </w:t>
      </w:r>
      <w:r w:rsidR="002B3042">
        <w:rPr>
          <w:rFonts w:cs="Arial"/>
        </w:rPr>
        <w:t>Tass Liveris, Counsel for the Respondent was able to cross examine the Applicant and Ms Irvine, lead evidence from the Respondent and make submissions.</w:t>
      </w:r>
    </w:p>
    <w:p w:rsidR="00226E26" w:rsidRPr="00226E26" w:rsidRDefault="00226E26" w:rsidP="00004A25">
      <w:pPr>
        <w:pStyle w:val="NormalIndent"/>
        <w:jc w:val="both"/>
      </w:pPr>
    </w:p>
    <w:p w:rsidR="003A5BFB" w:rsidRDefault="00816DA1" w:rsidP="00004A25">
      <w:pPr>
        <w:jc w:val="both"/>
        <w:rPr>
          <w:rFonts w:cs="Arial"/>
        </w:rPr>
      </w:pPr>
      <w:r>
        <w:rPr>
          <w:rFonts w:cs="Arial"/>
          <w:lang w:eastAsia="en-AU"/>
        </w:rPr>
        <w:t>1</w:t>
      </w:r>
      <w:r w:rsidR="002B3042">
        <w:rPr>
          <w:rFonts w:cs="Arial"/>
          <w:lang w:eastAsia="en-AU"/>
        </w:rPr>
        <w:t>1</w:t>
      </w:r>
      <w:r>
        <w:rPr>
          <w:rFonts w:cs="Arial"/>
          <w:lang w:eastAsia="en-AU"/>
        </w:rPr>
        <w:t>.</w:t>
      </w:r>
      <w:r>
        <w:rPr>
          <w:rFonts w:cs="Arial"/>
          <w:lang w:eastAsia="en-AU"/>
        </w:rPr>
        <w:tab/>
      </w:r>
      <w:r w:rsidR="002B3042" w:rsidRPr="00B46E13">
        <w:rPr>
          <w:rFonts w:cs="Arial"/>
        </w:rPr>
        <w:t xml:space="preserve">The Board was provided with an Inquiry Book which was </w:t>
      </w:r>
      <w:r w:rsidR="002B3042">
        <w:rPr>
          <w:rFonts w:cs="Arial"/>
        </w:rPr>
        <w:t xml:space="preserve">accepted into evidence with the agreement of the Respondent. </w:t>
      </w:r>
    </w:p>
    <w:p w:rsidR="002A0943" w:rsidRDefault="002A0943" w:rsidP="00004A25">
      <w:pPr>
        <w:pStyle w:val="NormalIndent"/>
        <w:ind w:left="0"/>
        <w:jc w:val="both"/>
        <w:rPr>
          <w:rFonts w:cs="Arial"/>
          <w:lang w:eastAsia="en-AU"/>
        </w:rPr>
      </w:pPr>
    </w:p>
    <w:p w:rsidR="002A0943" w:rsidRDefault="002A0943" w:rsidP="00004A25">
      <w:pPr>
        <w:jc w:val="both"/>
        <w:rPr>
          <w:rFonts w:cs="Arial"/>
          <w:b/>
        </w:rPr>
      </w:pPr>
      <w:r>
        <w:rPr>
          <w:rFonts w:cs="Arial"/>
          <w:b/>
        </w:rPr>
        <w:t>The Facts</w:t>
      </w:r>
      <w:r w:rsidR="00E423D6">
        <w:rPr>
          <w:rFonts w:cs="Arial"/>
          <w:b/>
        </w:rPr>
        <w:t xml:space="preserve"> </w:t>
      </w:r>
    </w:p>
    <w:p w:rsidR="002A0943" w:rsidRPr="00FA07C5" w:rsidRDefault="002A0943" w:rsidP="00004A25">
      <w:pPr>
        <w:pStyle w:val="NormalIndent"/>
        <w:jc w:val="both"/>
      </w:pPr>
    </w:p>
    <w:p w:rsidR="00B01385" w:rsidRPr="00264866" w:rsidRDefault="002A0943" w:rsidP="00004A25">
      <w:pPr>
        <w:jc w:val="both"/>
      </w:pPr>
      <w:r w:rsidRPr="00264866">
        <w:rPr>
          <w:rFonts w:cs="Arial"/>
        </w:rPr>
        <w:t>1</w:t>
      </w:r>
      <w:r w:rsidR="002B3042" w:rsidRPr="00264866">
        <w:rPr>
          <w:rFonts w:cs="Arial"/>
        </w:rPr>
        <w:t>2</w:t>
      </w:r>
      <w:r w:rsidRPr="00264866">
        <w:rPr>
          <w:rFonts w:cs="Arial"/>
        </w:rPr>
        <w:t>.</w:t>
      </w:r>
      <w:r w:rsidRPr="00264866">
        <w:rPr>
          <w:rFonts w:cs="Arial"/>
        </w:rPr>
        <w:tab/>
      </w:r>
      <w:r w:rsidR="00600A28" w:rsidRPr="00264866">
        <w:rPr>
          <w:rFonts w:cs="Arial"/>
        </w:rPr>
        <w:t>The Respondent</w:t>
      </w:r>
      <w:r w:rsidRPr="00264866">
        <w:rPr>
          <w:rFonts w:cs="Arial"/>
        </w:rPr>
        <w:t xml:space="preserve"> holds an unrestricted Real Estate Agent’s Licence, AL</w:t>
      </w:r>
      <w:r w:rsidR="002B3042" w:rsidRPr="00264866">
        <w:rPr>
          <w:rFonts w:cs="Arial"/>
        </w:rPr>
        <w:t>689</w:t>
      </w:r>
      <w:r w:rsidRPr="00264866">
        <w:rPr>
          <w:rFonts w:cs="Arial"/>
        </w:rPr>
        <w:t xml:space="preserve">, </w:t>
      </w:r>
      <w:r w:rsidR="00AA1F2E" w:rsidRPr="00264866">
        <w:rPr>
          <w:rFonts w:cs="Arial"/>
        </w:rPr>
        <w:t xml:space="preserve">and all material times </w:t>
      </w:r>
      <w:r w:rsidR="00B01385" w:rsidRPr="00264866">
        <w:rPr>
          <w:rFonts w:cs="Arial"/>
        </w:rPr>
        <w:t xml:space="preserve">was the Business Manager of </w:t>
      </w:r>
      <w:r w:rsidR="00B01385" w:rsidRPr="00264866">
        <w:t xml:space="preserve">Cate Killiner Real Estate Pty Ltd trading as Cate Killiner Real Estate, the holder of Real Estate Agent’s Licence AL690.  </w:t>
      </w:r>
    </w:p>
    <w:p w:rsidR="002A0943" w:rsidRDefault="00B01385" w:rsidP="00004A25">
      <w:pPr>
        <w:pStyle w:val="NormalIndent"/>
        <w:jc w:val="both"/>
      </w:pPr>
      <w:r>
        <w:rPr>
          <w:color w:val="1F497D"/>
        </w:rPr>
        <w:t> </w:t>
      </w:r>
    </w:p>
    <w:p w:rsidR="002A0943" w:rsidRDefault="002A0943" w:rsidP="00004A25">
      <w:pPr>
        <w:pStyle w:val="NormalIndent"/>
        <w:ind w:left="0"/>
        <w:jc w:val="both"/>
      </w:pPr>
      <w:r>
        <w:t>1</w:t>
      </w:r>
      <w:r w:rsidR="00A927EF">
        <w:t>3</w:t>
      </w:r>
      <w:r>
        <w:t>.</w:t>
      </w:r>
      <w:r w:rsidR="008D20D8">
        <w:tab/>
      </w:r>
      <w:r w:rsidR="00B01385">
        <w:t>The Applicant</w:t>
      </w:r>
      <w:r w:rsidR="00D20D98">
        <w:t>,</w:t>
      </w:r>
      <w:r w:rsidR="00B01385">
        <w:t xml:space="preserve"> having decided to sell her home and relocate to a villa she had agreed to purchase at Pearl Retirement Resort, Fannie Bay, </w:t>
      </w:r>
      <w:r w:rsidR="00A927EF">
        <w:t xml:space="preserve">entered into an </w:t>
      </w:r>
      <w:r w:rsidR="0028772F">
        <w:t>agreement</w:t>
      </w:r>
      <w:r w:rsidR="00B01385">
        <w:t>,</w:t>
      </w:r>
      <w:r w:rsidR="0028772F">
        <w:t xml:space="preserve"> </w:t>
      </w:r>
      <w:r w:rsidR="00B01385">
        <w:t>on 10</w:t>
      </w:r>
      <w:r w:rsidR="00B01385" w:rsidRPr="0028772F">
        <w:rPr>
          <w:vertAlign w:val="superscript"/>
        </w:rPr>
        <w:t>th</w:t>
      </w:r>
      <w:r w:rsidR="00B01385">
        <w:t xml:space="preserve"> April 2012, </w:t>
      </w:r>
      <w:r w:rsidR="006349F6">
        <w:t>appointing Cate Killiner Real Estate Pty Ltd, trading as Cate Killiner Real Estate as agent for sale of Ble</w:t>
      </w:r>
      <w:r w:rsidR="00B650F8">
        <w:t>e</w:t>
      </w:r>
      <w:r w:rsidR="006349F6">
        <w:t>ser Street</w:t>
      </w:r>
      <w:r w:rsidR="00600A28">
        <w:t xml:space="preserve">. </w:t>
      </w:r>
      <w:r w:rsidR="006349F6">
        <w:t>The Professional Fee section of the standard agreement was deleted and replaced with a hand-written notation “Fair Fee”. No defini</w:t>
      </w:r>
      <w:r w:rsidR="007D6FC2">
        <w:t>tion of “Fair Fee” was included; nor was a formal indication of the amount of such fee ever given to the Applicant by the Respondent, despite reques</w:t>
      </w:r>
      <w:r w:rsidR="00D85AED">
        <w:t>ts for such particularisation.</w:t>
      </w:r>
    </w:p>
    <w:p w:rsidR="0001693B" w:rsidRDefault="0001693B" w:rsidP="00004A25">
      <w:pPr>
        <w:jc w:val="both"/>
        <w:rPr>
          <w:rFonts w:cs="Arial"/>
        </w:rPr>
      </w:pPr>
    </w:p>
    <w:p w:rsidR="00110D06" w:rsidRDefault="00733EBE" w:rsidP="00004A25">
      <w:pPr>
        <w:pStyle w:val="NormalIndent"/>
        <w:ind w:left="0"/>
        <w:jc w:val="both"/>
        <w:rPr>
          <w:lang w:val="en-US"/>
        </w:rPr>
      </w:pPr>
      <w:r>
        <w:rPr>
          <w:lang w:val="en-US"/>
        </w:rPr>
        <w:t>1</w:t>
      </w:r>
      <w:r w:rsidR="006349F6">
        <w:rPr>
          <w:lang w:val="en-US"/>
        </w:rPr>
        <w:t>4.</w:t>
      </w:r>
      <w:r w:rsidR="006349F6">
        <w:rPr>
          <w:lang w:val="en-US"/>
        </w:rPr>
        <w:tab/>
        <w:t>Ble</w:t>
      </w:r>
      <w:r w:rsidR="00B650F8">
        <w:rPr>
          <w:lang w:val="en-US"/>
        </w:rPr>
        <w:t>e</w:t>
      </w:r>
      <w:r w:rsidR="006349F6">
        <w:rPr>
          <w:lang w:val="en-US"/>
        </w:rPr>
        <w:t>ser Street remained unsold and, on 7</w:t>
      </w:r>
      <w:r w:rsidR="006349F6" w:rsidRPr="006349F6">
        <w:rPr>
          <w:vertAlign w:val="superscript"/>
          <w:lang w:val="en-US"/>
        </w:rPr>
        <w:t>th</w:t>
      </w:r>
      <w:r w:rsidR="006349F6">
        <w:rPr>
          <w:lang w:val="en-US"/>
        </w:rPr>
        <w:t xml:space="preserve"> November 2012, </w:t>
      </w:r>
      <w:r w:rsidR="009F258E">
        <w:rPr>
          <w:lang w:val="en-US"/>
        </w:rPr>
        <w:t>t</w:t>
      </w:r>
      <w:r w:rsidR="006349F6">
        <w:rPr>
          <w:lang w:val="en-US"/>
        </w:rPr>
        <w:t xml:space="preserve">he Respondent met with the Applicant to review two offers. </w:t>
      </w:r>
      <w:r w:rsidR="00B650F8">
        <w:rPr>
          <w:lang w:val="en-US"/>
        </w:rPr>
        <w:t>The Applicant chose to proceed with the higher offer of $1,030,000 made by Nigel and Jacinta Doyle</w:t>
      </w:r>
      <w:r w:rsidR="006A199A">
        <w:rPr>
          <w:lang w:val="en-US"/>
        </w:rPr>
        <w:t xml:space="preserve"> </w:t>
      </w:r>
      <w:r w:rsidR="006A199A">
        <w:t>(hereinafter called “the Purchasers”)</w:t>
      </w:r>
      <w:r w:rsidR="00B650F8">
        <w:rPr>
          <w:lang w:val="en-US"/>
        </w:rPr>
        <w:t xml:space="preserve">, giving instructions to the Respondent by email </w:t>
      </w:r>
      <w:r w:rsidR="00C74D8B">
        <w:rPr>
          <w:lang w:val="en-US"/>
        </w:rPr>
        <w:t>dated 8</w:t>
      </w:r>
      <w:r w:rsidR="00C74D8B" w:rsidRPr="00C74D8B">
        <w:rPr>
          <w:vertAlign w:val="superscript"/>
          <w:lang w:val="en-US"/>
        </w:rPr>
        <w:t>th</w:t>
      </w:r>
      <w:r w:rsidR="00C74D8B">
        <w:rPr>
          <w:lang w:val="en-US"/>
        </w:rPr>
        <w:t xml:space="preserve"> November </w:t>
      </w:r>
      <w:r w:rsidR="00D85AED">
        <w:rPr>
          <w:lang w:val="en-US"/>
        </w:rPr>
        <w:t xml:space="preserve">2012, </w:t>
      </w:r>
      <w:r w:rsidR="00C74D8B">
        <w:rPr>
          <w:lang w:val="en-US"/>
        </w:rPr>
        <w:t>that she would accept that offer.</w:t>
      </w:r>
      <w:r w:rsidR="00B01385">
        <w:rPr>
          <w:lang w:val="en-US"/>
        </w:rPr>
        <w:t xml:space="preserve"> The Applicant was disappointed with the amount of the offer, having hoped to secure a greater price, but decided to proceed as the property had been on the market for some time.</w:t>
      </w:r>
    </w:p>
    <w:p w:rsidR="00B650F8" w:rsidRDefault="00D85AED" w:rsidP="00004A25">
      <w:pPr>
        <w:pStyle w:val="NormalIndent"/>
        <w:ind w:left="0"/>
        <w:jc w:val="both"/>
        <w:rPr>
          <w:rFonts w:cs="Arial"/>
        </w:rPr>
      </w:pPr>
      <w:r>
        <w:rPr>
          <w:rFonts w:cs="Arial"/>
        </w:rPr>
        <w:br w:type="page"/>
      </w:r>
    </w:p>
    <w:p w:rsidR="00E423D6" w:rsidRDefault="008D20D8" w:rsidP="00004A25">
      <w:pPr>
        <w:pStyle w:val="NormalIndent"/>
        <w:ind w:left="0"/>
        <w:jc w:val="both"/>
        <w:rPr>
          <w:rFonts w:cs="Arial"/>
        </w:rPr>
      </w:pPr>
      <w:r>
        <w:rPr>
          <w:rFonts w:cs="Arial"/>
        </w:rPr>
        <w:lastRenderedPageBreak/>
        <w:t>1</w:t>
      </w:r>
      <w:r w:rsidR="00C74D8B">
        <w:rPr>
          <w:rFonts w:cs="Arial"/>
        </w:rPr>
        <w:t>5</w:t>
      </w:r>
      <w:r w:rsidR="00901CF0">
        <w:rPr>
          <w:rFonts w:cs="Arial"/>
        </w:rPr>
        <w:t>.</w:t>
      </w:r>
      <w:r>
        <w:rPr>
          <w:rFonts w:cs="Arial"/>
        </w:rPr>
        <w:tab/>
      </w:r>
      <w:r w:rsidR="00C74D8B">
        <w:rPr>
          <w:rFonts w:cs="Arial"/>
        </w:rPr>
        <w:t>On the 10</w:t>
      </w:r>
      <w:r w:rsidR="00C74D8B" w:rsidRPr="00C74D8B">
        <w:rPr>
          <w:rFonts w:cs="Arial"/>
          <w:vertAlign w:val="superscript"/>
        </w:rPr>
        <w:t>th</w:t>
      </w:r>
      <w:r w:rsidR="00C74D8B">
        <w:rPr>
          <w:rFonts w:cs="Arial"/>
        </w:rPr>
        <w:t xml:space="preserve"> November 2012</w:t>
      </w:r>
      <w:r w:rsidR="00D85AED">
        <w:rPr>
          <w:rFonts w:cs="Arial"/>
        </w:rPr>
        <w:t>,</w:t>
      </w:r>
      <w:r w:rsidR="00C74D8B">
        <w:rPr>
          <w:rFonts w:cs="Arial"/>
        </w:rPr>
        <w:t xml:space="preserve"> the Respondent brought a document</w:t>
      </w:r>
      <w:r w:rsidR="007D6FC2">
        <w:rPr>
          <w:rFonts w:cs="Arial"/>
        </w:rPr>
        <w:t xml:space="preserve">, </w:t>
      </w:r>
      <w:r w:rsidR="00C74D8B">
        <w:rPr>
          <w:rFonts w:cs="Arial"/>
        </w:rPr>
        <w:t>entitled “Contract of S</w:t>
      </w:r>
      <w:r w:rsidR="00C43712">
        <w:rPr>
          <w:rFonts w:cs="Arial"/>
        </w:rPr>
        <w:t>ale”</w:t>
      </w:r>
      <w:r w:rsidR="007D6FC2">
        <w:rPr>
          <w:rFonts w:cs="Arial"/>
        </w:rPr>
        <w:t>,</w:t>
      </w:r>
      <w:r w:rsidR="00C43712">
        <w:rPr>
          <w:rFonts w:cs="Arial"/>
        </w:rPr>
        <w:t xml:space="preserve"> to the Respondent’s house</w:t>
      </w:r>
      <w:r w:rsidR="007D6FC2">
        <w:rPr>
          <w:rFonts w:cs="Arial"/>
        </w:rPr>
        <w:t>. T</w:t>
      </w:r>
      <w:r w:rsidR="00C43712">
        <w:rPr>
          <w:rFonts w:cs="Arial"/>
        </w:rPr>
        <w:t>he Respondent signed</w:t>
      </w:r>
      <w:r w:rsidR="007D6FC2">
        <w:rPr>
          <w:rFonts w:cs="Arial"/>
        </w:rPr>
        <w:t xml:space="preserve"> that document</w:t>
      </w:r>
      <w:r w:rsidR="004B113D">
        <w:rPr>
          <w:rFonts w:cs="Arial"/>
        </w:rPr>
        <w:t xml:space="preserve">. During the parties’ evidence </w:t>
      </w:r>
      <w:r w:rsidR="000E1051">
        <w:rPr>
          <w:rFonts w:cs="Arial"/>
        </w:rPr>
        <w:t xml:space="preserve">it became apparent that the Applicant understood and believed, at all material times, that upon signing the document or shortly thereafter, she had entered </w:t>
      </w:r>
      <w:r w:rsidR="009F258E">
        <w:rPr>
          <w:rFonts w:cs="Arial"/>
        </w:rPr>
        <w:t xml:space="preserve">into </w:t>
      </w:r>
      <w:r w:rsidR="000E1051">
        <w:rPr>
          <w:rFonts w:cs="Arial"/>
        </w:rPr>
        <w:t xml:space="preserve">a binding contract of sale with </w:t>
      </w:r>
      <w:r w:rsidR="006A199A">
        <w:rPr>
          <w:rFonts w:cs="Arial"/>
        </w:rPr>
        <w:t>the Purchasers</w:t>
      </w:r>
      <w:r w:rsidR="000E1051">
        <w:rPr>
          <w:lang w:val="en-US"/>
        </w:rPr>
        <w:t xml:space="preserve"> on terms that they would purchase Bleeser Street for $1,030,000</w:t>
      </w:r>
      <w:r w:rsidR="00611541">
        <w:rPr>
          <w:lang w:val="en-US"/>
        </w:rPr>
        <w:t>,</w:t>
      </w:r>
      <w:r w:rsidR="000E1051">
        <w:rPr>
          <w:lang w:val="en-US"/>
        </w:rPr>
        <w:t xml:space="preserve"> pay a deposit of $100,000</w:t>
      </w:r>
      <w:r w:rsidR="00611541">
        <w:rPr>
          <w:lang w:val="en-US"/>
        </w:rPr>
        <w:t xml:space="preserve"> with finance to be arranged by 30</w:t>
      </w:r>
      <w:r w:rsidR="00611541" w:rsidRPr="00611541">
        <w:rPr>
          <w:vertAlign w:val="superscript"/>
          <w:lang w:val="en-US"/>
        </w:rPr>
        <w:t>th</w:t>
      </w:r>
      <w:r w:rsidR="00611541">
        <w:rPr>
          <w:lang w:val="en-US"/>
        </w:rPr>
        <w:t xml:space="preserve"> November 2012 and settlement on </w:t>
      </w:r>
      <w:r w:rsidR="00591237">
        <w:rPr>
          <w:lang w:val="en-US"/>
        </w:rPr>
        <w:t>14</w:t>
      </w:r>
      <w:r w:rsidR="00591237" w:rsidRPr="00591237">
        <w:rPr>
          <w:vertAlign w:val="superscript"/>
          <w:lang w:val="en-US"/>
        </w:rPr>
        <w:t>th</w:t>
      </w:r>
      <w:r w:rsidR="00591237">
        <w:rPr>
          <w:lang w:val="en-US"/>
        </w:rPr>
        <w:t xml:space="preserve"> December 2012</w:t>
      </w:r>
      <w:r w:rsidR="00611541">
        <w:rPr>
          <w:lang w:val="en-US"/>
        </w:rPr>
        <w:t>,</w:t>
      </w:r>
      <w:r w:rsidR="000E1051">
        <w:rPr>
          <w:lang w:val="en-US"/>
        </w:rPr>
        <w:t xml:space="preserve"> such terms being recorded by handwritten insertions in the document as signed.</w:t>
      </w:r>
      <w:r w:rsidR="009F258E">
        <w:rPr>
          <w:lang w:val="en-US"/>
        </w:rPr>
        <w:t xml:space="preserve"> The Applicant further believed that all purchasers introduced through the Respondent were “pre-approved” for finance so that any finance clause was a formality.</w:t>
      </w:r>
      <w:r w:rsidR="000E1051">
        <w:rPr>
          <w:lang w:val="en-US"/>
        </w:rPr>
        <w:t xml:space="preserve"> In fact, no contract was formed on those terms as </w:t>
      </w:r>
      <w:r w:rsidR="006A199A">
        <w:rPr>
          <w:lang w:val="en-US"/>
        </w:rPr>
        <w:t>the Purchasers</w:t>
      </w:r>
      <w:r w:rsidR="000E1051">
        <w:rPr>
          <w:lang w:val="en-US"/>
        </w:rPr>
        <w:t xml:space="preserve"> neither signed the document nor paid the deposit. The Applicant, however, believed that a binding contract of sale existed and had been forwarded </w:t>
      </w:r>
      <w:r w:rsidR="00591237">
        <w:rPr>
          <w:lang w:val="en-US"/>
        </w:rPr>
        <w:t xml:space="preserve">by the Respondent </w:t>
      </w:r>
      <w:r w:rsidR="000E1051">
        <w:rPr>
          <w:lang w:val="en-US"/>
        </w:rPr>
        <w:t>to her conveyance</w:t>
      </w:r>
      <w:r w:rsidR="00B01385">
        <w:rPr>
          <w:lang w:val="en-US"/>
        </w:rPr>
        <w:t>r</w:t>
      </w:r>
      <w:r w:rsidR="00D85AED">
        <w:rPr>
          <w:lang w:val="en-US"/>
        </w:rPr>
        <w:t>, Naomi </w:t>
      </w:r>
      <w:r w:rsidR="00B01385">
        <w:rPr>
          <w:lang w:val="en-US"/>
        </w:rPr>
        <w:t>Irvine</w:t>
      </w:r>
      <w:r w:rsidR="00591237">
        <w:rPr>
          <w:lang w:val="en-US"/>
        </w:rPr>
        <w:t>.</w:t>
      </w:r>
      <w:r w:rsidR="00B01385">
        <w:rPr>
          <w:lang w:val="en-US"/>
        </w:rPr>
        <w:t xml:space="preserve"> </w:t>
      </w:r>
      <w:r w:rsidR="00591237">
        <w:rPr>
          <w:lang w:val="en-US"/>
        </w:rPr>
        <w:t>F</w:t>
      </w:r>
      <w:r w:rsidR="00B01385">
        <w:rPr>
          <w:lang w:val="en-US"/>
        </w:rPr>
        <w:t>rom that point in time</w:t>
      </w:r>
      <w:r w:rsidR="00591237">
        <w:rPr>
          <w:lang w:val="en-US"/>
        </w:rPr>
        <w:t>, the Applicant</w:t>
      </w:r>
      <w:r w:rsidR="00B01385">
        <w:rPr>
          <w:lang w:val="en-US"/>
        </w:rPr>
        <w:t xml:space="preserve"> acted upon that belief</w:t>
      </w:r>
      <w:r w:rsidR="0064229B">
        <w:rPr>
          <w:lang w:val="en-US"/>
        </w:rPr>
        <w:t xml:space="preserve"> by, inter alia, making arrangements for her move to Pearl Retirement Resort.</w:t>
      </w:r>
      <w:r w:rsidR="00EC31A8">
        <w:rPr>
          <w:lang w:val="en-US"/>
        </w:rPr>
        <w:t xml:space="preserve"> The Respondent ceased to advertise or otherwise offer the property for sale.</w:t>
      </w:r>
    </w:p>
    <w:p w:rsidR="00C74D8B" w:rsidRDefault="00C74D8B" w:rsidP="00004A25">
      <w:pPr>
        <w:pStyle w:val="NormalIndent"/>
        <w:ind w:left="0"/>
        <w:jc w:val="both"/>
        <w:rPr>
          <w:rFonts w:cs="Arial"/>
        </w:rPr>
      </w:pPr>
    </w:p>
    <w:p w:rsidR="0030524F" w:rsidRDefault="00E423D6" w:rsidP="00004A25">
      <w:pPr>
        <w:pStyle w:val="NormalIndent"/>
        <w:ind w:left="0"/>
        <w:jc w:val="both"/>
        <w:rPr>
          <w:rFonts w:cs="Arial"/>
        </w:rPr>
      </w:pPr>
      <w:r>
        <w:rPr>
          <w:rFonts w:cs="Arial"/>
        </w:rPr>
        <w:t>1</w:t>
      </w:r>
      <w:r w:rsidR="001C085A">
        <w:rPr>
          <w:rFonts w:cs="Arial"/>
        </w:rPr>
        <w:t>6</w:t>
      </w:r>
      <w:r>
        <w:rPr>
          <w:rFonts w:cs="Arial"/>
        </w:rPr>
        <w:t>.</w:t>
      </w:r>
      <w:r>
        <w:rPr>
          <w:rFonts w:cs="Arial"/>
        </w:rPr>
        <w:tab/>
      </w:r>
      <w:r w:rsidR="006A199A">
        <w:rPr>
          <w:rFonts w:cs="Arial"/>
        </w:rPr>
        <w:t>The Purchasers, in fact, were not in a position to buy Ble</w:t>
      </w:r>
      <w:r w:rsidR="00591237">
        <w:rPr>
          <w:rFonts w:cs="Arial"/>
        </w:rPr>
        <w:t>e</w:t>
      </w:r>
      <w:r w:rsidR="006A199A">
        <w:rPr>
          <w:rFonts w:cs="Arial"/>
        </w:rPr>
        <w:t>ser Street without finance for the whole amount of the purchase price or the sale of one of their other properties. The Applicant’s evidence</w:t>
      </w:r>
      <w:r w:rsidR="00611541">
        <w:rPr>
          <w:rFonts w:cs="Arial"/>
        </w:rPr>
        <w:t xml:space="preserve"> and email correspondence </w:t>
      </w:r>
      <w:r w:rsidR="006A199A">
        <w:rPr>
          <w:rFonts w:cs="Arial"/>
        </w:rPr>
        <w:t>indicated that she was unaware of or did not un</w:t>
      </w:r>
      <w:r w:rsidR="00591237">
        <w:rPr>
          <w:rFonts w:cs="Arial"/>
        </w:rPr>
        <w:t>derstand that state of affairs</w:t>
      </w:r>
      <w:r w:rsidR="00B6779D">
        <w:rPr>
          <w:rFonts w:cs="Arial"/>
        </w:rPr>
        <w:t xml:space="preserve"> and, by email to the Respondent on 21</w:t>
      </w:r>
      <w:r w:rsidR="00B6779D" w:rsidRPr="00B6779D">
        <w:rPr>
          <w:rFonts w:cs="Arial"/>
          <w:vertAlign w:val="superscript"/>
        </w:rPr>
        <w:t>st</w:t>
      </w:r>
      <w:r w:rsidR="00B6779D">
        <w:rPr>
          <w:rFonts w:cs="Arial"/>
        </w:rPr>
        <w:t xml:space="preserve"> November</w:t>
      </w:r>
      <w:r w:rsidR="00D85AED">
        <w:rPr>
          <w:rFonts w:cs="Arial"/>
        </w:rPr>
        <w:t xml:space="preserve"> 2012</w:t>
      </w:r>
      <w:r w:rsidR="00B6779D">
        <w:rPr>
          <w:rFonts w:cs="Arial"/>
        </w:rPr>
        <w:t>,</w:t>
      </w:r>
      <w:r w:rsidR="00591237">
        <w:rPr>
          <w:rFonts w:cs="Arial"/>
        </w:rPr>
        <w:t xml:space="preserve"> requested an extension of the date for settlement to 17</w:t>
      </w:r>
      <w:r w:rsidR="00591237" w:rsidRPr="00591237">
        <w:rPr>
          <w:rFonts w:cs="Arial"/>
          <w:vertAlign w:val="superscript"/>
        </w:rPr>
        <w:t>th</w:t>
      </w:r>
      <w:r w:rsidR="00591237">
        <w:rPr>
          <w:rFonts w:cs="Arial"/>
        </w:rPr>
        <w:t xml:space="preserve"> December </w:t>
      </w:r>
      <w:r w:rsidR="00D85AED">
        <w:rPr>
          <w:rFonts w:cs="Arial"/>
        </w:rPr>
        <w:t xml:space="preserve">2012, </w:t>
      </w:r>
      <w:r w:rsidR="00591237">
        <w:rPr>
          <w:rFonts w:cs="Arial"/>
        </w:rPr>
        <w:t>to enable her to move her possessions</w:t>
      </w:r>
      <w:r w:rsidR="00B6779D">
        <w:rPr>
          <w:rFonts w:cs="Arial"/>
        </w:rPr>
        <w:t>.</w:t>
      </w:r>
    </w:p>
    <w:p w:rsidR="006A199A" w:rsidRDefault="006A199A" w:rsidP="00004A25">
      <w:pPr>
        <w:pStyle w:val="NormalIndent"/>
        <w:ind w:left="0"/>
        <w:jc w:val="both"/>
        <w:rPr>
          <w:rFonts w:cs="Arial"/>
        </w:rPr>
      </w:pPr>
    </w:p>
    <w:p w:rsidR="006A199A" w:rsidRDefault="006A199A" w:rsidP="00004A25">
      <w:pPr>
        <w:pStyle w:val="NormalIndent"/>
        <w:ind w:left="0"/>
        <w:jc w:val="both"/>
        <w:rPr>
          <w:lang w:val="en-US"/>
        </w:rPr>
      </w:pPr>
      <w:r>
        <w:rPr>
          <w:rFonts w:cs="Arial"/>
        </w:rPr>
        <w:t>17.</w:t>
      </w:r>
      <w:r>
        <w:rPr>
          <w:rFonts w:cs="Arial"/>
        </w:rPr>
        <w:tab/>
      </w:r>
      <w:r w:rsidR="00611541">
        <w:rPr>
          <w:rFonts w:cs="Arial"/>
        </w:rPr>
        <w:t xml:space="preserve">The </w:t>
      </w:r>
      <w:r w:rsidR="00B6779D">
        <w:rPr>
          <w:rFonts w:cs="Arial"/>
        </w:rPr>
        <w:t>Respondent</w:t>
      </w:r>
      <w:r w:rsidR="00611541">
        <w:rPr>
          <w:rFonts w:cs="Arial"/>
        </w:rPr>
        <w:t xml:space="preserve"> met with the </w:t>
      </w:r>
      <w:r w:rsidR="00B6779D">
        <w:rPr>
          <w:rFonts w:cs="Arial"/>
        </w:rPr>
        <w:t xml:space="preserve">Applicant </w:t>
      </w:r>
      <w:r w:rsidR="00611541">
        <w:rPr>
          <w:rFonts w:cs="Arial"/>
        </w:rPr>
        <w:t>on 12</w:t>
      </w:r>
      <w:r w:rsidR="00611541" w:rsidRPr="00611541">
        <w:rPr>
          <w:rFonts w:cs="Arial"/>
          <w:vertAlign w:val="superscript"/>
        </w:rPr>
        <w:t>th</w:t>
      </w:r>
      <w:r w:rsidR="00611541">
        <w:rPr>
          <w:rFonts w:cs="Arial"/>
        </w:rPr>
        <w:t xml:space="preserve"> December</w:t>
      </w:r>
      <w:r w:rsidR="00B6779D">
        <w:rPr>
          <w:rFonts w:cs="Arial"/>
        </w:rPr>
        <w:t xml:space="preserve"> 2012 and advised her that the Purchasers could not proceed without an extension of the finance date or sale of another property. On 13th December 2012</w:t>
      </w:r>
      <w:r w:rsidR="00D85AED">
        <w:rPr>
          <w:rFonts w:cs="Arial"/>
        </w:rPr>
        <w:t>,</w:t>
      </w:r>
      <w:r w:rsidR="00B6779D">
        <w:rPr>
          <w:rFonts w:cs="Arial"/>
        </w:rPr>
        <w:t xml:space="preserve"> a further copy of the contract was hand delivered to the Applicant with hand-written amendments. Those amendments were not initialled. The contract </w:t>
      </w:r>
      <w:r w:rsidR="00EC31A8">
        <w:rPr>
          <w:rFonts w:cs="Arial"/>
        </w:rPr>
        <w:t xml:space="preserve">so </w:t>
      </w:r>
      <w:r w:rsidR="00B6779D">
        <w:rPr>
          <w:rFonts w:cs="Arial"/>
        </w:rPr>
        <w:t xml:space="preserve">amended </w:t>
      </w:r>
      <w:r w:rsidR="00EC31A8">
        <w:rPr>
          <w:rFonts w:cs="Arial"/>
        </w:rPr>
        <w:t>and dated 13</w:t>
      </w:r>
      <w:r w:rsidR="00EC31A8" w:rsidRPr="00EC31A8">
        <w:rPr>
          <w:rFonts w:cs="Arial"/>
          <w:vertAlign w:val="superscript"/>
        </w:rPr>
        <w:t>th</w:t>
      </w:r>
      <w:r w:rsidR="00EC31A8">
        <w:rPr>
          <w:rFonts w:cs="Arial"/>
        </w:rPr>
        <w:t xml:space="preserve"> December 2012</w:t>
      </w:r>
      <w:r w:rsidR="00D85AED">
        <w:rPr>
          <w:rFonts w:cs="Arial"/>
        </w:rPr>
        <w:t>,</w:t>
      </w:r>
      <w:r w:rsidR="00EC31A8">
        <w:rPr>
          <w:rFonts w:cs="Arial"/>
        </w:rPr>
        <w:t xml:space="preserve"> was duly exchanged. It </w:t>
      </w:r>
      <w:r w:rsidR="00B6779D">
        <w:rPr>
          <w:rFonts w:cs="Arial"/>
        </w:rPr>
        <w:t xml:space="preserve">provided for a purchase price of $1,030,000, </w:t>
      </w:r>
      <w:r w:rsidR="00EC31A8">
        <w:rPr>
          <w:lang w:val="en-US"/>
        </w:rPr>
        <w:t xml:space="preserve">pay a deposit of </w:t>
      </w:r>
      <w:r w:rsidR="00F16FE8">
        <w:rPr>
          <w:lang w:val="en-US"/>
        </w:rPr>
        <w:t>“</w:t>
      </w:r>
      <w:r w:rsidR="00EC31A8">
        <w:rPr>
          <w:lang w:val="en-US"/>
        </w:rPr>
        <w:t>$100,000 ($10,000 to be paid on 13</w:t>
      </w:r>
      <w:r w:rsidR="00EC31A8" w:rsidRPr="00EC31A8">
        <w:rPr>
          <w:vertAlign w:val="superscript"/>
          <w:lang w:val="en-US"/>
        </w:rPr>
        <w:t>th</w:t>
      </w:r>
      <w:r w:rsidR="00D85AED">
        <w:rPr>
          <w:lang w:val="en-US"/>
        </w:rPr>
        <w:t> </w:t>
      </w:r>
      <w:r w:rsidR="00EC31A8">
        <w:rPr>
          <w:lang w:val="en-US"/>
        </w:rPr>
        <w:t>December 2012, remainder on settlement)</w:t>
      </w:r>
      <w:r w:rsidR="00F16FE8">
        <w:rPr>
          <w:lang w:val="en-US"/>
        </w:rPr>
        <w:t>”</w:t>
      </w:r>
      <w:r w:rsidR="00EC31A8">
        <w:rPr>
          <w:lang w:val="en-US"/>
        </w:rPr>
        <w:t xml:space="preserve"> with finance of $1,030,000 to be arranged by 7</w:t>
      </w:r>
      <w:r w:rsidR="00EC31A8" w:rsidRPr="00611541">
        <w:rPr>
          <w:vertAlign w:val="superscript"/>
          <w:lang w:val="en-US"/>
        </w:rPr>
        <w:t>th</w:t>
      </w:r>
      <w:r w:rsidR="00EC31A8">
        <w:rPr>
          <w:lang w:val="en-US"/>
        </w:rPr>
        <w:t xml:space="preserve"> January 2013 and </w:t>
      </w:r>
      <w:r w:rsidR="00F16FE8">
        <w:rPr>
          <w:lang w:val="en-US"/>
        </w:rPr>
        <w:t>completion date</w:t>
      </w:r>
      <w:r w:rsidR="00EC31A8">
        <w:rPr>
          <w:lang w:val="en-US"/>
        </w:rPr>
        <w:t xml:space="preserve"> </w:t>
      </w:r>
      <w:r w:rsidR="00D85AED">
        <w:rPr>
          <w:lang w:val="en-US"/>
        </w:rPr>
        <w:t>“</w:t>
      </w:r>
      <w:r w:rsidR="00F16FE8">
        <w:rPr>
          <w:lang w:val="en-US"/>
        </w:rPr>
        <w:t>31</w:t>
      </w:r>
      <w:r w:rsidR="00F16FE8" w:rsidRPr="00F16FE8">
        <w:rPr>
          <w:vertAlign w:val="superscript"/>
          <w:lang w:val="en-US"/>
        </w:rPr>
        <w:t>st</w:t>
      </w:r>
      <w:r w:rsidR="00F16FE8">
        <w:rPr>
          <w:lang w:val="en-US"/>
        </w:rPr>
        <w:t xml:space="preserve"> January 2013 on or before”.</w:t>
      </w:r>
    </w:p>
    <w:p w:rsidR="00F16FE8" w:rsidRDefault="00F16FE8" w:rsidP="00004A25">
      <w:pPr>
        <w:pStyle w:val="NormalIndent"/>
        <w:ind w:left="0"/>
        <w:jc w:val="both"/>
        <w:rPr>
          <w:rFonts w:cs="Arial"/>
        </w:rPr>
      </w:pPr>
    </w:p>
    <w:p w:rsidR="0030524F" w:rsidRDefault="0030524F" w:rsidP="00004A25">
      <w:pPr>
        <w:pStyle w:val="NormalIndent"/>
        <w:ind w:left="0"/>
        <w:jc w:val="both"/>
        <w:rPr>
          <w:rFonts w:cs="Arial"/>
        </w:rPr>
      </w:pPr>
      <w:r>
        <w:rPr>
          <w:rFonts w:cs="Arial"/>
        </w:rPr>
        <w:t>1</w:t>
      </w:r>
      <w:r w:rsidR="00F16FE8">
        <w:rPr>
          <w:rFonts w:cs="Arial"/>
        </w:rPr>
        <w:t>8</w:t>
      </w:r>
      <w:r>
        <w:rPr>
          <w:rFonts w:cs="Arial"/>
        </w:rPr>
        <w:t>.</w:t>
      </w:r>
      <w:r>
        <w:rPr>
          <w:rFonts w:cs="Arial"/>
        </w:rPr>
        <w:tab/>
      </w:r>
      <w:r w:rsidR="00F16FE8">
        <w:rPr>
          <w:rFonts w:cs="Arial"/>
        </w:rPr>
        <w:t>It was appar</w:t>
      </w:r>
      <w:r w:rsidR="008A4F78">
        <w:rPr>
          <w:rFonts w:cs="Arial"/>
        </w:rPr>
        <w:t>ent f</w:t>
      </w:r>
      <w:r w:rsidR="00F16FE8">
        <w:rPr>
          <w:rFonts w:cs="Arial"/>
        </w:rPr>
        <w:t>r</w:t>
      </w:r>
      <w:r w:rsidR="008A4F78">
        <w:rPr>
          <w:rFonts w:cs="Arial"/>
        </w:rPr>
        <w:t>o</w:t>
      </w:r>
      <w:r w:rsidR="00F16FE8">
        <w:rPr>
          <w:rFonts w:cs="Arial"/>
        </w:rPr>
        <w:t xml:space="preserve">m the Applicant’s evidence that </w:t>
      </w:r>
      <w:r w:rsidR="00B33ED0">
        <w:rPr>
          <w:rFonts w:cs="Arial"/>
        </w:rPr>
        <w:t>she</w:t>
      </w:r>
      <w:r w:rsidR="00F16FE8">
        <w:rPr>
          <w:rFonts w:cs="Arial"/>
        </w:rPr>
        <w:t xml:space="preserve"> remained confused as to the date on which a binding contract came into effect and eventually agreed </w:t>
      </w:r>
      <w:r w:rsidR="00112540">
        <w:rPr>
          <w:rFonts w:cs="Arial"/>
        </w:rPr>
        <w:t xml:space="preserve">on cross-examination </w:t>
      </w:r>
      <w:r w:rsidR="00F16FE8">
        <w:rPr>
          <w:rFonts w:cs="Arial"/>
        </w:rPr>
        <w:t xml:space="preserve">that </w:t>
      </w:r>
      <w:r w:rsidR="00B33ED0">
        <w:rPr>
          <w:rFonts w:cs="Arial"/>
        </w:rPr>
        <w:t>she</w:t>
      </w:r>
      <w:r w:rsidR="00F16FE8">
        <w:rPr>
          <w:rFonts w:cs="Arial"/>
        </w:rPr>
        <w:t xml:space="preserve"> had given instructions or at least consented to the handwritten amendments to the dates for completion and</w:t>
      </w:r>
      <w:r>
        <w:rPr>
          <w:rFonts w:cs="Arial"/>
        </w:rPr>
        <w:t xml:space="preserve"> </w:t>
      </w:r>
      <w:r w:rsidR="00F16FE8">
        <w:rPr>
          <w:rFonts w:cs="Arial"/>
        </w:rPr>
        <w:t xml:space="preserve">finance that formed part of the </w:t>
      </w:r>
      <w:r w:rsidR="008A4F78">
        <w:rPr>
          <w:rFonts w:cs="Arial"/>
        </w:rPr>
        <w:t>C</w:t>
      </w:r>
      <w:r w:rsidR="00F16FE8">
        <w:rPr>
          <w:rFonts w:cs="Arial"/>
        </w:rPr>
        <w:t xml:space="preserve">ontract as exchanged. </w:t>
      </w:r>
      <w:r w:rsidR="00D85AED">
        <w:rPr>
          <w:rFonts w:cs="Arial"/>
        </w:rPr>
        <w:t>The Applicant</w:t>
      </w:r>
      <w:r w:rsidR="00F16FE8">
        <w:rPr>
          <w:rFonts w:cs="Arial"/>
        </w:rPr>
        <w:t xml:space="preserve">, however, remained adamant that </w:t>
      </w:r>
      <w:r w:rsidR="00112540">
        <w:rPr>
          <w:rFonts w:cs="Arial"/>
        </w:rPr>
        <w:t xml:space="preserve">at no point had she agreed to an amendment to the deposit conditions. </w:t>
      </w:r>
      <w:r w:rsidR="006F4708">
        <w:rPr>
          <w:rFonts w:cs="Arial"/>
        </w:rPr>
        <w:t>The Respondent</w:t>
      </w:r>
      <w:r w:rsidR="008A4F78">
        <w:rPr>
          <w:rFonts w:cs="Arial"/>
        </w:rPr>
        <w:t xml:space="preserve"> gave evidence referring to her handwritten notes recording details of her various meetings with the Applicant and averred that the Applicant had agreed to all of the amended terms of the Contract including the deposit. When questioned as to the unusual arrangement in respect of the deposit, the majority being paid at settlement, she insisted that it was a commonplace arrangement.</w:t>
      </w:r>
    </w:p>
    <w:p w:rsidR="008A4F78" w:rsidRDefault="008A4F78" w:rsidP="00004A25">
      <w:pPr>
        <w:pStyle w:val="NormalIndent"/>
        <w:ind w:left="0"/>
        <w:jc w:val="both"/>
        <w:rPr>
          <w:rFonts w:cs="Arial"/>
        </w:rPr>
      </w:pPr>
    </w:p>
    <w:p w:rsidR="00561197" w:rsidRDefault="00561197" w:rsidP="00004A25">
      <w:pPr>
        <w:pStyle w:val="NormalIndent"/>
        <w:ind w:left="0"/>
        <w:jc w:val="both"/>
        <w:rPr>
          <w:rFonts w:cs="Arial"/>
        </w:rPr>
      </w:pPr>
      <w:r>
        <w:rPr>
          <w:rFonts w:cs="Arial"/>
        </w:rPr>
        <w:lastRenderedPageBreak/>
        <w:t xml:space="preserve">19. </w:t>
      </w:r>
      <w:r>
        <w:rPr>
          <w:rFonts w:cs="Arial"/>
        </w:rPr>
        <w:tab/>
        <w:t>On 17</w:t>
      </w:r>
      <w:r w:rsidRPr="00561197">
        <w:rPr>
          <w:rFonts w:cs="Arial"/>
          <w:vertAlign w:val="superscript"/>
        </w:rPr>
        <w:t>th</w:t>
      </w:r>
      <w:r>
        <w:rPr>
          <w:rFonts w:cs="Arial"/>
        </w:rPr>
        <w:t xml:space="preserve"> December 2012, the Purchasers’ conveyancer co</w:t>
      </w:r>
      <w:r w:rsidR="00B33ED0">
        <w:rPr>
          <w:rFonts w:cs="Arial"/>
        </w:rPr>
        <w:t>ntacted Naomi </w:t>
      </w:r>
      <w:r>
        <w:rPr>
          <w:rFonts w:cs="Arial"/>
        </w:rPr>
        <w:t>Irvine, requesting further amendments to the Contract including an increase to the amount of finance to $1,050,000 and the inclusion of</w:t>
      </w:r>
      <w:r w:rsidR="007D6FC2">
        <w:rPr>
          <w:rFonts w:cs="Arial"/>
        </w:rPr>
        <w:t xml:space="preserve"> a</w:t>
      </w:r>
      <w:r>
        <w:rPr>
          <w:rFonts w:cs="Arial"/>
        </w:rPr>
        <w:t xml:space="preserve"> clause making the contract further conditional on the prior sale of </w:t>
      </w:r>
      <w:proofErr w:type="gramStart"/>
      <w:r>
        <w:rPr>
          <w:rFonts w:cs="Arial"/>
        </w:rPr>
        <w:t>a</w:t>
      </w:r>
      <w:proofErr w:type="gramEnd"/>
      <w:r>
        <w:rPr>
          <w:rFonts w:cs="Arial"/>
        </w:rPr>
        <w:t xml:space="preserve"> Mt Isa property owned by the Purchasers. This request shocked the Applicant but by this stage she felt unable to do anything but agree to the majority of changes requested.</w:t>
      </w:r>
    </w:p>
    <w:p w:rsidR="00021C4C" w:rsidRDefault="00021C4C" w:rsidP="00004A25">
      <w:pPr>
        <w:pStyle w:val="NormalIndent"/>
        <w:ind w:left="0"/>
        <w:jc w:val="both"/>
        <w:rPr>
          <w:rFonts w:cs="Arial"/>
        </w:rPr>
      </w:pPr>
    </w:p>
    <w:p w:rsidR="00856755" w:rsidRDefault="00561197" w:rsidP="00004A25">
      <w:pPr>
        <w:pStyle w:val="NormalIndent"/>
        <w:ind w:left="0"/>
        <w:jc w:val="both"/>
        <w:rPr>
          <w:rFonts w:cs="Arial"/>
        </w:rPr>
      </w:pPr>
      <w:r>
        <w:rPr>
          <w:rFonts w:cs="Arial"/>
        </w:rPr>
        <w:t>20.</w:t>
      </w:r>
      <w:r>
        <w:rPr>
          <w:rFonts w:cs="Arial"/>
        </w:rPr>
        <w:tab/>
      </w:r>
      <w:r w:rsidR="00021C4C">
        <w:rPr>
          <w:rFonts w:cs="Arial"/>
        </w:rPr>
        <w:t>The Purchasers’ prior sale of the Mt Isa property fell over and, on 7</w:t>
      </w:r>
      <w:r w:rsidR="00021C4C" w:rsidRPr="00021C4C">
        <w:rPr>
          <w:rFonts w:cs="Arial"/>
          <w:vertAlign w:val="superscript"/>
        </w:rPr>
        <w:t>th</w:t>
      </w:r>
      <w:r w:rsidR="00B33ED0">
        <w:rPr>
          <w:rFonts w:cs="Arial"/>
        </w:rPr>
        <w:t> </w:t>
      </w:r>
      <w:r w:rsidR="00021C4C">
        <w:rPr>
          <w:rFonts w:cs="Arial"/>
        </w:rPr>
        <w:t>January 2013, they rescinded the Contract. Relations between the Applicant and the Respondent had become extremely strained and on 8</w:t>
      </w:r>
      <w:r w:rsidR="00021C4C" w:rsidRPr="00021C4C">
        <w:rPr>
          <w:rFonts w:cs="Arial"/>
          <w:vertAlign w:val="superscript"/>
        </w:rPr>
        <w:t>th</w:t>
      </w:r>
      <w:r w:rsidR="00021C4C">
        <w:rPr>
          <w:rFonts w:cs="Arial"/>
        </w:rPr>
        <w:t xml:space="preserve"> January 2013, the Applicant terminated the Listing Agreement by email, denying some adverse comments that had been made by the Respondent as to the state of her mental health.</w:t>
      </w:r>
    </w:p>
    <w:p w:rsidR="00856755" w:rsidRPr="00E423D6" w:rsidRDefault="00856755" w:rsidP="00004A25">
      <w:pPr>
        <w:pStyle w:val="NormalIndent"/>
        <w:ind w:left="0"/>
        <w:jc w:val="both"/>
        <w:rPr>
          <w:rFonts w:cs="Arial"/>
        </w:rPr>
      </w:pPr>
    </w:p>
    <w:p w:rsidR="00E72179" w:rsidRPr="004A7999" w:rsidRDefault="00E72179" w:rsidP="00004A25">
      <w:pPr>
        <w:pStyle w:val="NormalIndent"/>
        <w:ind w:left="0"/>
        <w:jc w:val="both"/>
        <w:rPr>
          <w:b/>
        </w:rPr>
      </w:pPr>
      <w:r>
        <w:rPr>
          <w:b/>
        </w:rPr>
        <w:t>Determination</w:t>
      </w:r>
    </w:p>
    <w:p w:rsidR="00E72179" w:rsidRDefault="00E72179" w:rsidP="00004A25">
      <w:pPr>
        <w:jc w:val="both"/>
        <w:rPr>
          <w:rFonts w:cs="Arial"/>
        </w:rPr>
      </w:pPr>
    </w:p>
    <w:p w:rsidR="0001693B" w:rsidRPr="00521A35" w:rsidRDefault="00EF0016" w:rsidP="00004A25">
      <w:pPr>
        <w:pStyle w:val="ListParagraph"/>
        <w:autoSpaceDE w:val="0"/>
        <w:autoSpaceDN w:val="0"/>
        <w:adjustRightInd w:val="0"/>
        <w:ind w:left="0"/>
        <w:jc w:val="both"/>
        <w:rPr>
          <w:rFonts w:ascii="Arial" w:hAnsi="Arial" w:cs="Arial"/>
        </w:rPr>
      </w:pPr>
      <w:r w:rsidRPr="00521A35">
        <w:rPr>
          <w:rFonts w:ascii="Arial" w:hAnsi="Arial" w:cs="Arial"/>
        </w:rPr>
        <w:t>21</w:t>
      </w:r>
      <w:r w:rsidR="00E72179" w:rsidRPr="00521A35">
        <w:rPr>
          <w:rFonts w:ascii="Arial" w:hAnsi="Arial" w:cs="Arial"/>
        </w:rPr>
        <w:t>.</w:t>
      </w:r>
      <w:r w:rsidR="00E72179" w:rsidRPr="00521A35">
        <w:rPr>
          <w:rFonts w:ascii="Arial" w:hAnsi="Arial" w:cs="Arial"/>
        </w:rPr>
        <w:tab/>
      </w:r>
      <w:r w:rsidRPr="00521A35">
        <w:rPr>
          <w:rFonts w:ascii="Arial" w:hAnsi="Arial" w:cs="Arial"/>
        </w:rPr>
        <w:t xml:space="preserve">The Board, having considered the Investigation Report, the Inquiry Book, the evidence of the witnesses, and the submissions of both Counsel Assisting and Counsel for the Respondent, found that the Respondent had committed a breach of the rules of conduct in </w:t>
      </w:r>
      <w:r w:rsidR="00B33ED0">
        <w:rPr>
          <w:rFonts w:ascii="Arial" w:hAnsi="Arial" w:cs="Arial"/>
        </w:rPr>
        <w:t>S</w:t>
      </w:r>
      <w:r w:rsidRPr="00521A35">
        <w:rPr>
          <w:rFonts w:ascii="Arial" w:hAnsi="Arial" w:cs="Arial"/>
        </w:rPr>
        <w:t xml:space="preserve">ection 65(1)(c) of the ALA, in that, she </w:t>
      </w:r>
      <w:r w:rsidRPr="00521A35">
        <w:rPr>
          <w:rFonts w:ascii="Arial" w:hAnsi="Arial" w:cs="Arial"/>
          <w:szCs w:val="24"/>
        </w:rPr>
        <w:t>failed to perform her duties to her principal and/or carry out the lawful instructions of her principal</w:t>
      </w:r>
      <w:r w:rsidR="00521A35" w:rsidRPr="00521A35">
        <w:rPr>
          <w:rFonts w:ascii="Arial" w:hAnsi="Arial" w:cs="Arial"/>
          <w:szCs w:val="24"/>
        </w:rPr>
        <w:t>, such failure consisting of</w:t>
      </w:r>
      <w:r w:rsidRPr="00521A35">
        <w:rPr>
          <w:rFonts w:ascii="Arial" w:hAnsi="Arial" w:cs="Arial"/>
          <w:szCs w:val="24"/>
        </w:rPr>
        <w:t xml:space="preserve"> alter</w:t>
      </w:r>
      <w:r w:rsidR="00521A35" w:rsidRPr="00521A35">
        <w:rPr>
          <w:rFonts w:ascii="Arial" w:hAnsi="Arial" w:cs="Arial"/>
          <w:szCs w:val="24"/>
        </w:rPr>
        <w:t xml:space="preserve">ation to </w:t>
      </w:r>
      <w:r w:rsidRPr="00521A35">
        <w:rPr>
          <w:rFonts w:ascii="Arial" w:hAnsi="Arial" w:cs="Arial"/>
          <w:szCs w:val="24"/>
        </w:rPr>
        <w:t>the terms of the Contract by inserting without proper instructions the words</w:t>
      </w:r>
      <w:r w:rsidR="00FD6FA8">
        <w:rPr>
          <w:rFonts w:ascii="Arial" w:hAnsi="Arial" w:cs="Arial"/>
          <w:szCs w:val="24"/>
        </w:rPr>
        <w:t xml:space="preserve"> </w:t>
      </w:r>
      <w:r w:rsidRPr="00521A35">
        <w:rPr>
          <w:rFonts w:ascii="Arial" w:hAnsi="Arial" w:cs="Arial"/>
          <w:i/>
          <w:szCs w:val="24"/>
        </w:rPr>
        <w:t>”</w:t>
      </w:r>
      <w:r w:rsidRPr="00521A35">
        <w:rPr>
          <w:rFonts w:ascii="Arial" w:hAnsi="Arial" w:cs="Arial"/>
          <w:i/>
          <w:lang w:val="en-US"/>
        </w:rPr>
        <w:t>($10,000 to be paid on 13</w:t>
      </w:r>
      <w:r w:rsidRPr="00521A35">
        <w:rPr>
          <w:rFonts w:ascii="Arial" w:hAnsi="Arial" w:cs="Arial"/>
          <w:i/>
          <w:vertAlign w:val="superscript"/>
          <w:lang w:val="en-US"/>
        </w:rPr>
        <w:t>th</w:t>
      </w:r>
      <w:r w:rsidR="00FD6FA8">
        <w:rPr>
          <w:rFonts w:ascii="Arial" w:hAnsi="Arial" w:cs="Arial"/>
          <w:i/>
          <w:lang w:val="en-US"/>
        </w:rPr>
        <w:t> </w:t>
      </w:r>
      <w:r w:rsidRPr="00521A35">
        <w:rPr>
          <w:rFonts w:ascii="Arial" w:hAnsi="Arial" w:cs="Arial"/>
          <w:i/>
          <w:lang w:val="en-US"/>
        </w:rPr>
        <w:t>December 2012, remainder on settlement)”</w:t>
      </w:r>
      <w:r w:rsidRPr="00521A35">
        <w:rPr>
          <w:rFonts w:ascii="Arial" w:hAnsi="Arial" w:cs="Arial"/>
          <w:szCs w:val="24"/>
        </w:rPr>
        <w:t xml:space="preserve"> into the deposit clause, contrary to Section 65(1)(c) of the ALA</w:t>
      </w:r>
      <w:r w:rsidRPr="00521A35">
        <w:rPr>
          <w:rFonts w:ascii="Arial" w:hAnsi="Arial" w:cs="Arial"/>
          <w:i/>
          <w:iCs/>
          <w:szCs w:val="24"/>
        </w:rPr>
        <w:t>.</w:t>
      </w:r>
      <w:r w:rsidRPr="00521A35">
        <w:rPr>
          <w:rFonts w:ascii="Arial" w:hAnsi="Arial" w:cs="Arial"/>
          <w:iCs/>
          <w:szCs w:val="24"/>
        </w:rPr>
        <w:t xml:space="preserve"> </w:t>
      </w:r>
      <w:r w:rsidRPr="00521A35">
        <w:rPr>
          <w:rFonts w:ascii="Arial" w:hAnsi="Arial" w:cs="Arial"/>
        </w:rPr>
        <w:t>T</w:t>
      </w:r>
      <w:r w:rsidR="00733EBE" w:rsidRPr="00521A35">
        <w:rPr>
          <w:rFonts w:ascii="Arial" w:hAnsi="Arial" w:cs="Arial"/>
        </w:rPr>
        <w:t xml:space="preserve">he Board </w:t>
      </w:r>
      <w:r w:rsidRPr="00521A35">
        <w:rPr>
          <w:rFonts w:ascii="Arial" w:hAnsi="Arial" w:cs="Arial"/>
        </w:rPr>
        <w:t xml:space="preserve">determined that it </w:t>
      </w:r>
      <w:r w:rsidR="00733EBE" w:rsidRPr="00521A35">
        <w:rPr>
          <w:rFonts w:ascii="Arial" w:hAnsi="Arial" w:cs="Arial"/>
        </w:rPr>
        <w:t>was authorised to take disciplinary</w:t>
      </w:r>
      <w:r w:rsidR="00FD6FA8">
        <w:rPr>
          <w:rFonts w:ascii="Arial" w:hAnsi="Arial" w:cs="Arial"/>
        </w:rPr>
        <w:t xml:space="preserve"> action under S</w:t>
      </w:r>
      <w:r w:rsidR="00733EBE" w:rsidRPr="00521A35">
        <w:rPr>
          <w:rFonts w:ascii="Arial" w:hAnsi="Arial" w:cs="Arial"/>
        </w:rPr>
        <w:t>ection 67(1</w:t>
      </w:r>
      <w:proofErr w:type="gramStart"/>
      <w:r w:rsidR="00733EBE" w:rsidRPr="00521A35">
        <w:rPr>
          <w:rFonts w:ascii="Arial" w:hAnsi="Arial" w:cs="Arial"/>
        </w:rPr>
        <w:t>)(</w:t>
      </w:r>
      <w:proofErr w:type="gramEnd"/>
      <w:r w:rsidR="00733EBE" w:rsidRPr="00521A35">
        <w:rPr>
          <w:rFonts w:ascii="Arial" w:hAnsi="Arial" w:cs="Arial"/>
        </w:rPr>
        <w:t xml:space="preserve">c). </w:t>
      </w:r>
    </w:p>
    <w:p w:rsidR="0001693B" w:rsidRPr="00521A35" w:rsidRDefault="0001693B" w:rsidP="00004A25">
      <w:pPr>
        <w:jc w:val="both"/>
        <w:rPr>
          <w:rFonts w:cs="Arial"/>
        </w:rPr>
      </w:pPr>
    </w:p>
    <w:p w:rsidR="00521A35" w:rsidRDefault="00521A35" w:rsidP="00004A25">
      <w:pPr>
        <w:jc w:val="both"/>
        <w:rPr>
          <w:rFonts w:cs="Arial"/>
        </w:rPr>
      </w:pPr>
      <w:r>
        <w:rPr>
          <w:rFonts w:cs="Arial"/>
        </w:rPr>
        <w:t>22</w:t>
      </w:r>
      <w:r w:rsidR="00733EBE">
        <w:rPr>
          <w:rFonts w:cs="Arial"/>
        </w:rPr>
        <w:t xml:space="preserve">. </w:t>
      </w:r>
      <w:r w:rsidR="00733EBE">
        <w:rPr>
          <w:rFonts w:cs="Arial"/>
        </w:rPr>
        <w:tab/>
        <w:t>In</w:t>
      </w:r>
      <w:r>
        <w:rPr>
          <w:rFonts w:cs="Arial"/>
        </w:rPr>
        <w:t xml:space="preserve"> reaching its conclusion, the Board accepted the evidence of the Applicant who was open and forthcoming about her confusion with the protracted and difficult nature of the negotiation and contract stages of the transaction the subject of this Inquiry.</w:t>
      </w:r>
      <w:r w:rsidR="00CE4D4E">
        <w:rPr>
          <w:rFonts w:cs="Arial"/>
        </w:rPr>
        <w:t xml:space="preserve"> It was apparent that many of the problems that arose between the parties were caused by miscommunication </w:t>
      </w:r>
      <w:r w:rsidR="00B40F0D">
        <w:rPr>
          <w:rFonts w:cs="Arial"/>
        </w:rPr>
        <w:t xml:space="preserve">and failure by the Respondent to ensure that her principal, the Applicant, was fully and properly informed.  The Applicant’s misconception as to </w:t>
      </w:r>
      <w:r w:rsidR="00590177">
        <w:rPr>
          <w:rFonts w:cs="Arial"/>
        </w:rPr>
        <w:t xml:space="preserve">the </w:t>
      </w:r>
      <w:r w:rsidR="00B40F0D">
        <w:rPr>
          <w:rFonts w:cs="Arial"/>
        </w:rPr>
        <w:t xml:space="preserve">status of the document she signed on </w:t>
      </w:r>
      <w:r w:rsidR="009F258E">
        <w:rPr>
          <w:rFonts w:cs="Arial"/>
        </w:rPr>
        <w:t>10</w:t>
      </w:r>
      <w:r w:rsidR="00B40F0D" w:rsidRPr="00B40F0D">
        <w:rPr>
          <w:rFonts w:cs="Arial"/>
          <w:vertAlign w:val="superscript"/>
        </w:rPr>
        <w:t>th</w:t>
      </w:r>
      <w:r w:rsidR="00B40F0D">
        <w:rPr>
          <w:rFonts w:cs="Arial"/>
        </w:rPr>
        <w:t xml:space="preserve"> November 2012 was apparent from her email correspondence with the Respondent and the Respondent’s failure to ensure that her principal understood the exact nature of the transaction placed the Applicant in an untenable position. In those circumstances the Board accepted that the Applicant did not authorise the amendment to the terms of the deposit. The extent of the deterioration of the re</w:t>
      </w:r>
      <w:r w:rsidR="00590177">
        <w:rPr>
          <w:rFonts w:cs="Arial"/>
        </w:rPr>
        <w:t>lationship between the parties wa</w:t>
      </w:r>
      <w:r w:rsidR="00B40F0D">
        <w:rPr>
          <w:rFonts w:cs="Arial"/>
        </w:rPr>
        <w:t>s exemplified by the reference to abusive comments made by the Respondent about the state of the Applicant’s mental in the email terminat</w:t>
      </w:r>
      <w:r w:rsidR="00590177">
        <w:rPr>
          <w:rFonts w:cs="Arial"/>
        </w:rPr>
        <w:t>ing</w:t>
      </w:r>
      <w:r w:rsidR="00B40F0D">
        <w:rPr>
          <w:rFonts w:cs="Arial"/>
        </w:rPr>
        <w:t xml:space="preserve"> the listing agreement</w:t>
      </w:r>
      <w:r w:rsidR="00590177">
        <w:rPr>
          <w:rFonts w:cs="Arial"/>
        </w:rPr>
        <w:t>. Such behaviour is unacceptable by an agent to her principal.</w:t>
      </w:r>
    </w:p>
    <w:p w:rsidR="00452D32" w:rsidRDefault="00FD6FA8" w:rsidP="00004A25">
      <w:pPr>
        <w:pStyle w:val="NormalIndent"/>
        <w:ind w:left="0"/>
        <w:jc w:val="both"/>
        <w:rPr>
          <w:rFonts w:cs="Arial"/>
          <w:lang w:eastAsia="en-AU"/>
        </w:rPr>
      </w:pPr>
      <w:r>
        <w:br w:type="page"/>
      </w:r>
      <w:r w:rsidR="00590177">
        <w:lastRenderedPageBreak/>
        <w:t>23.</w:t>
      </w:r>
      <w:r w:rsidR="00590177">
        <w:tab/>
        <w:t>In</w:t>
      </w:r>
      <w:r w:rsidR="00733EBE">
        <w:rPr>
          <w:rFonts w:cs="Arial"/>
        </w:rPr>
        <w:t xml:space="preserve"> considering the nature of the disciplinary action to be taken against the Respondent, the Board </w:t>
      </w:r>
      <w:r w:rsidR="00552612">
        <w:rPr>
          <w:rFonts w:cs="Arial"/>
        </w:rPr>
        <w:t xml:space="preserve">noted </w:t>
      </w:r>
      <w:r w:rsidR="00590177">
        <w:rPr>
          <w:rFonts w:cs="Arial"/>
        </w:rPr>
        <w:t xml:space="preserve">the Respondent had no previous complaints before the Board and the problems that arose in this matter were not the result of a wilful attempt </w:t>
      </w:r>
      <w:r w:rsidR="007D6FC2">
        <w:rPr>
          <w:rFonts w:cs="Arial"/>
        </w:rPr>
        <w:t xml:space="preserve">to mislead the Applicant but rather the product of poor practices, exemplified by the use of “Fair Fee” to describe </w:t>
      </w:r>
      <w:r w:rsidR="00635A82">
        <w:rPr>
          <w:rFonts w:cs="Arial"/>
        </w:rPr>
        <w:t>the Professional fees chargeable on the transaction.</w:t>
      </w:r>
    </w:p>
    <w:p w:rsidR="00010802" w:rsidRDefault="00010802" w:rsidP="00004A25">
      <w:pPr>
        <w:pStyle w:val="NormalIndent"/>
        <w:ind w:left="0"/>
        <w:jc w:val="both"/>
        <w:rPr>
          <w:lang w:eastAsia="en-AU"/>
        </w:rPr>
      </w:pPr>
    </w:p>
    <w:p w:rsidR="00E51FD3" w:rsidRPr="000211EC" w:rsidRDefault="00590177" w:rsidP="00004A25">
      <w:pPr>
        <w:pStyle w:val="NormalIndent"/>
        <w:ind w:left="0"/>
        <w:jc w:val="both"/>
        <w:rPr>
          <w:rFonts w:cs="Arial"/>
        </w:rPr>
      </w:pPr>
      <w:r>
        <w:rPr>
          <w:lang w:eastAsia="en-AU"/>
        </w:rPr>
        <w:t>24.</w:t>
      </w:r>
      <w:r w:rsidR="00010802">
        <w:rPr>
          <w:lang w:eastAsia="en-AU"/>
        </w:rPr>
        <w:tab/>
      </w:r>
      <w:r w:rsidR="0003185B">
        <w:rPr>
          <w:lang w:eastAsia="en-AU"/>
        </w:rPr>
        <w:t xml:space="preserve">The </w:t>
      </w:r>
      <w:r>
        <w:rPr>
          <w:lang w:eastAsia="en-AU"/>
        </w:rPr>
        <w:t>obligation placed on agents by Section 65(1</w:t>
      </w:r>
      <w:proofErr w:type="gramStart"/>
      <w:r>
        <w:rPr>
          <w:lang w:eastAsia="en-AU"/>
        </w:rPr>
        <w:t>)(</w:t>
      </w:r>
      <w:proofErr w:type="gramEnd"/>
      <w:r>
        <w:rPr>
          <w:lang w:eastAsia="en-AU"/>
        </w:rPr>
        <w:t xml:space="preserve">c) of the </w:t>
      </w:r>
      <w:r w:rsidR="0003185B">
        <w:rPr>
          <w:lang w:eastAsia="en-AU"/>
        </w:rPr>
        <w:t xml:space="preserve">ALA, </w:t>
      </w:r>
      <w:r w:rsidR="00635A82">
        <w:rPr>
          <w:lang w:eastAsia="en-AU"/>
        </w:rPr>
        <w:t>to perform their duties to their principals and to follow their instructions to a large extent encapsulate the foundation of the agency relationship. These are fundamental obligations and f</w:t>
      </w:r>
      <w:r w:rsidR="00103BB1">
        <w:rPr>
          <w:lang w:eastAsia="en-AU"/>
        </w:rPr>
        <w:t>ailure to</w:t>
      </w:r>
      <w:r w:rsidR="00635A82">
        <w:rPr>
          <w:lang w:eastAsia="en-AU"/>
        </w:rPr>
        <w:t xml:space="preserve"> comply is </w:t>
      </w:r>
      <w:r w:rsidR="00103BB1">
        <w:rPr>
          <w:lang w:eastAsia="en-AU"/>
        </w:rPr>
        <w:t>a serious breach of the ALA.</w:t>
      </w:r>
    </w:p>
    <w:p w:rsidR="000211EC" w:rsidRPr="000211EC" w:rsidRDefault="000211EC" w:rsidP="00004A25">
      <w:pPr>
        <w:pStyle w:val="NormalIndent"/>
        <w:jc w:val="both"/>
      </w:pPr>
    </w:p>
    <w:p w:rsidR="0001693B" w:rsidRDefault="00733EBE" w:rsidP="00004A25">
      <w:pPr>
        <w:jc w:val="both"/>
        <w:rPr>
          <w:rFonts w:cs="Arial"/>
          <w:b/>
        </w:rPr>
      </w:pPr>
      <w:r>
        <w:rPr>
          <w:rFonts w:cs="Arial"/>
          <w:b/>
        </w:rPr>
        <w:t>Action</w:t>
      </w:r>
    </w:p>
    <w:p w:rsidR="0001693B" w:rsidRDefault="0001693B" w:rsidP="00004A25">
      <w:pPr>
        <w:jc w:val="both"/>
        <w:rPr>
          <w:rFonts w:cs="Arial"/>
        </w:rPr>
      </w:pPr>
    </w:p>
    <w:p w:rsidR="00635A82" w:rsidRPr="005E1657" w:rsidRDefault="00733EBE" w:rsidP="00004A25">
      <w:pPr>
        <w:numPr>
          <w:ilvl w:val="0"/>
          <w:numId w:val="20"/>
        </w:numPr>
        <w:jc w:val="both"/>
        <w:rPr>
          <w:rFonts w:cs="Arial"/>
        </w:rPr>
      </w:pPr>
      <w:r>
        <w:rPr>
          <w:rFonts w:cs="Arial"/>
        </w:rPr>
        <w:t xml:space="preserve">The Board determined at the Inquiry held on </w:t>
      </w:r>
      <w:r w:rsidR="00635A82">
        <w:rPr>
          <w:rFonts w:cs="Arial"/>
        </w:rPr>
        <w:t>17</w:t>
      </w:r>
      <w:r w:rsidR="00635A82" w:rsidRPr="00635A82">
        <w:rPr>
          <w:rFonts w:cs="Arial"/>
          <w:vertAlign w:val="superscript"/>
        </w:rPr>
        <w:t>th</w:t>
      </w:r>
      <w:r w:rsidR="00635A82">
        <w:rPr>
          <w:rFonts w:cs="Arial"/>
        </w:rPr>
        <w:t xml:space="preserve"> June</w:t>
      </w:r>
      <w:r>
        <w:rPr>
          <w:rFonts w:cs="Arial"/>
        </w:rPr>
        <w:t xml:space="preserve"> 20</w:t>
      </w:r>
      <w:r w:rsidR="00103BB1">
        <w:rPr>
          <w:rFonts w:cs="Arial"/>
        </w:rPr>
        <w:t>14</w:t>
      </w:r>
      <w:r w:rsidR="00FD6FA8">
        <w:rPr>
          <w:rFonts w:cs="Arial"/>
        </w:rPr>
        <w:t>.</w:t>
      </w:r>
      <w:r>
        <w:rPr>
          <w:rFonts w:cs="Arial"/>
        </w:rPr>
        <w:t xml:space="preserve"> that the Respondent</w:t>
      </w:r>
      <w:r w:rsidR="002924DB">
        <w:rPr>
          <w:rFonts w:cs="Arial"/>
        </w:rPr>
        <w:t>,</w:t>
      </w:r>
      <w:r w:rsidR="00635A82">
        <w:t xml:space="preserve"> Cate Killiner</w:t>
      </w:r>
      <w:r w:rsidR="00103BB1">
        <w:t>,</w:t>
      </w:r>
      <w:r w:rsidR="005F7E25">
        <w:t xml:space="preserve"> </w:t>
      </w:r>
      <w:r>
        <w:rPr>
          <w:rFonts w:cs="Arial"/>
        </w:rPr>
        <w:t>ha</w:t>
      </w:r>
      <w:r w:rsidR="00F52DFF">
        <w:rPr>
          <w:rFonts w:cs="Arial"/>
        </w:rPr>
        <w:t>d</w:t>
      </w:r>
      <w:r>
        <w:rPr>
          <w:rFonts w:cs="Arial"/>
        </w:rPr>
        <w:t xml:space="preserve"> breach</w:t>
      </w:r>
      <w:r w:rsidR="00552612">
        <w:rPr>
          <w:rFonts w:cs="Arial"/>
        </w:rPr>
        <w:t xml:space="preserve">ed </w:t>
      </w:r>
      <w:r>
        <w:rPr>
          <w:rFonts w:cs="Arial"/>
        </w:rPr>
        <w:t>the rules of conduct for agents</w:t>
      </w:r>
      <w:r w:rsidR="00B43C44">
        <w:rPr>
          <w:rFonts w:cs="Arial"/>
        </w:rPr>
        <w:t>, in particular</w:t>
      </w:r>
      <w:r w:rsidR="00FD6FA8">
        <w:rPr>
          <w:rFonts w:cs="Arial"/>
        </w:rPr>
        <w:t xml:space="preserve"> S</w:t>
      </w:r>
      <w:r w:rsidR="00552612">
        <w:rPr>
          <w:rFonts w:cs="Arial"/>
        </w:rPr>
        <w:t>ection 65(1)(</w:t>
      </w:r>
      <w:r w:rsidR="00635A82">
        <w:rPr>
          <w:rFonts w:cs="Arial"/>
        </w:rPr>
        <w:t>c</w:t>
      </w:r>
      <w:r w:rsidR="00552612">
        <w:rPr>
          <w:rFonts w:cs="Arial"/>
        </w:rPr>
        <w:t xml:space="preserve">) </w:t>
      </w:r>
      <w:r w:rsidR="000409EB">
        <w:rPr>
          <w:rFonts w:cs="Arial"/>
        </w:rPr>
        <w:t xml:space="preserve">of the </w:t>
      </w:r>
      <w:r w:rsidR="00552612">
        <w:rPr>
          <w:rFonts w:cs="Arial"/>
        </w:rPr>
        <w:t>ALA by</w:t>
      </w:r>
      <w:r w:rsidR="00103BB1">
        <w:rPr>
          <w:rFonts w:cs="Arial"/>
        </w:rPr>
        <w:t xml:space="preserve"> </w:t>
      </w:r>
      <w:r w:rsidR="00635A82">
        <w:rPr>
          <w:rFonts w:cs="Arial"/>
        </w:rPr>
        <w:t xml:space="preserve">failing </w:t>
      </w:r>
      <w:r w:rsidR="00635A82" w:rsidRPr="005E1657">
        <w:rPr>
          <w:rFonts w:cs="Arial"/>
        </w:rPr>
        <w:t xml:space="preserve">to perform </w:t>
      </w:r>
      <w:r w:rsidR="00635A82">
        <w:rPr>
          <w:rFonts w:cs="Arial"/>
        </w:rPr>
        <w:t>her duties to her</w:t>
      </w:r>
      <w:r w:rsidR="00635A82" w:rsidRPr="005E1657">
        <w:rPr>
          <w:rFonts w:cs="Arial"/>
        </w:rPr>
        <w:t xml:space="preserve"> principal and/or carry </w:t>
      </w:r>
      <w:r w:rsidR="00CF75F1">
        <w:rPr>
          <w:rFonts w:cs="Arial"/>
        </w:rPr>
        <w:t xml:space="preserve">out the lawful instructions of </w:t>
      </w:r>
      <w:r w:rsidR="00635A82" w:rsidRPr="005E1657">
        <w:rPr>
          <w:rFonts w:cs="Arial"/>
        </w:rPr>
        <w:t xml:space="preserve">her principal by </w:t>
      </w:r>
      <w:r w:rsidR="00635A82">
        <w:rPr>
          <w:rFonts w:cs="Arial"/>
        </w:rPr>
        <w:t xml:space="preserve">altering the terms of the Contract without </w:t>
      </w:r>
      <w:r w:rsidR="00CF75F1">
        <w:rPr>
          <w:rFonts w:cs="Arial"/>
        </w:rPr>
        <w:t>proper instruction from the Applicant.</w:t>
      </w:r>
    </w:p>
    <w:p w:rsidR="00552612" w:rsidRDefault="00552612" w:rsidP="00004A25">
      <w:pPr>
        <w:ind w:left="720"/>
        <w:jc w:val="both"/>
        <w:rPr>
          <w:rFonts w:cs="Arial"/>
        </w:rPr>
      </w:pPr>
    </w:p>
    <w:p w:rsidR="00F52DFF" w:rsidRDefault="00F52DFF" w:rsidP="00004A25">
      <w:pPr>
        <w:pStyle w:val="NormalIndent"/>
        <w:numPr>
          <w:ilvl w:val="0"/>
          <w:numId w:val="20"/>
        </w:numPr>
        <w:jc w:val="both"/>
        <w:rPr>
          <w:rFonts w:cs="Arial"/>
        </w:rPr>
      </w:pPr>
      <w:r w:rsidRPr="00F52DFF">
        <w:rPr>
          <w:rFonts w:cs="Arial"/>
        </w:rPr>
        <w:t xml:space="preserve">As a result, the Board determined that it </w:t>
      </w:r>
      <w:r>
        <w:rPr>
          <w:rFonts w:cs="Arial"/>
        </w:rPr>
        <w:t>wa</w:t>
      </w:r>
      <w:r w:rsidRPr="00F52DFF">
        <w:rPr>
          <w:rFonts w:cs="Arial"/>
        </w:rPr>
        <w:t xml:space="preserve">s authorised to take disciplinary action against </w:t>
      </w:r>
      <w:r w:rsidR="00103BB1">
        <w:rPr>
          <w:rFonts w:cs="Arial"/>
        </w:rPr>
        <w:t xml:space="preserve">the Respondent </w:t>
      </w:r>
      <w:r w:rsidR="00FD6FA8">
        <w:rPr>
          <w:rFonts w:cs="Arial"/>
        </w:rPr>
        <w:t>under S</w:t>
      </w:r>
      <w:r w:rsidR="00E51FD3">
        <w:rPr>
          <w:rFonts w:cs="Arial"/>
        </w:rPr>
        <w:t xml:space="preserve">ection </w:t>
      </w:r>
      <w:r w:rsidR="00FD6FA8">
        <w:rPr>
          <w:rFonts w:cs="Arial"/>
        </w:rPr>
        <w:t xml:space="preserve">69(1) of the ALA </w:t>
      </w:r>
      <w:r w:rsidRPr="00F52DFF">
        <w:rPr>
          <w:rFonts w:cs="Arial"/>
        </w:rPr>
        <w:t xml:space="preserve">as the ground in </w:t>
      </w:r>
      <w:r w:rsidR="00FD6FA8">
        <w:rPr>
          <w:rFonts w:cs="Arial"/>
        </w:rPr>
        <w:t>S</w:t>
      </w:r>
      <w:r w:rsidR="00E51FD3">
        <w:rPr>
          <w:rFonts w:cs="Arial"/>
        </w:rPr>
        <w:t xml:space="preserve">ection </w:t>
      </w:r>
      <w:r w:rsidR="00FD6FA8">
        <w:rPr>
          <w:rFonts w:cs="Arial"/>
        </w:rPr>
        <w:t>67(1</w:t>
      </w:r>
      <w:proofErr w:type="gramStart"/>
      <w:r w:rsidRPr="00F52DFF">
        <w:rPr>
          <w:rFonts w:cs="Arial"/>
        </w:rPr>
        <w:t>)(</w:t>
      </w:r>
      <w:proofErr w:type="gramEnd"/>
      <w:r w:rsidRPr="00F52DFF">
        <w:rPr>
          <w:rFonts w:cs="Arial"/>
        </w:rPr>
        <w:t>c) of the A</w:t>
      </w:r>
      <w:r w:rsidR="00FD6FA8">
        <w:rPr>
          <w:rFonts w:cs="Arial"/>
        </w:rPr>
        <w:t>LA</w:t>
      </w:r>
      <w:r w:rsidRPr="00F52DFF">
        <w:rPr>
          <w:rFonts w:cs="Arial"/>
        </w:rPr>
        <w:t xml:space="preserve"> </w:t>
      </w:r>
      <w:r>
        <w:rPr>
          <w:rFonts w:cs="Arial"/>
        </w:rPr>
        <w:t>was</w:t>
      </w:r>
      <w:r w:rsidRPr="00F52DFF">
        <w:rPr>
          <w:rFonts w:cs="Arial"/>
        </w:rPr>
        <w:t xml:space="preserve"> satisfied. </w:t>
      </w:r>
    </w:p>
    <w:p w:rsidR="00F52DFF" w:rsidRDefault="00F52DFF" w:rsidP="00004A25">
      <w:pPr>
        <w:pStyle w:val="NormalIndent"/>
        <w:jc w:val="both"/>
        <w:rPr>
          <w:rFonts w:cs="Arial"/>
        </w:rPr>
      </w:pPr>
    </w:p>
    <w:p w:rsidR="00F52DFF" w:rsidRDefault="00F52DFF" w:rsidP="00004A25">
      <w:pPr>
        <w:pStyle w:val="NormalIndent"/>
        <w:numPr>
          <w:ilvl w:val="0"/>
          <w:numId w:val="20"/>
        </w:numPr>
        <w:jc w:val="both"/>
        <w:rPr>
          <w:rFonts w:cs="Arial"/>
        </w:rPr>
      </w:pPr>
      <w:r w:rsidRPr="00F52DFF">
        <w:rPr>
          <w:rFonts w:cs="Arial"/>
        </w:rPr>
        <w:t xml:space="preserve">In </w:t>
      </w:r>
      <w:r w:rsidR="00FD6FA8">
        <w:rPr>
          <w:rFonts w:cs="Arial"/>
        </w:rPr>
        <w:t>the circumstances, pursuant to S</w:t>
      </w:r>
      <w:r w:rsidR="00E51FD3">
        <w:rPr>
          <w:rFonts w:cs="Arial"/>
        </w:rPr>
        <w:t xml:space="preserve">ection </w:t>
      </w:r>
      <w:r w:rsidRPr="00F52DFF">
        <w:rPr>
          <w:rFonts w:cs="Arial"/>
        </w:rPr>
        <w:t>69(</w:t>
      </w:r>
      <w:r w:rsidR="00FD6FA8">
        <w:rPr>
          <w:rFonts w:cs="Arial"/>
        </w:rPr>
        <w:t>1</w:t>
      </w:r>
      <w:proofErr w:type="gramStart"/>
      <w:r w:rsidRPr="00F52DFF">
        <w:rPr>
          <w:rFonts w:cs="Arial"/>
        </w:rPr>
        <w:t>)(</w:t>
      </w:r>
      <w:proofErr w:type="gramEnd"/>
      <w:r w:rsidRPr="00F52DFF">
        <w:rPr>
          <w:rFonts w:cs="Arial"/>
        </w:rPr>
        <w:t>a) of the A</w:t>
      </w:r>
      <w:r w:rsidR="00FD6FA8">
        <w:rPr>
          <w:rFonts w:cs="Arial"/>
        </w:rPr>
        <w:t>LA</w:t>
      </w:r>
      <w:r w:rsidRPr="00F52DFF">
        <w:rPr>
          <w:rFonts w:cs="Arial"/>
        </w:rPr>
        <w:t xml:space="preserve"> the Board determined to </w:t>
      </w:r>
      <w:r w:rsidR="00CF75F1">
        <w:rPr>
          <w:rFonts w:cs="Arial"/>
        </w:rPr>
        <w:t xml:space="preserve">reprimand </w:t>
      </w:r>
      <w:r w:rsidR="00103BB1">
        <w:rPr>
          <w:rFonts w:cs="Arial"/>
        </w:rPr>
        <w:t>the Respondent</w:t>
      </w:r>
      <w:r w:rsidRPr="00F52DFF">
        <w:rPr>
          <w:rFonts w:cs="Arial"/>
        </w:rPr>
        <w:t xml:space="preserve"> for this br</w:t>
      </w:r>
      <w:r w:rsidR="00FD6FA8">
        <w:rPr>
          <w:rFonts w:cs="Arial"/>
        </w:rPr>
        <w:t>each of the rule of conduct in S</w:t>
      </w:r>
      <w:r w:rsidR="00E51FD3">
        <w:rPr>
          <w:rFonts w:cs="Arial"/>
        </w:rPr>
        <w:t xml:space="preserve">ection </w:t>
      </w:r>
      <w:r w:rsidR="00FD6FA8">
        <w:rPr>
          <w:rFonts w:cs="Arial"/>
        </w:rPr>
        <w:t>65(1</w:t>
      </w:r>
      <w:r w:rsidRPr="00F52DFF">
        <w:rPr>
          <w:rFonts w:cs="Arial"/>
        </w:rPr>
        <w:t>)(</w:t>
      </w:r>
      <w:r w:rsidR="00CF75F1">
        <w:rPr>
          <w:rFonts w:cs="Arial"/>
        </w:rPr>
        <w:t>c</w:t>
      </w:r>
      <w:r w:rsidRPr="00F52DFF">
        <w:rPr>
          <w:rFonts w:cs="Arial"/>
        </w:rPr>
        <w:t>) of the A</w:t>
      </w:r>
      <w:r w:rsidR="00CF75F1">
        <w:rPr>
          <w:rFonts w:cs="Arial"/>
        </w:rPr>
        <w:t>LA</w:t>
      </w:r>
      <w:r w:rsidR="00DD74AC">
        <w:rPr>
          <w:rFonts w:cs="Arial"/>
        </w:rPr>
        <w:t>.</w:t>
      </w:r>
    </w:p>
    <w:p w:rsidR="00F52DFF" w:rsidRDefault="00F52DFF" w:rsidP="00004A25">
      <w:pPr>
        <w:pStyle w:val="ListParagraph"/>
        <w:jc w:val="both"/>
        <w:rPr>
          <w:rFonts w:cs="Arial"/>
        </w:rPr>
      </w:pPr>
    </w:p>
    <w:p w:rsidR="00F52DFF" w:rsidRDefault="00DD74AC" w:rsidP="00004A25">
      <w:pPr>
        <w:pStyle w:val="NormalIndent"/>
        <w:numPr>
          <w:ilvl w:val="0"/>
          <w:numId w:val="20"/>
        </w:numPr>
        <w:jc w:val="both"/>
        <w:rPr>
          <w:rFonts w:cs="Arial"/>
        </w:rPr>
      </w:pPr>
      <w:r>
        <w:rPr>
          <w:rFonts w:cs="Arial"/>
        </w:rPr>
        <w:t xml:space="preserve">Pursuant to its power under </w:t>
      </w:r>
      <w:r w:rsidR="00FD6FA8">
        <w:rPr>
          <w:rFonts w:cs="Arial"/>
        </w:rPr>
        <w:t>S</w:t>
      </w:r>
      <w:r>
        <w:rPr>
          <w:rFonts w:cs="Arial"/>
        </w:rPr>
        <w:t xml:space="preserve">ection 69(3) </w:t>
      </w:r>
      <w:r w:rsidR="000409EB">
        <w:rPr>
          <w:rFonts w:cs="Arial"/>
        </w:rPr>
        <w:t xml:space="preserve">of the </w:t>
      </w:r>
      <w:r w:rsidR="00FD6FA8">
        <w:rPr>
          <w:rFonts w:cs="Arial"/>
        </w:rPr>
        <w:t xml:space="preserve">ALA the Board further directed </w:t>
      </w:r>
      <w:r>
        <w:rPr>
          <w:rFonts w:cs="Arial"/>
        </w:rPr>
        <w:t xml:space="preserve">that </w:t>
      </w:r>
      <w:r w:rsidR="00103BB1">
        <w:rPr>
          <w:rFonts w:cs="Arial"/>
        </w:rPr>
        <w:t>the Respondent</w:t>
      </w:r>
      <w:r>
        <w:rPr>
          <w:rFonts w:cs="Arial"/>
        </w:rPr>
        <w:t xml:space="preserve">, within two </w:t>
      </w:r>
      <w:r w:rsidR="00103BB1">
        <w:rPr>
          <w:rFonts w:cs="Arial"/>
        </w:rPr>
        <w:t xml:space="preserve">weeks </w:t>
      </w:r>
      <w:r>
        <w:rPr>
          <w:rFonts w:cs="Arial"/>
        </w:rPr>
        <w:t xml:space="preserve">of the date of </w:t>
      </w:r>
      <w:r w:rsidR="00103BB1">
        <w:rPr>
          <w:rFonts w:cs="Arial"/>
        </w:rPr>
        <w:t>service on it</w:t>
      </w:r>
      <w:r w:rsidR="00CC7544">
        <w:rPr>
          <w:rFonts w:cs="Arial"/>
        </w:rPr>
        <w:t xml:space="preserve"> of a copy of </w:t>
      </w:r>
      <w:r w:rsidR="00E51FD3">
        <w:rPr>
          <w:rFonts w:cs="Arial"/>
        </w:rPr>
        <w:t>this Statement of R</w:t>
      </w:r>
      <w:r w:rsidR="00CC7544">
        <w:rPr>
          <w:rFonts w:cs="Arial"/>
        </w:rPr>
        <w:t xml:space="preserve">easons for </w:t>
      </w:r>
      <w:r w:rsidR="00E51FD3">
        <w:rPr>
          <w:rFonts w:cs="Arial"/>
        </w:rPr>
        <w:t>D</w:t>
      </w:r>
      <w:r w:rsidR="00CC7544">
        <w:rPr>
          <w:rFonts w:cs="Arial"/>
        </w:rPr>
        <w:t xml:space="preserve">ecision, provide </w:t>
      </w:r>
      <w:r w:rsidR="00103BB1">
        <w:rPr>
          <w:rFonts w:cs="Arial"/>
        </w:rPr>
        <w:t xml:space="preserve">a letter of apology </w:t>
      </w:r>
      <w:r w:rsidR="00CC7544">
        <w:rPr>
          <w:rFonts w:cs="Arial"/>
        </w:rPr>
        <w:t xml:space="preserve">to the </w:t>
      </w:r>
      <w:r w:rsidR="00103BB1">
        <w:rPr>
          <w:rFonts w:cs="Arial"/>
        </w:rPr>
        <w:t>Applicant,</w:t>
      </w:r>
      <w:r w:rsidR="00CF75F1">
        <w:rPr>
          <w:rFonts w:cs="Arial"/>
        </w:rPr>
        <w:t xml:space="preserve"> Mrs Margaret Arbon</w:t>
      </w:r>
      <w:r>
        <w:rPr>
          <w:rFonts w:cs="Arial"/>
        </w:rPr>
        <w:t xml:space="preserve"> </w:t>
      </w:r>
      <w:r w:rsidR="009F258E">
        <w:rPr>
          <w:iCs/>
        </w:rPr>
        <w:t>and a copy thereof to the Board.</w:t>
      </w:r>
    </w:p>
    <w:p w:rsidR="00F52DFF" w:rsidRDefault="00F52DFF" w:rsidP="00004A25">
      <w:pPr>
        <w:jc w:val="both"/>
        <w:rPr>
          <w:rFonts w:cs="Arial"/>
        </w:rPr>
      </w:pPr>
    </w:p>
    <w:p w:rsidR="00F52DFF" w:rsidRDefault="00F52DFF" w:rsidP="00004A25">
      <w:pPr>
        <w:jc w:val="both"/>
        <w:rPr>
          <w:rFonts w:cs="Arial"/>
        </w:rPr>
      </w:pPr>
    </w:p>
    <w:p w:rsidR="0001693B" w:rsidRDefault="00733EBE" w:rsidP="00004A25">
      <w:pPr>
        <w:jc w:val="both"/>
        <w:rPr>
          <w:rFonts w:cs="Arial"/>
        </w:rPr>
      </w:pPr>
      <w:r>
        <w:rPr>
          <w:rFonts w:cs="Arial"/>
        </w:rPr>
        <w:t>For the Board</w:t>
      </w:r>
    </w:p>
    <w:p w:rsidR="005F7E25" w:rsidRDefault="005F7E25" w:rsidP="00004A25">
      <w:pPr>
        <w:pStyle w:val="NormalIndent"/>
        <w:jc w:val="both"/>
      </w:pPr>
    </w:p>
    <w:p w:rsidR="005F7E25" w:rsidRPr="005F7E25" w:rsidRDefault="005F7E25" w:rsidP="00004A25">
      <w:pPr>
        <w:pStyle w:val="NormalIndent"/>
        <w:jc w:val="both"/>
      </w:pPr>
    </w:p>
    <w:p w:rsidR="0001693B" w:rsidRDefault="0001693B" w:rsidP="00004A25">
      <w:pPr>
        <w:jc w:val="both"/>
        <w:rPr>
          <w:rFonts w:cs="Arial"/>
        </w:rPr>
      </w:pPr>
    </w:p>
    <w:p w:rsidR="0001693B" w:rsidRDefault="00733EBE" w:rsidP="00004A25">
      <w:pPr>
        <w:jc w:val="both"/>
        <w:rPr>
          <w:rFonts w:cs="Arial"/>
        </w:rPr>
      </w:pPr>
      <w:r>
        <w:rPr>
          <w:rFonts w:cs="Arial"/>
        </w:rPr>
        <w:t>Suzanne Philip</w:t>
      </w:r>
    </w:p>
    <w:p w:rsidR="00733EBE" w:rsidRDefault="00FD6FA8" w:rsidP="00004A25">
      <w:pPr>
        <w:jc w:val="both"/>
        <w:rPr>
          <w:rFonts w:cs="Arial"/>
        </w:rPr>
      </w:pPr>
      <w:r>
        <w:rPr>
          <w:rFonts w:cs="Arial"/>
        </w:rPr>
        <w:t>Chairperson</w:t>
      </w:r>
    </w:p>
    <w:p w:rsidR="00FD6FA8" w:rsidRDefault="00FD6FA8" w:rsidP="00FD6FA8">
      <w:pPr>
        <w:pStyle w:val="NormalIndent"/>
      </w:pPr>
    </w:p>
    <w:p w:rsidR="00FD6FA8" w:rsidRPr="00FD6FA8" w:rsidRDefault="00FD6FA8" w:rsidP="00FD6FA8">
      <w:pPr>
        <w:pStyle w:val="NormalIndent"/>
        <w:ind w:left="0"/>
      </w:pPr>
      <w:r>
        <w:t xml:space="preserve">       /       / 2014</w:t>
      </w:r>
    </w:p>
    <w:sectPr w:rsidR="00FD6FA8" w:rsidRPr="00FD6FA8" w:rsidSect="00D85AED">
      <w:headerReference w:type="even" r:id="rId8"/>
      <w:headerReference w:type="default" r:id="rId9"/>
      <w:footerReference w:type="even" r:id="rId10"/>
      <w:pgSz w:w="12240" w:h="15840"/>
      <w:pgMar w:top="1440" w:right="1797" w:bottom="851"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3E3" w:rsidRDefault="00BE73E3">
      <w:r>
        <w:separator/>
      </w:r>
    </w:p>
  </w:endnote>
  <w:endnote w:type="continuationSeparator" w:id="0">
    <w:p w:rsidR="00BE73E3" w:rsidRDefault="00BE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B" w:rsidRDefault="00EC785C">
    <w:pPr>
      <w:pStyle w:val="Footer"/>
      <w:framePr w:wrap="around" w:vAnchor="text" w:hAnchor="margin" w:xAlign="center" w:y="1"/>
      <w:rPr>
        <w:rStyle w:val="PageNumber"/>
      </w:rPr>
    </w:pPr>
    <w:r>
      <w:rPr>
        <w:rStyle w:val="PageNumber"/>
      </w:rPr>
      <w:fldChar w:fldCharType="begin"/>
    </w:r>
    <w:r w:rsidR="00733EBE">
      <w:rPr>
        <w:rStyle w:val="PageNumber"/>
      </w:rPr>
      <w:instrText xml:space="preserve">PAGE  </w:instrText>
    </w:r>
    <w:r>
      <w:rPr>
        <w:rStyle w:val="PageNumber"/>
      </w:rPr>
      <w:fldChar w:fldCharType="end"/>
    </w:r>
  </w:p>
  <w:p w:rsidR="0001693B" w:rsidRDefault="00016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3E3" w:rsidRDefault="00BE73E3">
      <w:r>
        <w:separator/>
      </w:r>
    </w:p>
  </w:footnote>
  <w:footnote w:type="continuationSeparator" w:id="0">
    <w:p w:rsidR="00BE73E3" w:rsidRDefault="00BE7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B" w:rsidRDefault="00EC785C">
    <w:pPr>
      <w:pStyle w:val="Header"/>
      <w:framePr w:wrap="around" w:vAnchor="text" w:hAnchor="margin" w:xAlign="center" w:y="1"/>
      <w:rPr>
        <w:rStyle w:val="PageNumber"/>
      </w:rPr>
    </w:pPr>
    <w:r>
      <w:rPr>
        <w:rStyle w:val="PageNumber"/>
      </w:rPr>
      <w:fldChar w:fldCharType="begin"/>
    </w:r>
    <w:r w:rsidR="00733EBE">
      <w:rPr>
        <w:rStyle w:val="PageNumber"/>
      </w:rPr>
      <w:instrText xml:space="preserve">PAGE  </w:instrText>
    </w:r>
    <w:r>
      <w:rPr>
        <w:rStyle w:val="PageNumber"/>
      </w:rPr>
      <w:fldChar w:fldCharType="end"/>
    </w:r>
  </w:p>
  <w:p w:rsidR="0001693B" w:rsidRDefault="000169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B" w:rsidRDefault="00EC785C">
    <w:pPr>
      <w:pStyle w:val="Header"/>
      <w:framePr w:wrap="around" w:vAnchor="text" w:hAnchor="margin" w:xAlign="center" w:y="1"/>
      <w:rPr>
        <w:rStyle w:val="PageNumber"/>
      </w:rPr>
    </w:pPr>
    <w:r>
      <w:rPr>
        <w:rStyle w:val="PageNumber"/>
      </w:rPr>
      <w:fldChar w:fldCharType="begin"/>
    </w:r>
    <w:r w:rsidR="00733EBE">
      <w:rPr>
        <w:rStyle w:val="PageNumber"/>
      </w:rPr>
      <w:instrText xml:space="preserve">PAGE  </w:instrText>
    </w:r>
    <w:r>
      <w:rPr>
        <w:rStyle w:val="PageNumber"/>
      </w:rPr>
      <w:fldChar w:fldCharType="separate"/>
    </w:r>
    <w:r w:rsidR="009C7B30">
      <w:rPr>
        <w:rStyle w:val="PageNumber"/>
        <w:noProof/>
      </w:rPr>
      <w:t>7</w:t>
    </w:r>
    <w:r>
      <w:rPr>
        <w:rStyle w:val="PageNumber"/>
      </w:rPr>
      <w:fldChar w:fldCharType="end"/>
    </w:r>
  </w:p>
  <w:p w:rsidR="0001693B" w:rsidRDefault="00016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31C5"/>
    <w:multiLevelType w:val="hybridMultilevel"/>
    <w:tmpl w:val="0DBC5124"/>
    <w:lvl w:ilvl="0" w:tplc="745A0D0E">
      <w:start w:val="1"/>
      <w:numFmt w:val="lowerLetter"/>
      <w:lvlText w:val="%1."/>
      <w:lvlJc w:val="left"/>
      <w:pPr>
        <w:tabs>
          <w:tab w:val="num" w:pos="1455"/>
        </w:tabs>
        <w:ind w:left="1455" w:hanging="360"/>
      </w:pPr>
      <w:rPr>
        <w:rFonts w:hint="default"/>
        <w:w w:val="94"/>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1">
    <w:nsid w:val="066C7CE3"/>
    <w:multiLevelType w:val="hybridMultilevel"/>
    <w:tmpl w:val="19EA6668"/>
    <w:lvl w:ilvl="0" w:tplc="C7D0FFC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8A30F27"/>
    <w:multiLevelType w:val="hybridMultilevel"/>
    <w:tmpl w:val="127A2C3A"/>
    <w:lvl w:ilvl="0" w:tplc="4B3003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D5F3428"/>
    <w:multiLevelType w:val="hybridMultilevel"/>
    <w:tmpl w:val="7F461F92"/>
    <w:lvl w:ilvl="0" w:tplc="F490C9A0">
      <w:start w:val="3"/>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nsid w:val="0FE278A2"/>
    <w:multiLevelType w:val="hybridMultilevel"/>
    <w:tmpl w:val="7DB29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EB6FE0"/>
    <w:multiLevelType w:val="hybridMultilevel"/>
    <w:tmpl w:val="056A273C"/>
    <w:lvl w:ilvl="0" w:tplc="0C090001">
      <w:start w:val="1"/>
      <w:numFmt w:val="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6">
    <w:nsid w:val="15812785"/>
    <w:multiLevelType w:val="hybridMultilevel"/>
    <w:tmpl w:val="953E1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373C92"/>
    <w:multiLevelType w:val="hybridMultilevel"/>
    <w:tmpl w:val="4D1A4638"/>
    <w:lvl w:ilvl="0" w:tplc="A25083D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65BE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AA31758"/>
    <w:multiLevelType w:val="hybridMultilevel"/>
    <w:tmpl w:val="F2DA4A3E"/>
    <w:lvl w:ilvl="0" w:tplc="C9CADC9C">
      <w:start w:val="4"/>
      <w:numFmt w:val="lowerLetter"/>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0">
    <w:nsid w:val="23041B6F"/>
    <w:multiLevelType w:val="hybridMultilevel"/>
    <w:tmpl w:val="20966D2E"/>
    <w:lvl w:ilvl="0" w:tplc="DF6CE672">
      <w:start w:val="4"/>
      <w:numFmt w:val="lowerLetter"/>
      <w:lvlText w:val="(%1)"/>
      <w:lvlJc w:val="left"/>
      <w:pPr>
        <w:ind w:left="5095" w:hanging="360"/>
      </w:pPr>
      <w:rPr>
        <w:rFonts w:hint="default"/>
      </w:rPr>
    </w:lvl>
    <w:lvl w:ilvl="1" w:tplc="0C090019" w:tentative="1">
      <w:start w:val="1"/>
      <w:numFmt w:val="lowerLetter"/>
      <w:lvlText w:val="%2."/>
      <w:lvlJc w:val="left"/>
      <w:pPr>
        <w:ind w:left="5815" w:hanging="360"/>
      </w:pPr>
    </w:lvl>
    <w:lvl w:ilvl="2" w:tplc="0C09001B" w:tentative="1">
      <w:start w:val="1"/>
      <w:numFmt w:val="lowerRoman"/>
      <w:lvlText w:val="%3."/>
      <w:lvlJc w:val="right"/>
      <w:pPr>
        <w:ind w:left="6535" w:hanging="180"/>
      </w:pPr>
    </w:lvl>
    <w:lvl w:ilvl="3" w:tplc="0C09000F" w:tentative="1">
      <w:start w:val="1"/>
      <w:numFmt w:val="decimal"/>
      <w:lvlText w:val="%4."/>
      <w:lvlJc w:val="left"/>
      <w:pPr>
        <w:ind w:left="7255" w:hanging="360"/>
      </w:pPr>
    </w:lvl>
    <w:lvl w:ilvl="4" w:tplc="0C090019" w:tentative="1">
      <w:start w:val="1"/>
      <w:numFmt w:val="lowerLetter"/>
      <w:lvlText w:val="%5."/>
      <w:lvlJc w:val="left"/>
      <w:pPr>
        <w:ind w:left="7975" w:hanging="360"/>
      </w:pPr>
    </w:lvl>
    <w:lvl w:ilvl="5" w:tplc="0C09001B" w:tentative="1">
      <w:start w:val="1"/>
      <w:numFmt w:val="lowerRoman"/>
      <w:lvlText w:val="%6."/>
      <w:lvlJc w:val="right"/>
      <w:pPr>
        <w:ind w:left="8695" w:hanging="180"/>
      </w:pPr>
    </w:lvl>
    <w:lvl w:ilvl="6" w:tplc="0C09000F" w:tentative="1">
      <w:start w:val="1"/>
      <w:numFmt w:val="decimal"/>
      <w:lvlText w:val="%7."/>
      <w:lvlJc w:val="left"/>
      <w:pPr>
        <w:ind w:left="9415" w:hanging="360"/>
      </w:pPr>
    </w:lvl>
    <w:lvl w:ilvl="7" w:tplc="0C090019" w:tentative="1">
      <w:start w:val="1"/>
      <w:numFmt w:val="lowerLetter"/>
      <w:lvlText w:val="%8."/>
      <w:lvlJc w:val="left"/>
      <w:pPr>
        <w:ind w:left="10135" w:hanging="360"/>
      </w:pPr>
    </w:lvl>
    <w:lvl w:ilvl="8" w:tplc="0C09001B" w:tentative="1">
      <w:start w:val="1"/>
      <w:numFmt w:val="lowerRoman"/>
      <w:lvlText w:val="%9."/>
      <w:lvlJc w:val="right"/>
      <w:pPr>
        <w:ind w:left="10855" w:hanging="180"/>
      </w:pPr>
    </w:lvl>
  </w:abstractNum>
  <w:abstractNum w:abstractNumId="11">
    <w:nsid w:val="38251B3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9330D07"/>
    <w:multiLevelType w:val="hybridMultilevel"/>
    <w:tmpl w:val="EE84C4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3FB826B4"/>
    <w:multiLevelType w:val="hybridMultilevel"/>
    <w:tmpl w:val="549A21CA"/>
    <w:lvl w:ilvl="0" w:tplc="792C1F6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8C36DE"/>
    <w:multiLevelType w:val="hybridMultilevel"/>
    <w:tmpl w:val="ACB4104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53163035"/>
    <w:multiLevelType w:val="hybridMultilevel"/>
    <w:tmpl w:val="AAC854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E83CFC"/>
    <w:multiLevelType w:val="hybridMultilevel"/>
    <w:tmpl w:val="0E2CFD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A6D556D"/>
    <w:multiLevelType w:val="hybridMultilevel"/>
    <w:tmpl w:val="DD22E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55F2F7A"/>
    <w:multiLevelType w:val="hybridMultilevel"/>
    <w:tmpl w:val="E84A20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841CF6"/>
    <w:multiLevelType w:val="hybridMultilevel"/>
    <w:tmpl w:val="6FDA7F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AF553DD"/>
    <w:multiLevelType w:val="hybridMultilevel"/>
    <w:tmpl w:val="18AE0E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9"/>
  </w:num>
  <w:num w:numId="3">
    <w:abstractNumId w:val="0"/>
  </w:num>
  <w:num w:numId="4">
    <w:abstractNumId w:val="2"/>
  </w:num>
  <w:num w:numId="5">
    <w:abstractNumId w:val="15"/>
  </w:num>
  <w:num w:numId="6">
    <w:abstractNumId w:val="3"/>
  </w:num>
  <w:num w:numId="7">
    <w:abstractNumId w:val="13"/>
  </w:num>
  <w:num w:numId="8">
    <w:abstractNumId w:val="20"/>
  </w:num>
  <w:num w:numId="9">
    <w:abstractNumId w:val="17"/>
  </w:num>
  <w:num w:numId="10">
    <w:abstractNumId w:val="4"/>
  </w:num>
  <w:num w:numId="11">
    <w:abstractNumId w:val="6"/>
  </w:num>
  <w:num w:numId="12">
    <w:abstractNumId w:val="18"/>
  </w:num>
  <w:num w:numId="13">
    <w:abstractNumId w:val="19"/>
  </w:num>
  <w:num w:numId="14">
    <w:abstractNumId w:val="8"/>
  </w:num>
  <w:num w:numId="15">
    <w:abstractNumId w:val="7"/>
  </w:num>
  <w:num w:numId="16">
    <w:abstractNumId w:val="1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62"/>
    <w:rsid w:val="00004A25"/>
    <w:rsid w:val="00006B62"/>
    <w:rsid w:val="00010802"/>
    <w:rsid w:val="00011AE3"/>
    <w:rsid w:val="000131E1"/>
    <w:rsid w:val="00016844"/>
    <w:rsid w:val="0001693B"/>
    <w:rsid w:val="000211EC"/>
    <w:rsid w:val="00021C4C"/>
    <w:rsid w:val="0003185B"/>
    <w:rsid w:val="000409EB"/>
    <w:rsid w:val="000A4CB7"/>
    <w:rsid w:val="000E0CA0"/>
    <w:rsid w:val="000E1051"/>
    <w:rsid w:val="000E581B"/>
    <w:rsid w:val="000F5094"/>
    <w:rsid w:val="000F5AEA"/>
    <w:rsid w:val="00103BB1"/>
    <w:rsid w:val="00110D06"/>
    <w:rsid w:val="00112540"/>
    <w:rsid w:val="0018237A"/>
    <w:rsid w:val="001C085A"/>
    <w:rsid w:val="00226E26"/>
    <w:rsid w:val="002516E4"/>
    <w:rsid w:val="00256BE3"/>
    <w:rsid w:val="00262111"/>
    <w:rsid w:val="00264866"/>
    <w:rsid w:val="0028772F"/>
    <w:rsid w:val="002924DB"/>
    <w:rsid w:val="00295B4F"/>
    <w:rsid w:val="002A0943"/>
    <w:rsid w:val="002A6CCD"/>
    <w:rsid w:val="002B3042"/>
    <w:rsid w:val="0030524F"/>
    <w:rsid w:val="00355876"/>
    <w:rsid w:val="00356822"/>
    <w:rsid w:val="003602F9"/>
    <w:rsid w:val="00367058"/>
    <w:rsid w:val="003911D6"/>
    <w:rsid w:val="00391B80"/>
    <w:rsid w:val="00396901"/>
    <w:rsid w:val="0039778F"/>
    <w:rsid w:val="003A5BFB"/>
    <w:rsid w:val="003A65F4"/>
    <w:rsid w:val="003B01F4"/>
    <w:rsid w:val="003C0013"/>
    <w:rsid w:val="003E1EA9"/>
    <w:rsid w:val="003F2F28"/>
    <w:rsid w:val="004027E3"/>
    <w:rsid w:val="00406642"/>
    <w:rsid w:val="00432621"/>
    <w:rsid w:val="004459B3"/>
    <w:rsid w:val="00452D32"/>
    <w:rsid w:val="004908F7"/>
    <w:rsid w:val="00491A75"/>
    <w:rsid w:val="00497696"/>
    <w:rsid w:val="004B0561"/>
    <w:rsid w:val="004B113D"/>
    <w:rsid w:val="004B1B85"/>
    <w:rsid w:val="00521A35"/>
    <w:rsid w:val="00552612"/>
    <w:rsid w:val="00561197"/>
    <w:rsid w:val="00590177"/>
    <w:rsid w:val="00590824"/>
    <w:rsid w:val="00591237"/>
    <w:rsid w:val="005B0469"/>
    <w:rsid w:val="005C31FE"/>
    <w:rsid w:val="005F3792"/>
    <w:rsid w:val="005F7E25"/>
    <w:rsid w:val="00600A28"/>
    <w:rsid w:val="00611541"/>
    <w:rsid w:val="00616D45"/>
    <w:rsid w:val="00630D1F"/>
    <w:rsid w:val="006349F6"/>
    <w:rsid w:val="00635A82"/>
    <w:rsid w:val="00641A4E"/>
    <w:rsid w:val="0064229B"/>
    <w:rsid w:val="006A199A"/>
    <w:rsid w:val="006A6461"/>
    <w:rsid w:val="006E7CBB"/>
    <w:rsid w:val="006F073C"/>
    <w:rsid w:val="006F4708"/>
    <w:rsid w:val="007300CB"/>
    <w:rsid w:val="00733EBE"/>
    <w:rsid w:val="007344E4"/>
    <w:rsid w:val="00741F12"/>
    <w:rsid w:val="00741F9A"/>
    <w:rsid w:val="0075071E"/>
    <w:rsid w:val="007D6FC2"/>
    <w:rsid w:val="00816DA1"/>
    <w:rsid w:val="00833FB7"/>
    <w:rsid w:val="00856755"/>
    <w:rsid w:val="008645C4"/>
    <w:rsid w:val="00881795"/>
    <w:rsid w:val="008A0A4A"/>
    <w:rsid w:val="008A16F5"/>
    <w:rsid w:val="008A4F78"/>
    <w:rsid w:val="008D20D8"/>
    <w:rsid w:val="008E1A83"/>
    <w:rsid w:val="008F30EA"/>
    <w:rsid w:val="00901CF0"/>
    <w:rsid w:val="00953EAC"/>
    <w:rsid w:val="00973415"/>
    <w:rsid w:val="00996C15"/>
    <w:rsid w:val="009C7B30"/>
    <w:rsid w:val="009D3E90"/>
    <w:rsid w:val="009F258E"/>
    <w:rsid w:val="00A43C02"/>
    <w:rsid w:val="00A7676C"/>
    <w:rsid w:val="00A927EF"/>
    <w:rsid w:val="00AA1F2E"/>
    <w:rsid w:val="00AA4A64"/>
    <w:rsid w:val="00AB4102"/>
    <w:rsid w:val="00AE7E86"/>
    <w:rsid w:val="00B01385"/>
    <w:rsid w:val="00B10C60"/>
    <w:rsid w:val="00B22167"/>
    <w:rsid w:val="00B23166"/>
    <w:rsid w:val="00B251B9"/>
    <w:rsid w:val="00B2634E"/>
    <w:rsid w:val="00B33ED0"/>
    <w:rsid w:val="00B40F0D"/>
    <w:rsid w:val="00B43C44"/>
    <w:rsid w:val="00B60F22"/>
    <w:rsid w:val="00B650F8"/>
    <w:rsid w:val="00B6779D"/>
    <w:rsid w:val="00BE73E3"/>
    <w:rsid w:val="00C0563C"/>
    <w:rsid w:val="00C15434"/>
    <w:rsid w:val="00C24C42"/>
    <w:rsid w:val="00C352AD"/>
    <w:rsid w:val="00C40DC2"/>
    <w:rsid w:val="00C43712"/>
    <w:rsid w:val="00C50542"/>
    <w:rsid w:val="00C5561B"/>
    <w:rsid w:val="00C74D8B"/>
    <w:rsid w:val="00C845DF"/>
    <w:rsid w:val="00CA11B6"/>
    <w:rsid w:val="00CC5811"/>
    <w:rsid w:val="00CC7544"/>
    <w:rsid w:val="00CD2C34"/>
    <w:rsid w:val="00CD3CCC"/>
    <w:rsid w:val="00CE4D4E"/>
    <w:rsid w:val="00CF75F1"/>
    <w:rsid w:val="00D04AFF"/>
    <w:rsid w:val="00D20D98"/>
    <w:rsid w:val="00D2628D"/>
    <w:rsid w:val="00D3123E"/>
    <w:rsid w:val="00D54BAC"/>
    <w:rsid w:val="00D666CE"/>
    <w:rsid w:val="00D85AED"/>
    <w:rsid w:val="00DA0ECF"/>
    <w:rsid w:val="00DB1935"/>
    <w:rsid w:val="00DB6B36"/>
    <w:rsid w:val="00DD74AC"/>
    <w:rsid w:val="00E17AFE"/>
    <w:rsid w:val="00E423D6"/>
    <w:rsid w:val="00E51FD3"/>
    <w:rsid w:val="00E6165D"/>
    <w:rsid w:val="00E72179"/>
    <w:rsid w:val="00EC31A8"/>
    <w:rsid w:val="00EC785C"/>
    <w:rsid w:val="00EE0A59"/>
    <w:rsid w:val="00EF0016"/>
    <w:rsid w:val="00F10321"/>
    <w:rsid w:val="00F16FE8"/>
    <w:rsid w:val="00F30458"/>
    <w:rsid w:val="00F52DFF"/>
    <w:rsid w:val="00FA208B"/>
    <w:rsid w:val="00FB51CB"/>
    <w:rsid w:val="00FB7DAF"/>
    <w:rsid w:val="00FD6F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01693B"/>
    <w:rPr>
      <w:rFonts w:ascii="Arial" w:hAnsi="Arial"/>
      <w:sz w:val="24"/>
      <w:szCs w:val="24"/>
      <w:lang w:eastAsia="en-US"/>
    </w:rPr>
  </w:style>
  <w:style w:type="paragraph" w:styleId="Heading1">
    <w:name w:val="heading 1"/>
    <w:basedOn w:val="Normal"/>
    <w:next w:val="Normal"/>
    <w:qFormat/>
    <w:rsid w:val="0001693B"/>
    <w:pPr>
      <w:keepNext/>
      <w:spacing w:before="240" w:after="60"/>
      <w:outlineLvl w:val="0"/>
    </w:pPr>
    <w:rPr>
      <w:rFonts w:cs="Arial"/>
      <w:b/>
      <w:bCs/>
      <w:kern w:val="32"/>
      <w:sz w:val="32"/>
      <w:szCs w:val="32"/>
    </w:rPr>
  </w:style>
  <w:style w:type="paragraph" w:styleId="Heading2">
    <w:name w:val="heading 2"/>
    <w:basedOn w:val="Normal"/>
    <w:next w:val="Normal"/>
    <w:qFormat/>
    <w:rsid w:val="0001693B"/>
    <w:pPr>
      <w:keepNext/>
      <w:outlineLvl w:val="1"/>
    </w:pPr>
    <w:rPr>
      <w:rFonts w:cs="Arial"/>
      <w:b/>
    </w:rPr>
  </w:style>
  <w:style w:type="paragraph" w:styleId="Heading3">
    <w:name w:val="heading 3"/>
    <w:basedOn w:val="Normal"/>
    <w:next w:val="Normal"/>
    <w:qFormat/>
    <w:rsid w:val="0001693B"/>
    <w:pPr>
      <w:keepNext/>
      <w:autoSpaceDE w:val="0"/>
      <w:autoSpaceDN w:val="0"/>
      <w:adjustRightInd w:val="0"/>
      <w:outlineLvl w:val="2"/>
    </w:pPr>
    <w:rPr>
      <w:rFonts w:cs="Arial"/>
      <w:i/>
      <w:iCs/>
      <w:lang w:val="en-US"/>
    </w:rPr>
  </w:style>
  <w:style w:type="paragraph" w:styleId="Heading4">
    <w:name w:val="heading 4"/>
    <w:basedOn w:val="Normal"/>
    <w:next w:val="Normal"/>
    <w:qFormat/>
    <w:rsid w:val="0001693B"/>
    <w:pPr>
      <w:keepNext/>
      <w:jc w:val="both"/>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01693B"/>
    <w:pPr>
      <w:spacing w:before="100" w:beforeAutospacing="1" w:after="100" w:afterAutospacing="1"/>
    </w:pPr>
    <w:rPr>
      <w:color w:val="000000"/>
      <w:lang w:val="en-US"/>
    </w:rPr>
  </w:style>
  <w:style w:type="paragraph" w:styleId="Footer">
    <w:name w:val="footer"/>
    <w:basedOn w:val="Normal"/>
    <w:semiHidden/>
    <w:rsid w:val="0001693B"/>
    <w:pPr>
      <w:tabs>
        <w:tab w:val="center" w:pos="4320"/>
        <w:tab w:val="right" w:pos="8640"/>
      </w:tabs>
    </w:pPr>
  </w:style>
  <w:style w:type="character" w:styleId="PageNumber">
    <w:name w:val="page number"/>
    <w:basedOn w:val="DefaultParagraphFont"/>
    <w:semiHidden/>
    <w:rsid w:val="0001693B"/>
  </w:style>
  <w:style w:type="paragraph" w:styleId="Header">
    <w:name w:val="header"/>
    <w:basedOn w:val="Normal"/>
    <w:semiHidden/>
    <w:rsid w:val="0001693B"/>
    <w:pPr>
      <w:tabs>
        <w:tab w:val="center" w:pos="4320"/>
        <w:tab w:val="right" w:pos="8640"/>
      </w:tabs>
    </w:pPr>
  </w:style>
  <w:style w:type="paragraph" w:styleId="BalloonText">
    <w:name w:val="Balloon Text"/>
    <w:basedOn w:val="Normal"/>
    <w:semiHidden/>
    <w:rsid w:val="0001693B"/>
    <w:rPr>
      <w:rFonts w:ascii="Tahoma" w:hAnsi="Tahoma" w:cs="Tahoma"/>
      <w:sz w:val="16"/>
      <w:szCs w:val="16"/>
    </w:rPr>
  </w:style>
  <w:style w:type="paragraph" w:styleId="BodyTextIndent2">
    <w:name w:val="Body Text Indent 2"/>
    <w:basedOn w:val="Normal"/>
    <w:semiHidden/>
    <w:rsid w:val="0001693B"/>
    <w:pPr>
      <w:ind w:left="720" w:hanging="720"/>
    </w:pPr>
    <w:rPr>
      <w:szCs w:val="20"/>
      <w:lang w:eastAsia="en-AU"/>
    </w:rPr>
  </w:style>
  <w:style w:type="paragraph" w:styleId="BodyText2">
    <w:name w:val="Body Text 2"/>
    <w:basedOn w:val="Normal"/>
    <w:next w:val="Normal"/>
    <w:semiHidden/>
    <w:rsid w:val="0001693B"/>
    <w:pPr>
      <w:tabs>
        <w:tab w:val="left" w:pos="-720"/>
      </w:tabs>
      <w:spacing w:before="120" w:after="120"/>
      <w:jc w:val="both"/>
    </w:pPr>
    <w:rPr>
      <w:szCs w:val="20"/>
      <w:lang w:eastAsia="en-AU"/>
    </w:rPr>
  </w:style>
  <w:style w:type="paragraph" w:customStyle="1" w:styleId="Section">
    <w:name w:val="Section"/>
    <w:basedOn w:val="Normal"/>
    <w:rsid w:val="0001693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spacing w:val="-3"/>
      <w:sz w:val="26"/>
      <w:szCs w:val="20"/>
      <w:lang w:val="en-GB" w:eastAsia="en-AU"/>
    </w:rPr>
  </w:style>
  <w:style w:type="paragraph" w:customStyle="1" w:styleId="NewSectionHeading">
    <w:name w:val="New Section Heading"/>
    <w:basedOn w:val="Heading1"/>
    <w:next w:val="Section"/>
    <w:rsid w:val="0001693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ind w:left="720" w:hanging="720"/>
      <w:jc w:val="both"/>
      <w:outlineLvl w:val="9"/>
    </w:pPr>
    <w:rPr>
      <w:rFonts w:ascii="Times New Roman" w:hAnsi="Times New Roman" w:cs="Times New Roman"/>
      <w:bCs w:val="0"/>
      <w:spacing w:val="-3"/>
      <w:kern w:val="28"/>
      <w:sz w:val="26"/>
      <w:szCs w:val="20"/>
      <w:lang w:val="en-GB" w:eastAsia="en-AU"/>
    </w:rPr>
  </w:style>
  <w:style w:type="paragraph" w:styleId="BodyText">
    <w:name w:val="Body Text"/>
    <w:basedOn w:val="Normal"/>
    <w:semiHidden/>
    <w:rsid w:val="0001693B"/>
    <w:pPr>
      <w:jc w:val="both"/>
    </w:pPr>
    <w:rPr>
      <w:i/>
      <w:iCs/>
    </w:rPr>
  </w:style>
  <w:style w:type="paragraph" w:styleId="BodyText3">
    <w:name w:val="Body Text 3"/>
    <w:basedOn w:val="Normal"/>
    <w:semiHidden/>
    <w:rsid w:val="0001693B"/>
    <w:rPr>
      <w:i/>
      <w:iCs/>
    </w:rPr>
  </w:style>
  <w:style w:type="paragraph" w:styleId="BodyTextIndent">
    <w:name w:val="Body Text Indent"/>
    <w:basedOn w:val="Normal"/>
    <w:semiHidden/>
    <w:rsid w:val="0001693B"/>
    <w:pPr>
      <w:ind w:left="720"/>
    </w:pPr>
    <w:rPr>
      <w:i/>
      <w:iCs/>
    </w:rPr>
  </w:style>
  <w:style w:type="character" w:customStyle="1" w:styleId="EmailStyle27">
    <w:name w:val="EmailStyle27"/>
    <w:basedOn w:val="DefaultParagraphFont"/>
    <w:semiHidden/>
    <w:rsid w:val="0001693B"/>
    <w:rPr>
      <w:rFonts w:ascii="Arial" w:hAnsi="Arial" w:cs="Arial"/>
      <w:color w:val="auto"/>
      <w:sz w:val="20"/>
      <w:szCs w:val="20"/>
    </w:rPr>
  </w:style>
  <w:style w:type="paragraph" w:styleId="NormalIndent">
    <w:name w:val="Normal Indent"/>
    <w:basedOn w:val="Normal"/>
    <w:semiHidden/>
    <w:rsid w:val="0001693B"/>
    <w:pPr>
      <w:ind w:left="720"/>
    </w:pPr>
  </w:style>
  <w:style w:type="paragraph" w:styleId="ListParagraph">
    <w:name w:val="List Paragraph"/>
    <w:basedOn w:val="Normal"/>
    <w:uiPriority w:val="34"/>
    <w:qFormat/>
    <w:rsid w:val="00C24C42"/>
    <w:pPr>
      <w:ind w:left="720"/>
      <w:contextualSpacing/>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01693B"/>
    <w:rPr>
      <w:rFonts w:ascii="Arial" w:hAnsi="Arial"/>
      <w:sz w:val="24"/>
      <w:szCs w:val="24"/>
      <w:lang w:eastAsia="en-US"/>
    </w:rPr>
  </w:style>
  <w:style w:type="paragraph" w:styleId="Heading1">
    <w:name w:val="heading 1"/>
    <w:basedOn w:val="Normal"/>
    <w:next w:val="Normal"/>
    <w:qFormat/>
    <w:rsid w:val="0001693B"/>
    <w:pPr>
      <w:keepNext/>
      <w:spacing w:before="240" w:after="60"/>
      <w:outlineLvl w:val="0"/>
    </w:pPr>
    <w:rPr>
      <w:rFonts w:cs="Arial"/>
      <w:b/>
      <w:bCs/>
      <w:kern w:val="32"/>
      <w:sz w:val="32"/>
      <w:szCs w:val="32"/>
    </w:rPr>
  </w:style>
  <w:style w:type="paragraph" w:styleId="Heading2">
    <w:name w:val="heading 2"/>
    <w:basedOn w:val="Normal"/>
    <w:next w:val="Normal"/>
    <w:qFormat/>
    <w:rsid w:val="0001693B"/>
    <w:pPr>
      <w:keepNext/>
      <w:outlineLvl w:val="1"/>
    </w:pPr>
    <w:rPr>
      <w:rFonts w:cs="Arial"/>
      <w:b/>
    </w:rPr>
  </w:style>
  <w:style w:type="paragraph" w:styleId="Heading3">
    <w:name w:val="heading 3"/>
    <w:basedOn w:val="Normal"/>
    <w:next w:val="Normal"/>
    <w:qFormat/>
    <w:rsid w:val="0001693B"/>
    <w:pPr>
      <w:keepNext/>
      <w:autoSpaceDE w:val="0"/>
      <w:autoSpaceDN w:val="0"/>
      <w:adjustRightInd w:val="0"/>
      <w:outlineLvl w:val="2"/>
    </w:pPr>
    <w:rPr>
      <w:rFonts w:cs="Arial"/>
      <w:i/>
      <w:iCs/>
      <w:lang w:val="en-US"/>
    </w:rPr>
  </w:style>
  <w:style w:type="paragraph" w:styleId="Heading4">
    <w:name w:val="heading 4"/>
    <w:basedOn w:val="Normal"/>
    <w:next w:val="Normal"/>
    <w:qFormat/>
    <w:rsid w:val="0001693B"/>
    <w:pPr>
      <w:keepNext/>
      <w:jc w:val="both"/>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01693B"/>
    <w:pPr>
      <w:spacing w:before="100" w:beforeAutospacing="1" w:after="100" w:afterAutospacing="1"/>
    </w:pPr>
    <w:rPr>
      <w:color w:val="000000"/>
      <w:lang w:val="en-US"/>
    </w:rPr>
  </w:style>
  <w:style w:type="paragraph" w:styleId="Footer">
    <w:name w:val="footer"/>
    <w:basedOn w:val="Normal"/>
    <w:semiHidden/>
    <w:rsid w:val="0001693B"/>
    <w:pPr>
      <w:tabs>
        <w:tab w:val="center" w:pos="4320"/>
        <w:tab w:val="right" w:pos="8640"/>
      </w:tabs>
    </w:pPr>
  </w:style>
  <w:style w:type="character" w:styleId="PageNumber">
    <w:name w:val="page number"/>
    <w:basedOn w:val="DefaultParagraphFont"/>
    <w:semiHidden/>
    <w:rsid w:val="0001693B"/>
  </w:style>
  <w:style w:type="paragraph" w:styleId="Header">
    <w:name w:val="header"/>
    <w:basedOn w:val="Normal"/>
    <w:semiHidden/>
    <w:rsid w:val="0001693B"/>
    <w:pPr>
      <w:tabs>
        <w:tab w:val="center" w:pos="4320"/>
        <w:tab w:val="right" w:pos="8640"/>
      </w:tabs>
    </w:pPr>
  </w:style>
  <w:style w:type="paragraph" w:styleId="BalloonText">
    <w:name w:val="Balloon Text"/>
    <w:basedOn w:val="Normal"/>
    <w:semiHidden/>
    <w:rsid w:val="0001693B"/>
    <w:rPr>
      <w:rFonts w:ascii="Tahoma" w:hAnsi="Tahoma" w:cs="Tahoma"/>
      <w:sz w:val="16"/>
      <w:szCs w:val="16"/>
    </w:rPr>
  </w:style>
  <w:style w:type="paragraph" w:styleId="BodyTextIndent2">
    <w:name w:val="Body Text Indent 2"/>
    <w:basedOn w:val="Normal"/>
    <w:semiHidden/>
    <w:rsid w:val="0001693B"/>
    <w:pPr>
      <w:ind w:left="720" w:hanging="720"/>
    </w:pPr>
    <w:rPr>
      <w:szCs w:val="20"/>
      <w:lang w:eastAsia="en-AU"/>
    </w:rPr>
  </w:style>
  <w:style w:type="paragraph" w:styleId="BodyText2">
    <w:name w:val="Body Text 2"/>
    <w:basedOn w:val="Normal"/>
    <w:next w:val="Normal"/>
    <w:semiHidden/>
    <w:rsid w:val="0001693B"/>
    <w:pPr>
      <w:tabs>
        <w:tab w:val="left" w:pos="-720"/>
      </w:tabs>
      <w:spacing w:before="120" w:after="120"/>
      <w:jc w:val="both"/>
    </w:pPr>
    <w:rPr>
      <w:szCs w:val="20"/>
      <w:lang w:eastAsia="en-AU"/>
    </w:rPr>
  </w:style>
  <w:style w:type="paragraph" w:customStyle="1" w:styleId="Section">
    <w:name w:val="Section"/>
    <w:basedOn w:val="Normal"/>
    <w:rsid w:val="0001693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spacing w:val="-3"/>
      <w:sz w:val="26"/>
      <w:szCs w:val="20"/>
      <w:lang w:val="en-GB" w:eastAsia="en-AU"/>
    </w:rPr>
  </w:style>
  <w:style w:type="paragraph" w:customStyle="1" w:styleId="NewSectionHeading">
    <w:name w:val="New Section Heading"/>
    <w:basedOn w:val="Heading1"/>
    <w:next w:val="Section"/>
    <w:rsid w:val="0001693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ind w:left="720" w:hanging="720"/>
      <w:jc w:val="both"/>
      <w:outlineLvl w:val="9"/>
    </w:pPr>
    <w:rPr>
      <w:rFonts w:ascii="Times New Roman" w:hAnsi="Times New Roman" w:cs="Times New Roman"/>
      <w:bCs w:val="0"/>
      <w:spacing w:val="-3"/>
      <w:kern w:val="28"/>
      <w:sz w:val="26"/>
      <w:szCs w:val="20"/>
      <w:lang w:val="en-GB" w:eastAsia="en-AU"/>
    </w:rPr>
  </w:style>
  <w:style w:type="paragraph" w:styleId="BodyText">
    <w:name w:val="Body Text"/>
    <w:basedOn w:val="Normal"/>
    <w:semiHidden/>
    <w:rsid w:val="0001693B"/>
    <w:pPr>
      <w:jc w:val="both"/>
    </w:pPr>
    <w:rPr>
      <w:i/>
      <w:iCs/>
    </w:rPr>
  </w:style>
  <w:style w:type="paragraph" w:styleId="BodyText3">
    <w:name w:val="Body Text 3"/>
    <w:basedOn w:val="Normal"/>
    <w:semiHidden/>
    <w:rsid w:val="0001693B"/>
    <w:rPr>
      <w:i/>
      <w:iCs/>
    </w:rPr>
  </w:style>
  <w:style w:type="paragraph" w:styleId="BodyTextIndent">
    <w:name w:val="Body Text Indent"/>
    <w:basedOn w:val="Normal"/>
    <w:semiHidden/>
    <w:rsid w:val="0001693B"/>
    <w:pPr>
      <w:ind w:left="720"/>
    </w:pPr>
    <w:rPr>
      <w:i/>
      <w:iCs/>
    </w:rPr>
  </w:style>
  <w:style w:type="character" w:customStyle="1" w:styleId="EmailStyle27">
    <w:name w:val="EmailStyle27"/>
    <w:basedOn w:val="DefaultParagraphFont"/>
    <w:semiHidden/>
    <w:rsid w:val="0001693B"/>
    <w:rPr>
      <w:rFonts w:ascii="Arial" w:hAnsi="Arial" w:cs="Arial"/>
      <w:color w:val="auto"/>
      <w:sz w:val="20"/>
      <w:szCs w:val="20"/>
    </w:rPr>
  </w:style>
  <w:style w:type="paragraph" w:styleId="NormalIndent">
    <w:name w:val="Normal Indent"/>
    <w:basedOn w:val="Normal"/>
    <w:semiHidden/>
    <w:rsid w:val="0001693B"/>
    <w:pPr>
      <w:ind w:left="720"/>
    </w:pPr>
  </w:style>
  <w:style w:type="paragraph" w:styleId="ListParagraph">
    <w:name w:val="List Paragraph"/>
    <w:basedOn w:val="Normal"/>
    <w:uiPriority w:val="34"/>
    <w:qFormat/>
    <w:rsid w:val="00C24C42"/>
    <w:pPr>
      <w:ind w:left="720"/>
      <w:contextualSpacing/>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241337">
      <w:bodyDiv w:val="1"/>
      <w:marLeft w:val="0"/>
      <w:marRight w:val="0"/>
      <w:marTop w:val="0"/>
      <w:marBottom w:val="0"/>
      <w:divBdr>
        <w:top w:val="none" w:sz="0" w:space="0" w:color="auto"/>
        <w:left w:val="none" w:sz="0" w:space="0" w:color="auto"/>
        <w:bottom w:val="none" w:sz="0" w:space="0" w:color="auto"/>
        <w:right w:val="none" w:sz="0" w:space="0" w:color="auto"/>
      </w:divBdr>
    </w:div>
    <w:div w:id="1608922549">
      <w:bodyDiv w:val="1"/>
      <w:marLeft w:val="0"/>
      <w:marRight w:val="0"/>
      <w:marTop w:val="0"/>
      <w:marBottom w:val="0"/>
      <w:divBdr>
        <w:top w:val="none" w:sz="0" w:space="0" w:color="auto"/>
        <w:left w:val="none" w:sz="0" w:space="0" w:color="auto"/>
        <w:bottom w:val="none" w:sz="0" w:space="0" w:color="auto"/>
        <w:right w:val="none" w:sz="0" w:space="0" w:color="auto"/>
      </w:divBdr>
    </w:div>
    <w:div w:id="1924416008">
      <w:bodyDiv w:val="1"/>
      <w:marLeft w:val="0"/>
      <w:marRight w:val="0"/>
      <w:marTop w:val="0"/>
      <w:marBottom w:val="0"/>
      <w:divBdr>
        <w:top w:val="none" w:sz="0" w:space="0" w:color="auto"/>
        <w:left w:val="none" w:sz="0" w:space="0" w:color="auto"/>
        <w:bottom w:val="none" w:sz="0" w:space="0" w:color="auto"/>
        <w:right w:val="none" w:sz="0" w:space="0" w:color="auto"/>
      </w:divBdr>
    </w:div>
    <w:div w:id="194799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2464</Words>
  <Characters>12629</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AGENTS LICENSING BOARD</vt:lpstr>
    </vt:vector>
  </TitlesOfParts>
  <Company>Hewlett-Packard</Company>
  <LinksUpToDate>false</LinksUpToDate>
  <CharactersWithSpaces>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LICENSING BOARD</dc:title>
  <dc:creator>Berkley</dc:creator>
  <cp:lastModifiedBy>alo</cp:lastModifiedBy>
  <cp:revision>5</cp:revision>
  <cp:lastPrinted>2014-06-19T07:00:00Z</cp:lastPrinted>
  <dcterms:created xsi:type="dcterms:W3CDTF">2014-06-19T06:06:00Z</dcterms:created>
  <dcterms:modified xsi:type="dcterms:W3CDTF">2014-06-19T07:03:00Z</dcterms:modified>
</cp:coreProperties>
</file>