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customXml/itemProps2.xml" ContentType="application/vnd.openxmlformats-officedocument.customXmlPropertie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glossary/stylesWithEffects.xml" ContentType="application/vnd.ms-word.stylesWithEffect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655618" w:rsidRDefault="009641E3" w:rsidP="006C668D">
      <w:pPr>
        <w:pStyle w:val="Heading1"/>
        <w:spacing w:before="0"/>
        <w:rPr>
          <w:rFonts w:cs="Arial"/>
        </w:rPr>
      </w:pPr>
      <w:r w:rsidRPr="00655618">
        <w:rPr>
          <w:rFonts w:cs="Arial"/>
        </w:rPr>
        <w:t>Decision Notice</w:t>
      </w:r>
    </w:p>
    <w:p w:rsidR="006770F2" w:rsidRPr="00655618" w:rsidRDefault="006770F2" w:rsidP="001620E9">
      <w:pPr>
        <w:pStyle w:val="Tabformatting"/>
        <w:rPr>
          <w:rFonts w:cs="Arial"/>
        </w:rPr>
      </w:pPr>
      <w:r w:rsidRPr="00655618">
        <w:rPr>
          <w:rFonts w:cs="Arial"/>
          <w:b/>
        </w:rPr>
        <w:t>Matter:</w:t>
      </w:r>
      <w:r w:rsidRPr="00655618">
        <w:rPr>
          <w:rFonts w:cs="Arial"/>
        </w:rPr>
        <w:tab/>
      </w:r>
      <w:r w:rsidR="00D33764" w:rsidRPr="00655618">
        <w:rPr>
          <w:rFonts w:cs="Arial"/>
        </w:rPr>
        <w:t xml:space="preserve">Application for </w:t>
      </w:r>
      <w:r w:rsidR="00D90789">
        <w:rPr>
          <w:rFonts w:cs="Arial"/>
        </w:rPr>
        <w:t>Gaming Machine Licence</w:t>
      </w:r>
    </w:p>
    <w:p w:rsidR="00861DC3" w:rsidRPr="00655618" w:rsidRDefault="00CC3330" w:rsidP="00D33764">
      <w:pPr>
        <w:pStyle w:val="Tabformatting"/>
        <w:spacing w:after="0"/>
        <w:rPr>
          <w:rFonts w:cs="Arial"/>
        </w:rPr>
      </w:pPr>
      <w:r w:rsidRPr="00655618">
        <w:rPr>
          <w:rFonts w:cs="Arial"/>
          <w:b/>
        </w:rPr>
        <w:t>Premises</w:t>
      </w:r>
      <w:r w:rsidRPr="00655618">
        <w:rPr>
          <w:rFonts w:cs="Arial"/>
        </w:rPr>
        <w:t>:</w:t>
      </w:r>
      <w:r w:rsidRPr="00655618">
        <w:rPr>
          <w:rFonts w:cs="Arial"/>
        </w:rPr>
        <w:tab/>
      </w:r>
      <w:r w:rsidR="00D33764" w:rsidRPr="00655618">
        <w:rPr>
          <w:rFonts w:cs="Arial"/>
        </w:rPr>
        <w:t>B</w:t>
      </w:r>
      <w:r w:rsidR="001508BE">
        <w:rPr>
          <w:rFonts w:cs="Arial"/>
        </w:rPr>
        <w:t>erry Springs Tavern</w:t>
      </w:r>
    </w:p>
    <w:p w:rsidR="00D33764" w:rsidRDefault="001508BE" w:rsidP="001508BE">
      <w:pPr>
        <w:pStyle w:val="Tabformatting"/>
        <w:spacing w:after="0"/>
        <w:rPr>
          <w:rFonts w:cs="Arial"/>
        </w:rPr>
      </w:pPr>
      <w:r>
        <w:rPr>
          <w:rFonts w:cs="Arial"/>
        </w:rPr>
        <w:tab/>
        <w:t>795 Cox Peninsula Road</w:t>
      </w:r>
    </w:p>
    <w:p w:rsidR="001508BE" w:rsidRDefault="001508BE" w:rsidP="00BE1876">
      <w:pPr>
        <w:pStyle w:val="Tabformatting"/>
        <w:rPr>
          <w:rFonts w:cs="Arial"/>
        </w:rPr>
      </w:pPr>
      <w:r>
        <w:rPr>
          <w:rFonts w:cs="Arial"/>
        </w:rPr>
        <w:tab/>
        <w:t>Berry Springs NT 0838</w:t>
      </w:r>
    </w:p>
    <w:p w:rsidR="00CC3330" w:rsidRPr="00655618" w:rsidRDefault="00CC3330" w:rsidP="001620E9">
      <w:pPr>
        <w:pStyle w:val="Tabformatting"/>
        <w:rPr>
          <w:rFonts w:cs="Arial"/>
        </w:rPr>
      </w:pPr>
      <w:r w:rsidRPr="00655618">
        <w:rPr>
          <w:rFonts w:cs="Arial"/>
          <w:b/>
        </w:rPr>
        <w:t>Applicant</w:t>
      </w:r>
      <w:r w:rsidRPr="00655618">
        <w:rPr>
          <w:rFonts w:cs="Arial"/>
        </w:rPr>
        <w:t>:</w:t>
      </w:r>
      <w:r w:rsidRPr="00655618">
        <w:rPr>
          <w:rFonts w:cs="Arial"/>
        </w:rPr>
        <w:tab/>
      </w:r>
      <w:proofErr w:type="spellStart"/>
      <w:r w:rsidR="00BE1876">
        <w:rPr>
          <w:rFonts w:cs="Arial"/>
        </w:rPr>
        <w:t>Sloaney</w:t>
      </w:r>
      <w:proofErr w:type="spellEnd"/>
      <w:r w:rsidR="00BE1876">
        <w:rPr>
          <w:rFonts w:cs="Arial"/>
        </w:rPr>
        <w:t xml:space="preserve"> Pty Ltd</w:t>
      </w:r>
      <w:r w:rsidR="00D90789">
        <w:rPr>
          <w:rFonts w:cs="Arial"/>
        </w:rPr>
        <w:t xml:space="preserve"> (ABN 45 133 901 872)</w:t>
      </w:r>
    </w:p>
    <w:p w:rsidR="00CC3330" w:rsidRPr="00655618" w:rsidRDefault="00CC3330" w:rsidP="001620E9">
      <w:pPr>
        <w:pStyle w:val="Tabformatting"/>
        <w:rPr>
          <w:rFonts w:cs="Arial"/>
        </w:rPr>
      </w:pPr>
      <w:r w:rsidRPr="00655618">
        <w:rPr>
          <w:rFonts w:cs="Arial"/>
          <w:b/>
        </w:rPr>
        <w:t>Nominee</w:t>
      </w:r>
      <w:r w:rsidRPr="00655618">
        <w:rPr>
          <w:rFonts w:cs="Arial"/>
        </w:rPr>
        <w:t>:</w:t>
      </w:r>
      <w:r w:rsidRPr="00655618">
        <w:rPr>
          <w:rFonts w:cs="Arial"/>
        </w:rPr>
        <w:tab/>
      </w:r>
      <w:r w:rsidR="00F53185">
        <w:rPr>
          <w:rFonts w:cs="Arial"/>
        </w:rPr>
        <w:t>Mr Ian Sloan</w:t>
      </w:r>
    </w:p>
    <w:p w:rsidR="00CC3330" w:rsidRPr="00655618" w:rsidRDefault="00D33764" w:rsidP="001620E9">
      <w:pPr>
        <w:pStyle w:val="Tabformatting"/>
        <w:rPr>
          <w:rFonts w:cs="Arial"/>
        </w:rPr>
      </w:pPr>
      <w:r w:rsidRPr="00655618">
        <w:rPr>
          <w:rFonts w:cs="Arial"/>
          <w:b/>
        </w:rPr>
        <w:t>Submissions</w:t>
      </w:r>
      <w:r w:rsidR="00CC3330" w:rsidRPr="00655618">
        <w:rPr>
          <w:rFonts w:cs="Arial"/>
        </w:rPr>
        <w:t>:</w:t>
      </w:r>
      <w:r w:rsidR="00CC3330" w:rsidRPr="00655618">
        <w:rPr>
          <w:rFonts w:cs="Arial"/>
        </w:rPr>
        <w:tab/>
      </w:r>
      <w:r w:rsidR="00F53185">
        <w:rPr>
          <w:rFonts w:cs="Arial"/>
        </w:rPr>
        <w:t>Nil</w:t>
      </w:r>
    </w:p>
    <w:p w:rsidR="00CC3330" w:rsidRPr="00655618" w:rsidRDefault="00CC3330" w:rsidP="001620E9">
      <w:pPr>
        <w:pStyle w:val="Tabformatting"/>
        <w:rPr>
          <w:rFonts w:cs="Arial"/>
          <w:i/>
        </w:rPr>
      </w:pPr>
      <w:r w:rsidRPr="00655618">
        <w:rPr>
          <w:rFonts w:cs="Arial"/>
          <w:b/>
        </w:rPr>
        <w:t>Legislation</w:t>
      </w:r>
      <w:r w:rsidRPr="00655618">
        <w:rPr>
          <w:rFonts w:cs="Arial"/>
        </w:rPr>
        <w:t>:</w:t>
      </w:r>
      <w:r w:rsidRPr="00655618">
        <w:rPr>
          <w:rFonts w:cs="Arial"/>
        </w:rPr>
        <w:tab/>
      </w:r>
      <w:r w:rsidR="00D33764" w:rsidRPr="00655618">
        <w:rPr>
          <w:rFonts w:cs="Arial"/>
        </w:rPr>
        <w:t xml:space="preserve">Section </w:t>
      </w:r>
      <w:r w:rsidR="00F53185">
        <w:rPr>
          <w:rFonts w:cs="Arial"/>
        </w:rPr>
        <w:t>24</w:t>
      </w:r>
      <w:r w:rsidR="00D33764" w:rsidRPr="00655618">
        <w:rPr>
          <w:rFonts w:cs="Arial"/>
        </w:rPr>
        <w:t xml:space="preserve"> </w:t>
      </w:r>
      <w:r w:rsidR="00D33764" w:rsidRPr="00655618">
        <w:rPr>
          <w:rFonts w:cs="Arial"/>
          <w:i/>
        </w:rPr>
        <w:t>Gaming Machine Act</w:t>
      </w:r>
    </w:p>
    <w:p w:rsidR="00CC3330" w:rsidRPr="00655618" w:rsidRDefault="00CC3330" w:rsidP="001620E9">
      <w:pPr>
        <w:pStyle w:val="Tabformatting"/>
        <w:rPr>
          <w:rFonts w:cs="Arial"/>
        </w:rPr>
      </w:pPr>
      <w:r w:rsidRPr="00655618">
        <w:rPr>
          <w:rFonts w:cs="Arial"/>
          <w:b/>
        </w:rPr>
        <w:t>Decision of</w:t>
      </w:r>
      <w:r w:rsidRPr="00655618">
        <w:rPr>
          <w:rFonts w:cs="Arial"/>
        </w:rPr>
        <w:t>:</w:t>
      </w:r>
      <w:r w:rsidRPr="00655618">
        <w:rPr>
          <w:rFonts w:cs="Arial"/>
        </w:rPr>
        <w:tab/>
      </w:r>
      <w:r w:rsidR="006770F2" w:rsidRPr="00655618">
        <w:rPr>
          <w:rFonts w:cs="Arial"/>
        </w:rPr>
        <w:t>Director-General of Licensing</w:t>
      </w:r>
    </w:p>
    <w:p w:rsidR="00CC3330" w:rsidRPr="00655618" w:rsidRDefault="00CC3330" w:rsidP="001620E9">
      <w:pPr>
        <w:pStyle w:val="Tabformatting"/>
        <w:rPr>
          <w:rFonts w:cs="Arial"/>
        </w:rPr>
      </w:pPr>
      <w:r w:rsidRPr="00655618">
        <w:rPr>
          <w:rFonts w:cs="Arial"/>
          <w:b/>
        </w:rPr>
        <w:t>Date of Decision</w:t>
      </w:r>
      <w:r w:rsidRPr="00655618">
        <w:rPr>
          <w:rFonts w:cs="Arial"/>
        </w:rPr>
        <w:t>:</w:t>
      </w:r>
      <w:r w:rsidRPr="00655618">
        <w:rPr>
          <w:rFonts w:cs="Arial"/>
        </w:rPr>
        <w:tab/>
      </w:r>
      <w:r w:rsidR="00BE1876">
        <w:rPr>
          <w:rFonts w:cs="Arial"/>
        </w:rPr>
        <w:t xml:space="preserve">24 </w:t>
      </w:r>
      <w:r w:rsidR="006627E4" w:rsidRPr="00BE1876">
        <w:rPr>
          <w:rFonts w:cs="Arial"/>
        </w:rPr>
        <w:t>November 2015</w:t>
      </w:r>
    </w:p>
    <w:p w:rsidR="001620E9" w:rsidRPr="00655618" w:rsidRDefault="001620E9" w:rsidP="001620E9">
      <w:pPr>
        <w:pStyle w:val="BottomLine"/>
        <w:rPr>
          <w:rFonts w:cs="Arial"/>
        </w:rPr>
      </w:pPr>
    </w:p>
    <w:p w:rsidR="006C3BE8" w:rsidRPr="00655618" w:rsidRDefault="006C3BE8" w:rsidP="00BE1876">
      <w:pPr>
        <w:pStyle w:val="Heading2"/>
        <w:spacing w:before="0"/>
        <w:rPr>
          <w:rFonts w:cs="Arial"/>
        </w:rPr>
      </w:pPr>
      <w:r w:rsidRPr="00655618">
        <w:rPr>
          <w:rFonts w:cs="Arial"/>
        </w:rPr>
        <w:t>Background</w:t>
      </w:r>
    </w:p>
    <w:p w:rsidR="006C3BE8" w:rsidRPr="00655618" w:rsidRDefault="006C3BE8" w:rsidP="00551CCE">
      <w:pPr>
        <w:pStyle w:val="ListParagraph"/>
        <w:numPr>
          <w:ilvl w:val="0"/>
          <w:numId w:val="26"/>
        </w:numPr>
        <w:spacing w:after="240"/>
        <w:ind w:left="567" w:hanging="567"/>
        <w:jc w:val="both"/>
        <w:rPr>
          <w:rFonts w:cs="Arial"/>
          <w:szCs w:val="24"/>
        </w:rPr>
      </w:pPr>
      <w:r w:rsidRPr="00655618">
        <w:rPr>
          <w:rFonts w:cs="Arial"/>
          <w:szCs w:val="24"/>
        </w:rPr>
        <w:t>On 2</w:t>
      </w:r>
      <w:r>
        <w:rPr>
          <w:rFonts w:cs="Arial"/>
          <w:szCs w:val="24"/>
        </w:rPr>
        <w:t>4</w:t>
      </w:r>
      <w:r w:rsidRPr="00655618">
        <w:rPr>
          <w:rFonts w:cs="Arial"/>
          <w:szCs w:val="24"/>
        </w:rPr>
        <w:t xml:space="preserve"> June 2015, Mr </w:t>
      </w:r>
      <w:r>
        <w:rPr>
          <w:rFonts w:cs="Arial"/>
          <w:szCs w:val="24"/>
        </w:rPr>
        <w:t xml:space="preserve">Ian Sloan </w:t>
      </w:r>
      <w:r w:rsidRPr="00655618">
        <w:rPr>
          <w:rFonts w:cs="Arial"/>
          <w:szCs w:val="24"/>
        </w:rPr>
        <w:t xml:space="preserve">on behalf of </w:t>
      </w:r>
      <w:r>
        <w:rPr>
          <w:rFonts w:cs="Arial"/>
          <w:szCs w:val="24"/>
        </w:rPr>
        <w:t xml:space="preserve">Sloaney </w:t>
      </w:r>
      <w:r w:rsidRPr="00655618">
        <w:rPr>
          <w:rFonts w:cs="Arial"/>
          <w:szCs w:val="24"/>
        </w:rPr>
        <w:t>Pty Ltd (“the Applicant”) applied for a</w:t>
      </w:r>
      <w:r>
        <w:rPr>
          <w:rFonts w:cs="Arial"/>
          <w:szCs w:val="24"/>
        </w:rPr>
        <w:t xml:space="preserve"> gaming machine licence </w:t>
      </w:r>
      <w:r w:rsidRPr="00655618">
        <w:rPr>
          <w:rFonts w:cs="Arial"/>
          <w:szCs w:val="24"/>
        </w:rPr>
        <w:t>at the B</w:t>
      </w:r>
      <w:r>
        <w:rPr>
          <w:rFonts w:cs="Arial"/>
          <w:szCs w:val="24"/>
        </w:rPr>
        <w:t>erry Springs Tavern</w:t>
      </w:r>
      <w:r w:rsidRPr="00655618">
        <w:rPr>
          <w:rFonts w:cs="Arial"/>
          <w:szCs w:val="24"/>
        </w:rPr>
        <w:t xml:space="preserve"> (“the </w:t>
      </w:r>
      <w:r>
        <w:rPr>
          <w:rFonts w:cs="Arial"/>
          <w:szCs w:val="24"/>
        </w:rPr>
        <w:t>Tavern</w:t>
      </w:r>
      <w:r w:rsidRPr="00655618">
        <w:rPr>
          <w:rFonts w:cs="Arial"/>
          <w:szCs w:val="24"/>
        </w:rPr>
        <w:t xml:space="preserve">”) pursuant to section </w:t>
      </w:r>
      <w:r>
        <w:rPr>
          <w:rFonts w:cs="Arial"/>
          <w:szCs w:val="24"/>
        </w:rPr>
        <w:t>24</w:t>
      </w:r>
      <w:r w:rsidRPr="00655618">
        <w:rPr>
          <w:rFonts w:cs="Arial"/>
          <w:szCs w:val="24"/>
        </w:rPr>
        <w:t xml:space="preserve"> of the </w:t>
      </w:r>
      <w:r w:rsidRPr="00655618">
        <w:rPr>
          <w:rFonts w:cs="Arial"/>
          <w:i/>
          <w:szCs w:val="24"/>
        </w:rPr>
        <w:t>Gaming Machine Act</w:t>
      </w:r>
      <w:r w:rsidRPr="00655618">
        <w:rPr>
          <w:rFonts w:cs="Arial"/>
          <w:szCs w:val="24"/>
        </w:rPr>
        <w:t xml:space="preserve"> (“the Act”).  </w:t>
      </w:r>
    </w:p>
    <w:p w:rsidR="006C3BE8" w:rsidRPr="006855D0" w:rsidRDefault="006C3BE8" w:rsidP="00551CCE">
      <w:pPr>
        <w:pStyle w:val="ListParagraph"/>
        <w:numPr>
          <w:ilvl w:val="0"/>
          <w:numId w:val="26"/>
        </w:numPr>
        <w:spacing w:after="240"/>
        <w:ind w:left="567" w:hanging="567"/>
        <w:jc w:val="both"/>
        <w:rPr>
          <w:rFonts w:cs="Arial"/>
          <w:szCs w:val="24"/>
        </w:rPr>
      </w:pPr>
      <w:r w:rsidRPr="006855D0">
        <w:rPr>
          <w:rFonts w:cs="Arial"/>
          <w:szCs w:val="24"/>
        </w:rPr>
        <w:t xml:space="preserve">Under section 24(1)(b) of the Act, a </w:t>
      </w:r>
      <w:r w:rsidR="00BE1876">
        <w:rPr>
          <w:rFonts w:cs="Arial"/>
          <w:szCs w:val="24"/>
        </w:rPr>
        <w:t xml:space="preserve">liquor </w:t>
      </w:r>
      <w:proofErr w:type="spellStart"/>
      <w:r w:rsidRPr="006855D0">
        <w:rPr>
          <w:rFonts w:cs="Arial"/>
          <w:szCs w:val="24"/>
        </w:rPr>
        <w:t>licensee</w:t>
      </w:r>
      <w:proofErr w:type="spellEnd"/>
      <w:r w:rsidRPr="006855D0">
        <w:rPr>
          <w:rFonts w:cs="Arial"/>
          <w:szCs w:val="24"/>
        </w:rPr>
        <w:t xml:space="preserve"> may apply for a gaming machine licence</w:t>
      </w:r>
      <w:proofErr w:type="gramStart"/>
      <w:r w:rsidRPr="006855D0">
        <w:rPr>
          <w:rFonts w:cs="Arial"/>
          <w:szCs w:val="24"/>
        </w:rPr>
        <w:t xml:space="preserve">.  </w:t>
      </w:r>
      <w:proofErr w:type="gramEnd"/>
      <w:r w:rsidRPr="006855D0">
        <w:rPr>
          <w:rFonts w:cs="Arial"/>
          <w:szCs w:val="24"/>
        </w:rPr>
        <w:t>The Director-General of Licensing (“Director-General”) may grant or refuse such an application and in determining the application shall have regard to Part 3, Division 2 of the Act.</w:t>
      </w:r>
    </w:p>
    <w:p w:rsidR="006C3BE8" w:rsidRPr="00B3067F" w:rsidRDefault="006C3BE8" w:rsidP="00551CCE">
      <w:pPr>
        <w:pStyle w:val="ListParagraph"/>
        <w:numPr>
          <w:ilvl w:val="0"/>
          <w:numId w:val="26"/>
        </w:numPr>
        <w:spacing w:after="240"/>
        <w:ind w:left="567" w:hanging="567"/>
        <w:jc w:val="both"/>
        <w:rPr>
          <w:rFonts w:cs="Arial"/>
          <w:szCs w:val="24"/>
        </w:rPr>
      </w:pPr>
      <w:r w:rsidRPr="00B3067F">
        <w:rPr>
          <w:rFonts w:cs="Arial"/>
          <w:szCs w:val="24"/>
        </w:rPr>
        <w:t xml:space="preserve">The Applicant is seeking </w:t>
      </w:r>
      <w:r>
        <w:rPr>
          <w:rFonts w:cs="Arial"/>
          <w:szCs w:val="24"/>
        </w:rPr>
        <w:t>authorisation of ten gaming machines for use under the licence.</w:t>
      </w:r>
    </w:p>
    <w:p w:rsidR="006C3BE8" w:rsidRDefault="006C3BE8" w:rsidP="00551CCE">
      <w:pPr>
        <w:pStyle w:val="ListParagraph"/>
        <w:numPr>
          <w:ilvl w:val="0"/>
          <w:numId w:val="26"/>
        </w:numPr>
        <w:spacing w:after="240"/>
        <w:ind w:left="567" w:hanging="567"/>
        <w:jc w:val="both"/>
        <w:rPr>
          <w:rFonts w:cs="Arial"/>
          <w:szCs w:val="24"/>
        </w:rPr>
      </w:pPr>
      <w:r w:rsidRPr="00B3067F">
        <w:rPr>
          <w:rFonts w:cs="Arial"/>
          <w:szCs w:val="24"/>
        </w:rPr>
        <w:t>The application was accompanied by the prescribed application fee</w:t>
      </w:r>
      <w:r>
        <w:rPr>
          <w:rFonts w:cs="Arial"/>
          <w:szCs w:val="24"/>
        </w:rPr>
        <w:t>.  Pursuant to section 24</w:t>
      </w:r>
      <w:r w:rsidR="00BE1876">
        <w:rPr>
          <w:rFonts w:cs="Arial"/>
          <w:szCs w:val="24"/>
        </w:rPr>
        <w:t>(3</w:t>
      </w:r>
      <w:proofErr w:type="gramStart"/>
      <w:r w:rsidR="00BE1876">
        <w:rPr>
          <w:rFonts w:cs="Arial"/>
          <w:szCs w:val="24"/>
        </w:rPr>
        <w:t>)</w:t>
      </w:r>
      <w:r>
        <w:rPr>
          <w:rFonts w:cs="Arial"/>
          <w:szCs w:val="24"/>
        </w:rPr>
        <w:t>(</w:t>
      </w:r>
      <w:proofErr w:type="gramEnd"/>
      <w:r>
        <w:rPr>
          <w:rFonts w:cs="Arial"/>
          <w:szCs w:val="24"/>
        </w:rPr>
        <w:t xml:space="preserve">q)(ii) of the Act, </w:t>
      </w:r>
      <w:r w:rsidRPr="00B3067F">
        <w:rPr>
          <w:rFonts w:cs="Arial"/>
          <w:szCs w:val="24"/>
        </w:rPr>
        <w:t xml:space="preserve">the </w:t>
      </w:r>
      <w:r>
        <w:rPr>
          <w:rFonts w:cs="Arial"/>
          <w:szCs w:val="24"/>
        </w:rPr>
        <w:t xml:space="preserve">application must also be accompanied by the prescribed levy for each gaming machine that the applicant seeks to have authorised for use under the licence. However, pursuant to regulation 31B(2) of the Regulations, the </w:t>
      </w:r>
      <w:r w:rsidRPr="00B3067F">
        <w:rPr>
          <w:rFonts w:cs="Arial"/>
          <w:szCs w:val="24"/>
        </w:rPr>
        <w:t>levy</w:t>
      </w:r>
      <w:r>
        <w:rPr>
          <w:rFonts w:cs="Arial"/>
          <w:szCs w:val="24"/>
        </w:rPr>
        <w:t xml:space="preserve"> is nil if the total number of gaming machines that would be authorised for use under the applicant’s</w:t>
      </w:r>
      <w:r w:rsidRPr="00B3067F">
        <w:rPr>
          <w:rFonts w:cs="Arial"/>
          <w:szCs w:val="24"/>
        </w:rPr>
        <w:t xml:space="preserve"> </w:t>
      </w:r>
      <w:r>
        <w:rPr>
          <w:rFonts w:cs="Arial"/>
          <w:szCs w:val="24"/>
        </w:rPr>
        <w:t>licence if the application were granted would not exceed the pre-July 2015 maximum number, which for a tavern licenced premise was ten.</w:t>
      </w:r>
    </w:p>
    <w:p w:rsidR="006C3BE8" w:rsidRPr="00B3067F" w:rsidRDefault="006C3BE8" w:rsidP="00551CCE">
      <w:pPr>
        <w:pStyle w:val="ListParagraph"/>
        <w:numPr>
          <w:ilvl w:val="0"/>
          <w:numId w:val="26"/>
        </w:numPr>
        <w:spacing w:after="240"/>
        <w:ind w:left="567" w:hanging="567"/>
        <w:jc w:val="both"/>
        <w:rPr>
          <w:rFonts w:cs="Arial"/>
          <w:szCs w:val="24"/>
        </w:rPr>
      </w:pPr>
      <w:r w:rsidRPr="00B3067F">
        <w:rPr>
          <w:rFonts w:cs="Arial"/>
          <w:szCs w:val="24"/>
        </w:rPr>
        <w:t>The application was also accompanied by the required Communit</w:t>
      </w:r>
      <w:r>
        <w:rPr>
          <w:rFonts w:cs="Arial"/>
          <w:szCs w:val="24"/>
        </w:rPr>
        <w:t>y Impact Analysis (“CIA”)</w:t>
      </w:r>
      <w:r w:rsidRPr="00B3067F">
        <w:rPr>
          <w:rFonts w:cs="Arial"/>
          <w:szCs w:val="24"/>
        </w:rPr>
        <w:t xml:space="preserve">.  </w:t>
      </w:r>
    </w:p>
    <w:p w:rsidR="00D55BBF" w:rsidRPr="00B3067F" w:rsidRDefault="00F6779E" w:rsidP="00D55BBF">
      <w:pPr>
        <w:pStyle w:val="Heading2"/>
        <w:rPr>
          <w:rFonts w:cs="Arial"/>
        </w:rPr>
      </w:pPr>
      <w:r>
        <w:rPr>
          <w:rFonts w:cs="Arial"/>
        </w:rPr>
        <w:t>Consideration</w:t>
      </w:r>
      <w:r w:rsidRPr="00B3067F">
        <w:rPr>
          <w:rFonts w:cs="Arial"/>
        </w:rPr>
        <w:t xml:space="preserve"> </w:t>
      </w:r>
      <w:r w:rsidR="00E07444" w:rsidRPr="00B3067F">
        <w:rPr>
          <w:rFonts w:cs="Arial"/>
        </w:rPr>
        <w:t>and Reasons</w:t>
      </w:r>
    </w:p>
    <w:p w:rsidR="00E07444" w:rsidRPr="00B3067F" w:rsidRDefault="00E07444" w:rsidP="00BE1876">
      <w:pPr>
        <w:pStyle w:val="ListParagraph"/>
        <w:keepNext/>
        <w:numPr>
          <w:ilvl w:val="0"/>
          <w:numId w:val="26"/>
        </w:numPr>
        <w:spacing w:after="120"/>
        <w:ind w:left="567" w:hanging="567"/>
        <w:jc w:val="both"/>
        <w:rPr>
          <w:rFonts w:cs="Arial"/>
          <w:szCs w:val="22"/>
        </w:rPr>
      </w:pPr>
      <w:r w:rsidRPr="00B3067F">
        <w:rPr>
          <w:rFonts w:cs="Arial"/>
          <w:szCs w:val="24"/>
        </w:rPr>
        <w:t>When determining this application, the Director</w:t>
      </w:r>
      <w:bookmarkStart w:id="0" w:name="_GoBack"/>
      <w:bookmarkEnd w:id="0"/>
      <w:r w:rsidRPr="00B3067F">
        <w:rPr>
          <w:rFonts w:cs="Arial"/>
          <w:szCs w:val="24"/>
        </w:rPr>
        <w:t>-General must have regard to relevant provisions of the Act and Regulations, including but not limited to the statutory objects of the Act which are:</w:t>
      </w:r>
    </w:p>
    <w:p w:rsidR="00E07444" w:rsidRPr="00587446" w:rsidRDefault="00E07444" w:rsidP="00BE1876">
      <w:pPr>
        <w:pStyle w:val="Paragraph"/>
        <w:keepNext/>
        <w:spacing w:after="120"/>
        <w:ind w:left="1134"/>
        <w:rPr>
          <w:rFonts w:ascii="Arial" w:hAnsi="Arial" w:cs="Arial"/>
          <w:i/>
          <w:sz w:val="22"/>
        </w:rPr>
      </w:pPr>
      <w:r w:rsidRPr="00587446">
        <w:rPr>
          <w:rFonts w:ascii="Arial" w:hAnsi="Arial" w:cs="Arial"/>
          <w:i/>
          <w:sz w:val="22"/>
        </w:rPr>
        <w:t>(a)</w:t>
      </w:r>
      <w:r w:rsidRPr="00587446">
        <w:rPr>
          <w:rFonts w:ascii="Arial" w:hAnsi="Arial" w:cs="Arial"/>
          <w:i/>
          <w:sz w:val="22"/>
        </w:rPr>
        <w:tab/>
        <w:t>to promote probity and integrity in gaming;</w:t>
      </w:r>
    </w:p>
    <w:p w:rsidR="00E07444" w:rsidRPr="00587446" w:rsidRDefault="00E07444" w:rsidP="00135043">
      <w:pPr>
        <w:pStyle w:val="Paragraph"/>
        <w:spacing w:after="120"/>
        <w:ind w:left="1134"/>
        <w:rPr>
          <w:rFonts w:ascii="Arial" w:hAnsi="Arial" w:cs="Arial"/>
          <w:i/>
          <w:sz w:val="22"/>
        </w:rPr>
      </w:pPr>
      <w:r w:rsidRPr="00587446">
        <w:rPr>
          <w:rFonts w:ascii="Arial" w:hAnsi="Arial" w:cs="Arial"/>
          <w:i/>
          <w:sz w:val="22"/>
        </w:rPr>
        <w:t>(b)</w:t>
      </w:r>
      <w:r w:rsidRPr="00587446">
        <w:rPr>
          <w:rFonts w:ascii="Arial" w:hAnsi="Arial" w:cs="Arial"/>
          <w:i/>
          <w:sz w:val="22"/>
        </w:rPr>
        <w:tab/>
        <w:t>to maintain the probity and integrity of persons engaged in gaming in the Territory;</w:t>
      </w:r>
    </w:p>
    <w:p w:rsidR="00E07444" w:rsidRPr="00587446" w:rsidRDefault="00E07444" w:rsidP="00BE1876">
      <w:pPr>
        <w:pStyle w:val="Paragraph"/>
        <w:spacing w:after="120"/>
        <w:ind w:left="1134"/>
        <w:rPr>
          <w:rFonts w:ascii="Arial" w:hAnsi="Arial" w:cs="Arial"/>
          <w:i/>
          <w:sz w:val="22"/>
        </w:rPr>
      </w:pPr>
      <w:r w:rsidRPr="00587446">
        <w:rPr>
          <w:rFonts w:ascii="Arial" w:hAnsi="Arial" w:cs="Arial"/>
          <w:i/>
          <w:sz w:val="22"/>
        </w:rPr>
        <w:lastRenderedPageBreak/>
        <w:t>(c)</w:t>
      </w:r>
      <w:r w:rsidRPr="00587446">
        <w:rPr>
          <w:rFonts w:ascii="Arial" w:hAnsi="Arial" w:cs="Arial"/>
          <w:i/>
          <w:sz w:val="22"/>
        </w:rPr>
        <w:tab/>
        <w:t>to promote fairness, integrity and efficiency in the operations of persons engaged in gaming in the Territory;</w:t>
      </w:r>
    </w:p>
    <w:p w:rsidR="00E07444" w:rsidRPr="00587446" w:rsidRDefault="00E07444" w:rsidP="00BE1876">
      <w:pPr>
        <w:pStyle w:val="Paragraph"/>
        <w:spacing w:after="120"/>
        <w:ind w:left="1134"/>
        <w:rPr>
          <w:rFonts w:ascii="Arial" w:hAnsi="Arial" w:cs="Arial"/>
          <w:i/>
          <w:sz w:val="22"/>
        </w:rPr>
      </w:pPr>
      <w:r w:rsidRPr="00587446">
        <w:rPr>
          <w:rFonts w:ascii="Arial" w:hAnsi="Arial" w:cs="Arial"/>
          <w:i/>
          <w:sz w:val="22"/>
        </w:rPr>
        <w:t>(d)</w:t>
      </w:r>
      <w:r w:rsidRPr="00587446">
        <w:rPr>
          <w:rFonts w:ascii="Arial" w:hAnsi="Arial" w:cs="Arial"/>
          <w:i/>
          <w:sz w:val="22"/>
        </w:rPr>
        <w:tab/>
        <w:t>to reduce any adverse social impact of gaming; and</w:t>
      </w:r>
    </w:p>
    <w:p w:rsidR="00E07444" w:rsidRPr="00587446" w:rsidRDefault="00E07444" w:rsidP="00BE1876">
      <w:pPr>
        <w:pStyle w:val="Paragraph"/>
        <w:ind w:left="1134"/>
        <w:rPr>
          <w:rFonts w:ascii="Arial" w:hAnsi="Arial" w:cs="Arial"/>
          <w:i/>
          <w:sz w:val="22"/>
        </w:rPr>
      </w:pPr>
      <w:r w:rsidRPr="00587446">
        <w:rPr>
          <w:rFonts w:ascii="Arial" w:hAnsi="Arial" w:cs="Arial"/>
          <w:i/>
          <w:sz w:val="22"/>
        </w:rPr>
        <w:t>(e)</w:t>
      </w:r>
      <w:r w:rsidRPr="00587446">
        <w:rPr>
          <w:rFonts w:ascii="Arial" w:hAnsi="Arial" w:cs="Arial"/>
          <w:i/>
          <w:sz w:val="22"/>
        </w:rPr>
        <w:tab/>
        <w:t>to promote a balanced contribution by the gaming industry to general community benefit and amenity.</w:t>
      </w:r>
    </w:p>
    <w:p w:rsidR="00D55BBF" w:rsidRPr="00B3067F" w:rsidRDefault="00111746" w:rsidP="006C3BE8">
      <w:pPr>
        <w:pStyle w:val="ListParagraph"/>
        <w:numPr>
          <w:ilvl w:val="0"/>
          <w:numId w:val="26"/>
        </w:numPr>
        <w:spacing w:after="120"/>
        <w:ind w:left="567" w:hanging="567"/>
        <w:jc w:val="both"/>
        <w:rPr>
          <w:rFonts w:cs="Arial"/>
          <w:szCs w:val="22"/>
        </w:rPr>
      </w:pPr>
      <w:r>
        <w:rPr>
          <w:rFonts w:cs="Arial"/>
          <w:szCs w:val="22"/>
        </w:rPr>
        <w:t>Additionally, section 25(3)</w:t>
      </w:r>
      <w:r w:rsidR="0086745F" w:rsidRPr="00655618">
        <w:rPr>
          <w:rFonts w:cs="Arial"/>
          <w:szCs w:val="22"/>
        </w:rPr>
        <w:t xml:space="preserve"> of the Act</w:t>
      </w:r>
      <w:r>
        <w:rPr>
          <w:rFonts w:cs="Arial"/>
          <w:szCs w:val="22"/>
        </w:rPr>
        <w:t xml:space="preserve"> prescribes </w:t>
      </w:r>
      <w:r w:rsidR="00F31EE1" w:rsidRPr="00655618">
        <w:rPr>
          <w:rFonts w:cs="Arial"/>
          <w:szCs w:val="22"/>
        </w:rPr>
        <w:t xml:space="preserve">the </w:t>
      </w:r>
      <w:r>
        <w:rPr>
          <w:rFonts w:cs="Arial"/>
          <w:szCs w:val="22"/>
        </w:rPr>
        <w:t xml:space="preserve">matters that the </w:t>
      </w:r>
      <w:r w:rsidR="00F31EE1" w:rsidRPr="00655618">
        <w:rPr>
          <w:rFonts w:cs="Arial"/>
          <w:szCs w:val="22"/>
        </w:rPr>
        <w:t xml:space="preserve">Director-General </w:t>
      </w:r>
      <w:r>
        <w:rPr>
          <w:rFonts w:cs="Arial"/>
          <w:szCs w:val="22"/>
        </w:rPr>
        <w:t xml:space="preserve">must consider </w:t>
      </w:r>
      <w:r w:rsidR="0086745F" w:rsidRPr="00655618">
        <w:rPr>
          <w:rFonts w:cs="Arial"/>
          <w:szCs w:val="22"/>
        </w:rPr>
        <w:t xml:space="preserve">when determining an application </w:t>
      </w:r>
      <w:r>
        <w:rPr>
          <w:rFonts w:cs="Arial"/>
          <w:szCs w:val="22"/>
        </w:rPr>
        <w:t>for a gaming machine licence.  Relevant to t</w:t>
      </w:r>
      <w:r w:rsidR="0063627B">
        <w:rPr>
          <w:rFonts w:cs="Arial"/>
          <w:szCs w:val="22"/>
        </w:rPr>
        <w:t>h</w:t>
      </w:r>
      <w:r>
        <w:rPr>
          <w:rFonts w:cs="Arial"/>
          <w:szCs w:val="22"/>
        </w:rPr>
        <w:t>is application those matters are</w:t>
      </w:r>
      <w:r w:rsidR="00D55BBF" w:rsidRPr="00B3067F">
        <w:rPr>
          <w:rFonts w:cs="Arial"/>
          <w:szCs w:val="24"/>
        </w:rPr>
        <w:t>:</w:t>
      </w:r>
    </w:p>
    <w:p w:rsidR="00111746" w:rsidRPr="00BE1876" w:rsidRDefault="00111746" w:rsidP="00802BF2">
      <w:pPr>
        <w:pStyle w:val="Paragraph"/>
        <w:spacing w:after="120"/>
        <w:ind w:left="1134"/>
        <w:rPr>
          <w:rFonts w:ascii="Arial" w:hAnsi="Arial" w:cs="Arial"/>
          <w:i/>
          <w:sz w:val="22"/>
          <w:szCs w:val="22"/>
        </w:rPr>
      </w:pPr>
      <w:r w:rsidRPr="00BE1876">
        <w:rPr>
          <w:rFonts w:ascii="Arial" w:hAnsi="Arial" w:cs="Arial"/>
          <w:i/>
          <w:sz w:val="22"/>
          <w:szCs w:val="22"/>
        </w:rPr>
        <w:t>(a)</w:t>
      </w:r>
      <w:r w:rsidRPr="00BE1876">
        <w:rPr>
          <w:rFonts w:ascii="Arial" w:hAnsi="Arial" w:cs="Arial"/>
          <w:i/>
          <w:sz w:val="22"/>
          <w:szCs w:val="22"/>
        </w:rPr>
        <w:tab/>
      </w:r>
      <w:proofErr w:type="gramStart"/>
      <w:r w:rsidRPr="00BE1876">
        <w:rPr>
          <w:rFonts w:ascii="Arial" w:hAnsi="Arial" w:cs="Arial"/>
          <w:i/>
          <w:sz w:val="22"/>
          <w:szCs w:val="22"/>
        </w:rPr>
        <w:t>the</w:t>
      </w:r>
      <w:proofErr w:type="gramEnd"/>
      <w:r w:rsidRPr="00BE1876">
        <w:rPr>
          <w:rFonts w:ascii="Arial" w:hAnsi="Arial" w:cs="Arial"/>
          <w:i/>
          <w:sz w:val="22"/>
          <w:szCs w:val="22"/>
        </w:rPr>
        <w:t xml:space="preserve"> suitability of the premises to which the application relates having regard to the size, layout and facilities of the premises; </w:t>
      </w:r>
    </w:p>
    <w:p w:rsidR="00111746" w:rsidRPr="00BE1876" w:rsidRDefault="00111746" w:rsidP="00802BF2">
      <w:pPr>
        <w:pStyle w:val="Paragraph"/>
        <w:keepLines/>
        <w:spacing w:after="120"/>
        <w:ind w:left="1134"/>
        <w:rPr>
          <w:rFonts w:ascii="Arial" w:hAnsi="Arial" w:cs="Arial"/>
          <w:i/>
          <w:sz w:val="22"/>
          <w:szCs w:val="22"/>
        </w:rPr>
      </w:pPr>
      <w:r w:rsidRPr="00BE1876">
        <w:rPr>
          <w:rFonts w:ascii="Arial" w:hAnsi="Arial" w:cs="Arial"/>
          <w:i/>
          <w:sz w:val="22"/>
          <w:szCs w:val="22"/>
        </w:rPr>
        <w:t>(b)</w:t>
      </w:r>
      <w:r w:rsidRPr="00BE1876">
        <w:rPr>
          <w:rFonts w:ascii="Arial" w:hAnsi="Arial" w:cs="Arial"/>
          <w:i/>
          <w:sz w:val="22"/>
          <w:szCs w:val="22"/>
        </w:rPr>
        <w:tab/>
      </w:r>
      <w:proofErr w:type="gramStart"/>
      <w:r w:rsidRPr="00BE1876">
        <w:rPr>
          <w:rFonts w:ascii="Arial" w:hAnsi="Arial" w:cs="Arial"/>
          <w:i/>
          <w:sz w:val="22"/>
          <w:szCs w:val="22"/>
        </w:rPr>
        <w:t>the</w:t>
      </w:r>
      <w:proofErr w:type="gramEnd"/>
      <w:r w:rsidRPr="00BE1876">
        <w:rPr>
          <w:rFonts w:ascii="Arial" w:hAnsi="Arial" w:cs="Arial"/>
          <w:i/>
          <w:sz w:val="22"/>
          <w:szCs w:val="22"/>
        </w:rPr>
        <w:t xml:space="preserve"> suitability of the premises to which the application relates having regard to the primary activity conducted at the premises;</w:t>
      </w:r>
    </w:p>
    <w:p w:rsidR="00111746" w:rsidRPr="00BE1876" w:rsidRDefault="00111746" w:rsidP="00802BF2">
      <w:pPr>
        <w:pStyle w:val="Paragraph"/>
        <w:spacing w:after="120"/>
        <w:ind w:left="1134"/>
        <w:rPr>
          <w:rFonts w:ascii="Arial" w:hAnsi="Arial" w:cs="Arial"/>
          <w:i/>
          <w:sz w:val="22"/>
          <w:szCs w:val="22"/>
        </w:rPr>
      </w:pPr>
      <w:r w:rsidRPr="00BE1876">
        <w:rPr>
          <w:rFonts w:ascii="Arial" w:hAnsi="Arial" w:cs="Arial"/>
          <w:i/>
          <w:sz w:val="22"/>
          <w:szCs w:val="22"/>
        </w:rPr>
        <w:t>(c)</w:t>
      </w:r>
      <w:r w:rsidRPr="00BE1876">
        <w:rPr>
          <w:rFonts w:ascii="Arial" w:hAnsi="Arial" w:cs="Arial"/>
          <w:i/>
          <w:sz w:val="22"/>
          <w:szCs w:val="22"/>
        </w:rPr>
        <w:tab/>
        <w:t>the suitability of the location to which the application relates having regard to the population of the local area, the proximity of the premises to other gaming venues and the proximity of the premises to sensitive areas such as schools, shopping centres, other community congregation facilities, welfare agencies, banks and pawn brokers;</w:t>
      </w:r>
    </w:p>
    <w:p w:rsidR="00111746" w:rsidRPr="00BE1876" w:rsidRDefault="00111746" w:rsidP="00802BF2">
      <w:pPr>
        <w:pStyle w:val="Paragraph"/>
        <w:spacing w:after="120"/>
        <w:ind w:left="1134"/>
        <w:rPr>
          <w:rFonts w:ascii="Arial" w:hAnsi="Arial" w:cs="Arial"/>
          <w:i/>
          <w:sz w:val="22"/>
          <w:szCs w:val="22"/>
        </w:rPr>
      </w:pPr>
      <w:r w:rsidRPr="00BE1876">
        <w:rPr>
          <w:rFonts w:ascii="Arial" w:hAnsi="Arial" w:cs="Arial"/>
          <w:i/>
          <w:sz w:val="22"/>
          <w:szCs w:val="22"/>
        </w:rPr>
        <w:t>(d)</w:t>
      </w:r>
      <w:r w:rsidRPr="00BE1876">
        <w:rPr>
          <w:rFonts w:ascii="Arial" w:hAnsi="Arial" w:cs="Arial"/>
          <w:i/>
          <w:sz w:val="22"/>
          <w:szCs w:val="22"/>
        </w:rPr>
        <w:tab/>
      </w:r>
      <w:proofErr w:type="gramStart"/>
      <w:r w:rsidRPr="00BE1876">
        <w:rPr>
          <w:rFonts w:ascii="Arial" w:hAnsi="Arial" w:cs="Arial"/>
          <w:i/>
          <w:sz w:val="22"/>
          <w:szCs w:val="22"/>
        </w:rPr>
        <w:t>the</w:t>
      </w:r>
      <w:proofErr w:type="gramEnd"/>
      <w:r w:rsidRPr="00BE1876">
        <w:rPr>
          <w:rFonts w:ascii="Arial" w:hAnsi="Arial" w:cs="Arial"/>
          <w:i/>
          <w:sz w:val="22"/>
          <w:szCs w:val="22"/>
        </w:rPr>
        <w:t xml:space="preserve"> appropriateness of problem gambling risk management and responsible gambling strategies;</w:t>
      </w:r>
    </w:p>
    <w:p w:rsidR="00111746" w:rsidRPr="00BE1876" w:rsidRDefault="00111746" w:rsidP="00802BF2">
      <w:pPr>
        <w:pStyle w:val="Paragraph"/>
        <w:spacing w:after="120"/>
        <w:ind w:left="1134"/>
        <w:rPr>
          <w:rFonts w:ascii="Arial" w:hAnsi="Arial" w:cs="Arial"/>
          <w:i/>
          <w:sz w:val="22"/>
          <w:szCs w:val="22"/>
        </w:rPr>
      </w:pPr>
      <w:r w:rsidRPr="00BE1876">
        <w:rPr>
          <w:rFonts w:ascii="Arial" w:hAnsi="Arial" w:cs="Arial"/>
          <w:i/>
          <w:sz w:val="22"/>
          <w:szCs w:val="22"/>
        </w:rPr>
        <w:t>(e)</w:t>
      </w:r>
      <w:r w:rsidRPr="00BE1876">
        <w:rPr>
          <w:rFonts w:ascii="Arial" w:hAnsi="Arial" w:cs="Arial"/>
          <w:i/>
          <w:sz w:val="22"/>
          <w:szCs w:val="22"/>
        </w:rPr>
        <w:tab/>
      </w:r>
      <w:proofErr w:type="gramStart"/>
      <w:r w:rsidRPr="00BE1876">
        <w:rPr>
          <w:rFonts w:ascii="Arial" w:hAnsi="Arial" w:cs="Arial"/>
          <w:i/>
          <w:sz w:val="22"/>
          <w:szCs w:val="22"/>
        </w:rPr>
        <w:t>economic</w:t>
      </w:r>
      <w:proofErr w:type="gramEnd"/>
      <w:r w:rsidRPr="00BE1876">
        <w:rPr>
          <w:rFonts w:ascii="Arial" w:hAnsi="Arial" w:cs="Arial"/>
          <w:i/>
          <w:sz w:val="22"/>
          <w:szCs w:val="22"/>
        </w:rPr>
        <w:t xml:space="preserve"> impact of the proposal including contribution to the community, employment creation and significance or reliance of the venue to or on tourism;</w:t>
      </w:r>
    </w:p>
    <w:p w:rsidR="00111746" w:rsidRPr="00BE1876" w:rsidRDefault="00111746" w:rsidP="00802BF2">
      <w:pPr>
        <w:pStyle w:val="Paragraph"/>
        <w:spacing w:after="120"/>
        <w:ind w:left="1134"/>
        <w:rPr>
          <w:rFonts w:ascii="Arial" w:hAnsi="Arial" w:cs="Arial"/>
          <w:i/>
          <w:sz w:val="22"/>
          <w:szCs w:val="22"/>
        </w:rPr>
      </w:pPr>
      <w:r w:rsidRPr="00BE1876">
        <w:rPr>
          <w:rFonts w:ascii="Arial" w:hAnsi="Arial" w:cs="Arial"/>
          <w:i/>
          <w:sz w:val="22"/>
          <w:szCs w:val="22"/>
        </w:rPr>
        <w:t xml:space="preserve"> (g)</w:t>
      </w:r>
      <w:r w:rsidRPr="00BE1876">
        <w:rPr>
          <w:rFonts w:ascii="Arial" w:hAnsi="Arial" w:cs="Arial"/>
          <w:i/>
          <w:sz w:val="22"/>
          <w:szCs w:val="22"/>
        </w:rPr>
        <w:tab/>
        <w:t>if the applicant is a body corporate – the business reputation and financial stability of the body corporate and the general reputation and character of the secretary and executive officers of the body corporate;</w:t>
      </w:r>
    </w:p>
    <w:p w:rsidR="00111746" w:rsidRPr="00BE1876" w:rsidRDefault="00111746" w:rsidP="00802BF2">
      <w:pPr>
        <w:pStyle w:val="Paragraph"/>
        <w:spacing w:after="120"/>
        <w:ind w:left="1134"/>
        <w:rPr>
          <w:rFonts w:ascii="Arial" w:hAnsi="Arial" w:cs="Arial"/>
          <w:i/>
          <w:sz w:val="22"/>
          <w:szCs w:val="22"/>
        </w:rPr>
      </w:pPr>
      <w:r w:rsidRPr="00BE1876">
        <w:rPr>
          <w:rFonts w:ascii="Arial" w:hAnsi="Arial" w:cs="Arial"/>
          <w:i/>
          <w:sz w:val="22"/>
          <w:szCs w:val="22"/>
        </w:rPr>
        <w:t>(i)</w:t>
      </w:r>
      <w:r w:rsidRPr="00BE1876">
        <w:rPr>
          <w:rFonts w:ascii="Arial" w:hAnsi="Arial" w:cs="Arial"/>
          <w:i/>
          <w:sz w:val="22"/>
          <w:szCs w:val="22"/>
        </w:rPr>
        <w:tab/>
      </w:r>
      <w:proofErr w:type="gramStart"/>
      <w:r w:rsidRPr="00BE1876">
        <w:rPr>
          <w:rFonts w:ascii="Arial" w:hAnsi="Arial" w:cs="Arial"/>
          <w:i/>
          <w:sz w:val="22"/>
          <w:szCs w:val="22"/>
        </w:rPr>
        <w:t>whether</w:t>
      </w:r>
      <w:proofErr w:type="gramEnd"/>
      <w:r w:rsidRPr="00BE1876">
        <w:rPr>
          <w:rFonts w:ascii="Arial" w:hAnsi="Arial" w:cs="Arial"/>
          <w:i/>
          <w:sz w:val="22"/>
          <w:szCs w:val="22"/>
        </w:rPr>
        <w:t xml:space="preserve"> the applicant is a fit and proper person to hold a licence;</w:t>
      </w:r>
    </w:p>
    <w:p w:rsidR="00111746" w:rsidRPr="00BE1876" w:rsidRDefault="00111746" w:rsidP="00802BF2">
      <w:pPr>
        <w:pStyle w:val="Paragraph"/>
        <w:spacing w:after="120"/>
        <w:ind w:left="1134"/>
        <w:rPr>
          <w:rFonts w:ascii="Arial" w:hAnsi="Arial" w:cs="Arial"/>
          <w:i/>
          <w:sz w:val="22"/>
          <w:szCs w:val="22"/>
        </w:rPr>
      </w:pPr>
      <w:r w:rsidRPr="00BE1876">
        <w:rPr>
          <w:rFonts w:ascii="Arial" w:hAnsi="Arial" w:cs="Arial"/>
          <w:i/>
          <w:sz w:val="22"/>
          <w:szCs w:val="22"/>
        </w:rPr>
        <w:t>(j)</w:t>
      </w:r>
      <w:r w:rsidRPr="00BE1876">
        <w:rPr>
          <w:rFonts w:ascii="Arial" w:hAnsi="Arial" w:cs="Arial"/>
          <w:i/>
          <w:sz w:val="22"/>
          <w:szCs w:val="22"/>
        </w:rPr>
        <w:tab/>
      </w:r>
      <w:proofErr w:type="gramStart"/>
      <w:r w:rsidRPr="00BE1876">
        <w:rPr>
          <w:rFonts w:ascii="Arial" w:hAnsi="Arial" w:cs="Arial"/>
          <w:i/>
          <w:sz w:val="22"/>
          <w:szCs w:val="22"/>
        </w:rPr>
        <w:t>if</w:t>
      </w:r>
      <w:proofErr w:type="gramEnd"/>
      <w:r w:rsidRPr="00BE1876">
        <w:rPr>
          <w:rFonts w:ascii="Arial" w:hAnsi="Arial" w:cs="Arial"/>
          <w:i/>
          <w:sz w:val="22"/>
          <w:szCs w:val="22"/>
        </w:rPr>
        <w:t xml:space="preserve"> a person is referred to in the affidavit under section 44 – whether that person is a fit and proper person to be an associate of a licensee;</w:t>
      </w:r>
    </w:p>
    <w:p w:rsidR="00111746" w:rsidRPr="00BE1876" w:rsidRDefault="00111746" w:rsidP="00802BF2">
      <w:pPr>
        <w:pStyle w:val="Paragraph"/>
        <w:spacing w:after="120"/>
        <w:ind w:left="1134"/>
        <w:rPr>
          <w:rFonts w:ascii="Arial" w:hAnsi="Arial" w:cs="Arial"/>
          <w:i/>
          <w:sz w:val="22"/>
          <w:szCs w:val="22"/>
        </w:rPr>
      </w:pPr>
      <w:r w:rsidRPr="00BE1876">
        <w:rPr>
          <w:rFonts w:ascii="Arial" w:hAnsi="Arial" w:cs="Arial"/>
          <w:i/>
          <w:sz w:val="22"/>
          <w:szCs w:val="22"/>
        </w:rPr>
        <w:t>(k)</w:t>
      </w:r>
      <w:r w:rsidRPr="00BE1876">
        <w:rPr>
          <w:rFonts w:ascii="Arial" w:hAnsi="Arial" w:cs="Arial"/>
          <w:i/>
          <w:sz w:val="22"/>
          <w:szCs w:val="22"/>
        </w:rPr>
        <w:tab/>
      </w:r>
      <w:proofErr w:type="gramStart"/>
      <w:r w:rsidRPr="00BE1876">
        <w:rPr>
          <w:rFonts w:ascii="Arial" w:hAnsi="Arial" w:cs="Arial"/>
          <w:i/>
          <w:sz w:val="22"/>
          <w:szCs w:val="22"/>
        </w:rPr>
        <w:t>if</w:t>
      </w:r>
      <w:proofErr w:type="gramEnd"/>
      <w:r w:rsidRPr="00BE1876">
        <w:rPr>
          <w:rFonts w:ascii="Arial" w:hAnsi="Arial" w:cs="Arial"/>
          <w:i/>
          <w:sz w:val="22"/>
          <w:szCs w:val="22"/>
        </w:rPr>
        <w:t xml:space="preserve"> the Director-General considers it appropriate – whether any other associate of the applicant is a fit and proper person to be an associate of a licensee; and</w:t>
      </w:r>
    </w:p>
    <w:p w:rsidR="00111746" w:rsidRPr="00BE1876" w:rsidRDefault="00111746" w:rsidP="00432AA1">
      <w:pPr>
        <w:pStyle w:val="Paragraph"/>
        <w:ind w:left="1134"/>
        <w:rPr>
          <w:rFonts w:ascii="Arial" w:hAnsi="Arial" w:cs="Arial"/>
          <w:i/>
          <w:sz w:val="22"/>
          <w:szCs w:val="22"/>
        </w:rPr>
      </w:pPr>
      <w:r w:rsidRPr="00BE1876">
        <w:rPr>
          <w:rFonts w:ascii="Arial" w:hAnsi="Arial" w:cs="Arial"/>
          <w:i/>
          <w:sz w:val="22"/>
          <w:szCs w:val="22"/>
        </w:rPr>
        <w:t>(l)</w:t>
      </w:r>
      <w:r w:rsidRPr="00BE1876">
        <w:rPr>
          <w:rFonts w:ascii="Arial" w:hAnsi="Arial" w:cs="Arial"/>
          <w:i/>
          <w:sz w:val="22"/>
          <w:szCs w:val="22"/>
        </w:rPr>
        <w:tab/>
      </w:r>
      <w:proofErr w:type="gramStart"/>
      <w:r w:rsidRPr="00BE1876">
        <w:rPr>
          <w:rFonts w:ascii="Arial" w:hAnsi="Arial" w:cs="Arial"/>
          <w:i/>
          <w:sz w:val="22"/>
          <w:szCs w:val="22"/>
        </w:rPr>
        <w:t>any</w:t>
      </w:r>
      <w:proofErr w:type="gramEnd"/>
      <w:r w:rsidRPr="00BE1876">
        <w:rPr>
          <w:rFonts w:ascii="Arial" w:hAnsi="Arial" w:cs="Arial"/>
          <w:i/>
          <w:sz w:val="22"/>
          <w:szCs w:val="22"/>
        </w:rPr>
        <w:t xml:space="preserve"> other matter that the Director-General considers necessary.</w:t>
      </w:r>
    </w:p>
    <w:p w:rsidR="006A141D" w:rsidRPr="008D79F6" w:rsidRDefault="006A141D" w:rsidP="00551CCE">
      <w:pPr>
        <w:pStyle w:val="ListParagraph"/>
        <w:numPr>
          <w:ilvl w:val="0"/>
          <w:numId w:val="26"/>
        </w:numPr>
        <w:spacing w:after="120"/>
        <w:ind w:left="567" w:hanging="567"/>
        <w:jc w:val="both"/>
        <w:rPr>
          <w:rFonts w:cs="Arial"/>
          <w:szCs w:val="22"/>
        </w:rPr>
      </w:pPr>
      <w:r>
        <w:rPr>
          <w:rFonts w:cs="Arial"/>
          <w:szCs w:val="22"/>
        </w:rPr>
        <w:t>In respect of this application</w:t>
      </w:r>
      <w:r w:rsidR="00432AA1">
        <w:rPr>
          <w:rFonts w:cs="Arial"/>
          <w:szCs w:val="22"/>
        </w:rPr>
        <w:t>,</w:t>
      </w:r>
      <w:r>
        <w:rPr>
          <w:rFonts w:cs="Arial"/>
          <w:szCs w:val="22"/>
        </w:rPr>
        <w:t xml:space="preserve"> section 25(13) of the Act sets out the matters the Director-General must take into account in determining the number of gaming machines authorised for use under a licence as follows:</w:t>
      </w:r>
    </w:p>
    <w:p w:rsidR="006A141D" w:rsidRPr="00BE1876" w:rsidRDefault="006A141D" w:rsidP="00BE1876">
      <w:pPr>
        <w:pStyle w:val="Paragraph"/>
        <w:numPr>
          <w:ilvl w:val="0"/>
          <w:numId w:val="23"/>
        </w:numPr>
        <w:spacing w:after="120"/>
        <w:ind w:left="1134" w:hanging="567"/>
        <w:rPr>
          <w:rFonts w:ascii="Arial" w:hAnsi="Arial" w:cs="Arial"/>
          <w:i/>
          <w:sz w:val="22"/>
          <w:szCs w:val="22"/>
        </w:rPr>
      </w:pPr>
      <w:r w:rsidRPr="00BE1876">
        <w:rPr>
          <w:rFonts w:ascii="Arial" w:hAnsi="Arial" w:cs="Arial"/>
          <w:i/>
          <w:sz w:val="22"/>
          <w:szCs w:val="22"/>
        </w:rPr>
        <w:t>the number of gaming machines sought in the application made under section 24;</w:t>
      </w:r>
    </w:p>
    <w:p w:rsidR="006A141D" w:rsidRPr="00BE1876" w:rsidRDefault="006A141D" w:rsidP="00BE1876">
      <w:pPr>
        <w:pStyle w:val="Paragraph"/>
        <w:numPr>
          <w:ilvl w:val="0"/>
          <w:numId w:val="24"/>
        </w:numPr>
        <w:spacing w:after="120"/>
        <w:ind w:left="1134" w:hanging="567"/>
        <w:rPr>
          <w:rFonts w:ascii="Arial" w:hAnsi="Arial" w:cs="Arial"/>
          <w:sz w:val="22"/>
          <w:szCs w:val="22"/>
        </w:rPr>
      </w:pPr>
      <w:r w:rsidRPr="00BE1876">
        <w:rPr>
          <w:rFonts w:ascii="Arial" w:hAnsi="Arial" w:cs="Arial"/>
          <w:i/>
          <w:sz w:val="22"/>
          <w:szCs w:val="22"/>
        </w:rPr>
        <w:t>the hours and days when the premises are open for the sale of liquor;</w:t>
      </w:r>
    </w:p>
    <w:p w:rsidR="006A141D" w:rsidRPr="00BE1876" w:rsidRDefault="006A141D" w:rsidP="00BE1876">
      <w:pPr>
        <w:pStyle w:val="Paragraph"/>
        <w:spacing w:after="120"/>
        <w:ind w:left="1134"/>
        <w:rPr>
          <w:rFonts w:ascii="Arial" w:hAnsi="Arial" w:cs="Arial"/>
          <w:i/>
          <w:sz w:val="22"/>
          <w:szCs w:val="22"/>
        </w:rPr>
      </w:pPr>
      <w:r w:rsidRPr="00BE1876">
        <w:rPr>
          <w:rFonts w:ascii="Arial" w:hAnsi="Arial" w:cs="Arial"/>
          <w:i/>
          <w:sz w:val="22"/>
          <w:szCs w:val="22"/>
        </w:rPr>
        <w:t>(e)</w:t>
      </w:r>
      <w:r w:rsidRPr="00BE1876">
        <w:rPr>
          <w:rFonts w:ascii="Arial" w:hAnsi="Arial" w:cs="Arial"/>
          <w:i/>
          <w:sz w:val="22"/>
          <w:szCs w:val="22"/>
        </w:rPr>
        <w:tab/>
      </w:r>
      <w:proofErr w:type="gramStart"/>
      <w:r w:rsidRPr="00BE1876">
        <w:rPr>
          <w:rFonts w:ascii="Arial" w:hAnsi="Arial" w:cs="Arial"/>
          <w:i/>
          <w:sz w:val="22"/>
          <w:szCs w:val="22"/>
        </w:rPr>
        <w:t>the</w:t>
      </w:r>
      <w:proofErr w:type="gramEnd"/>
      <w:r w:rsidRPr="00BE1876">
        <w:rPr>
          <w:rFonts w:ascii="Arial" w:hAnsi="Arial" w:cs="Arial"/>
          <w:i/>
          <w:sz w:val="22"/>
          <w:szCs w:val="22"/>
        </w:rPr>
        <w:t xml:space="preserve"> size, layout and facilities of the premises to which the application relates;</w:t>
      </w:r>
    </w:p>
    <w:p w:rsidR="006A141D" w:rsidRPr="00BE1876" w:rsidRDefault="006A141D" w:rsidP="00BE1876">
      <w:pPr>
        <w:pStyle w:val="Paragraph"/>
        <w:spacing w:after="120"/>
        <w:ind w:left="1134"/>
        <w:rPr>
          <w:rFonts w:ascii="Arial" w:hAnsi="Arial" w:cs="Arial"/>
          <w:i/>
          <w:sz w:val="22"/>
          <w:szCs w:val="22"/>
        </w:rPr>
      </w:pPr>
      <w:r w:rsidRPr="00BE1876">
        <w:rPr>
          <w:rFonts w:ascii="Arial" w:hAnsi="Arial" w:cs="Arial"/>
          <w:i/>
          <w:sz w:val="22"/>
          <w:szCs w:val="22"/>
        </w:rPr>
        <w:t>(f)</w:t>
      </w:r>
      <w:r w:rsidRPr="00BE1876">
        <w:rPr>
          <w:rFonts w:ascii="Arial" w:hAnsi="Arial" w:cs="Arial"/>
          <w:i/>
          <w:sz w:val="22"/>
          <w:szCs w:val="22"/>
        </w:rPr>
        <w:tab/>
      </w:r>
      <w:proofErr w:type="gramStart"/>
      <w:r w:rsidRPr="00BE1876">
        <w:rPr>
          <w:rFonts w:ascii="Arial" w:hAnsi="Arial" w:cs="Arial"/>
          <w:i/>
          <w:sz w:val="22"/>
          <w:szCs w:val="22"/>
        </w:rPr>
        <w:t>the</w:t>
      </w:r>
      <w:proofErr w:type="gramEnd"/>
      <w:r w:rsidRPr="00BE1876">
        <w:rPr>
          <w:rFonts w:ascii="Arial" w:hAnsi="Arial" w:cs="Arial"/>
          <w:i/>
          <w:sz w:val="22"/>
          <w:szCs w:val="22"/>
        </w:rPr>
        <w:t xml:space="preserve"> size and layout of the proposed gaming machine areas;</w:t>
      </w:r>
    </w:p>
    <w:p w:rsidR="006A141D" w:rsidRPr="00BE1876" w:rsidRDefault="006A141D" w:rsidP="00BE1876">
      <w:pPr>
        <w:pStyle w:val="Paragraph"/>
        <w:spacing w:after="120"/>
        <w:ind w:left="1134"/>
        <w:rPr>
          <w:rFonts w:ascii="Arial" w:hAnsi="Arial" w:cs="Arial"/>
          <w:i/>
          <w:sz w:val="22"/>
          <w:szCs w:val="22"/>
        </w:rPr>
      </w:pPr>
      <w:r w:rsidRPr="00BE1876">
        <w:rPr>
          <w:rFonts w:ascii="Arial" w:hAnsi="Arial" w:cs="Arial"/>
          <w:i/>
          <w:sz w:val="22"/>
          <w:szCs w:val="22"/>
        </w:rPr>
        <w:t>(g)</w:t>
      </w:r>
      <w:r w:rsidRPr="00BE1876">
        <w:rPr>
          <w:rFonts w:ascii="Arial" w:hAnsi="Arial" w:cs="Arial"/>
          <w:i/>
          <w:sz w:val="22"/>
          <w:szCs w:val="22"/>
        </w:rPr>
        <w:tab/>
      </w:r>
      <w:proofErr w:type="gramStart"/>
      <w:r w:rsidRPr="00BE1876">
        <w:rPr>
          <w:rFonts w:ascii="Arial" w:hAnsi="Arial" w:cs="Arial"/>
          <w:i/>
          <w:sz w:val="22"/>
          <w:szCs w:val="22"/>
        </w:rPr>
        <w:t>the</w:t>
      </w:r>
      <w:proofErr w:type="gramEnd"/>
      <w:r w:rsidRPr="00BE1876">
        <w:rPr>
          <w:rFonts w:ascii="Arial" w:hAnsi="Arial" w:cs="Arial"/>
          <w:i/>
          <w:sz w:val="22"/>
          <w:szCs w:val="22"/>
        </w:rPr>
        <w:t xml:space="preserve"> anticipated level of gaming on the premises; and</w:t>
      </w:r>
    </w:p>
    <w:p w:rsidR="006A141D" w:rsidRPr="00802BF2" w:rsidRDefault="006A141D" w:rsidP="00BE1876">
      <w:pPr>
        <w:pStyle w:val="Paragraph"/>
        <w:ind w:left="1134"/>
        <w:rPr>
          <w:i/>
        </w:rPr>
      </w:pPr>
      <w:r w:rsidRPr="00BE1876">
        <w:rPr>
          <w:rFonts w:ascii="Arial" w:hAnsi="Arial" w:cs="Arial"/>
          <w:i/>
          <w:sz w:val="22"/>
          <w:szCs w:val="22"/>
        </w:rPr>
        <w:t>(h)</w:t>
      </w:r>
      <w:r w:rsidRPr="00BE1876">
        <w:rPr>
          <w:rFonts w:ascii="Arial" w:hAnsi="Arial" w:cs="Arial"/>
          <w:i/>
          <w:sz w:val="22"/>
          <w:szCs w:val="22"/>
        </w:rPr>
        <w:tab/>
      </w:r>
      <w:proofErr w:type="gramStart"/>
      <w:r w:rsidRPr="00BE1876">
        <w:rPr>
          <w:rFonts w:ascii="Arial" w:hAnsi="Arial" w:cs="Arial"/>
          <w:i/>
          <w:sz w:val="22"/>
          <w:szCs w:val="22"/>
        </w:rPr>
        <w:t>such</w:t>
      </w:r>
      <w:proofErr w:type="gramEnd"/>
      <w:r w:rsidRPr="00BE1876">
        <w:rPr>
          <w:rFonts w:ascii="Arial" w:hAnsi="Arial" w:cs="Arial"/>
          <w:i/>
          <w:sz w:val="22"/>
          <w:szCs w:val="22"/>
        </w:rPr>
        <w:t xml:space="preserve"> other matters as the Director-General considers are relevant.</w:t>
      </w:r>
    </w:p>
    <w:p w:rsidR="006A141D" w:rsidRPr="007B2699" w:rsidRDefault="006A141D" w:rsidP="006A141D">
      <w:pPr>
        <w:spacing w:after="120"/>
        <w:jc w:val="both"/>
        <w:rPr>
          <w:b/>
          <w:iCs/>
          <w:szCs w:val="24"/>
        </w:rPr>
      </w:pPr>
      <w:r w:rsidRPr="007B2699">
        <w:rPr>
          <w:rStyle w:val="Emphasis"/>
          <w:b/>
          <w:i w:val="0"/>
          <w:szCs w:val="24"/>
        </w:rPr>
        <w:t>Suitability of Premises – size, layout and facilities</w:t>
      </w:r>
    </w:p>
    <w:p w:rsidR="00DD31C3" w:rsidRDefault="006B4310" w:rsidP="00551CCE">
      <w:pPr>
        <w:pStyle w:val="ListParagraph"/>
        <w:numPr>
          <w:ilvl w:val="0"/>
          <w:numId w:val="26"/>
        </w:numPr>
        <w:spacing w:after="240"/>
        <w:ind w:left="567" w:hanging="567"/>
        <w:jc w:val="both"/>
        <w:rPr>
          <w:rFonts w:cs="Arial"/>
          <w:szCs w:val="22"/>
        </w:rPr>
      </w:pPr>
      <w:r w:rsidRPr="00655618">
        <w:rPr>
          <w:rFonts w:cs="Arial"/>
          <w:szCs w:val="22"/>
        </w:rPr>
        <w:t xml:space="preserve">Information contained </w:t>
      </w:r>
      <w:r w:rsidR="00DD31C3">
        <w:rPr>
          <w:rFonts w:cs="Arial"/>
          <w:szCs w:val="22"/>
        </w:rPr>
        <w:t>in the application shows</w:t>
      </w:r>
      <w:r w:rsidRPr="00655618">
        <w:rPr>
          <w:rFonts w:cs="Arial"/>
          <w:szCs w:val="22"/>
        </w:rPr>
        <w:t xml:space="preserve"> that the </w:t>
      </w:r>
      <w:r w:rsidR="00DD31C3">
        <w:rPr>
          <w:rFonts w:cs="Arial"/>
          <w:szCs w:val="22"/>
        </w:rPr>
        <w:t>total</w:t>
      </w:r>
      <w:r w:rsidRPr="00655618">
        <w:rPr>
          <w:rFonts w:cs="Arial"/>
          <w:szCs w:val="22"/>
        </w:rPr>
        <w:t xml:space="preserve"> floor space of the premises</w:t>
      </w:r>
      <w:r w:rsidR="00DD31C3">
        <w:rPr>
          <w:rFonts w:cs="Arial"/>
          <w:szCs w:val="22"/>
        </w:rPr>
        <w:t xml:space="preserve">, including the external </w:t>
      </w:r>
      <w:r w:rsidR="00B3132D">
        <w:rPr>
          <w:rFonts w:cs="Arial"/>
          <w:szCs w:val="22"/>
        </w:rPr>
        <w:t>verandas</w:t>
      </w:r>
      <w:r w:rsidR="00DD31C3">
        <w:rPr>
          <w:rFonts w:cs="Arial"/>
          <w:szCs w:val="22"/>
        </w:rPr>
        <w:t>,</w:t>
      </w:r>
      <w:r w:rsidRPr="00655618">
        <w:rPr>
          <w:rFonts w:cs="Arial"/>
          <w:szCs w:val="22"/>
        </w:rPr>
        <w:t xml:space="preserve"> is </w:t>
      </w:r>
      <w:r w:rsidR="00DD31C3">
        <w:rPr>
          <w:rFonts w:cs="Arial"/>
          <w:szCs w:val="22"/>
        </w:rPr>
        <w:t>approximately 950</w:t>
      </w:r>
      <w:r w:rsidRPr="00655618">
        <w:rPr>
          <w:rFonts w:cs="Arial"/>
          <w:szCs w:val="22"/>
        </w:rPr>
        <w:t xml:space="preserve"> square metres</w:t>
      </w:r>
      <w:r w:rsidR="00DD31C3">
        <w:rPr>
          <w:rFonts w:cs="Arial"/>
          <w:szCs w:val="22"/>
        </w:rPr>
        <w:t xml:space="preserve"> the majority</w:t>
      </w:r>
      <w:r w:rsidRPr="00655618">
        <w:rPr>
          <w:rFonts w:cs="Arial"/>
          <w:szCs w:val="22"/>
        </w:rPr>
        <w:t xml:space="preserve"> of which is used for bars</w:t>
      </w:r>
      <w:r w:rsidR="00DD31C3">
        <w:rPr>
          <w:rFonts w:cs="Arial"/>
          <w:szCs w:val="22"/>
        </w:rPr>
        <w:t xml:space="preserve"> and</w:t>
      </w:r>
      <w:r w:rsidRPr="00655618">
        <w:rPr>
          <w:rFonts w:cs="Arial"/>
          <w:szCs w:val="22"/>
        </w:rPr>
        <w:t xml:space="preserve"> dining</w:t>
      </w:r>
      <w:r w:rsidR="00DD31C3">
        <w:rPr>
          <w:rFonts w:cs="Arial"/>
          <w:szCs w:val="22"/>
        </w:rPr>
        <w:t xml:space="preserve"> areas. The proposed gaming area comprises approximately 34</w:t>
      </w:r>
      <w:r w:rsidR="00BE1876">
        <w:rPr>
          <w:rFonts w:cs="Arial"/>
          <w:szCs w:val="22"/>
        </w:rPr>
        <w:t> </w:t>
      </w:r>
      <w:r w:rsidR="00DD31C3">
        <w:rPr>
          <w:rFonts w:cs="Arial"/>
          <w:szCs w:val="22"/>
        </w:rPr>
        <w:t>square metres which represents less than 4</w:t>
      </w:r>
      <w:r w:rsidRPr="00655618">
        <w:rPr>
          <w:rFonts w:cs="Arial"/>
          <w:szCs w:val="22"/>
        </w:rPr>
        <w:t xml:space="preserve">% </w:t>
      </w:r>
      <w:r w:rsidR="00DD31C3">
        <w:rPr>
          <w:rFonts w:cs="Arial"/>
          <w:szCs w:val="22"/>
        </w:rPr>
        <w:t>of the total floor space.</w:t>
      </w:r>
    </w:p>
    <w:p w:rsidR="00DD31C3" w:rsidRDefault="00DD31C3" w:rsidP="003269BC">
      <w:pPr>
        <w:pStyle w:val="ListParagraph"/>
        <w:numPr>
          <w:ilvl w:val="0"/>
          <w:numId w:val="26"/>
        </w:numPr>
        <w:spacing w:after="240"/>
        <w:ind w:left="567" w:hanging="567"/>
        <w:jc w:val="both"/>
        <w:rPr>
          <w:rFonts w:cs="Arial"/>
          <w:szCs w:val="22"/>
        </w:rPr>
      </w:pPr>
      <w:r>
        <w:rPr>
          <w:rFonts w:cs="Arial"/>
          <w:szCs w:val="22"/>
        </w:rPr>
        <w:lastRenderedPageBreak/>
        <w:t xml:space="preserve">The </w:t>
      </w:r>
      <w:r w:rsidR="004732FE" w:rsidRPr="00B3067F">
        <w:rPr>
          <w:rFonts w:cs="Arial"/>
          <w:szCs w:val="22"/>
        </w:rPr>
        <w:t xml:space="preserve">plans </w:t>
      </w:r>
      <w:r>
        <w:rPr>
          <w:rFonts w:cs="Arial"/>
          <w:szCs w:val="22"/>
        </w:rPr>
        <w:t xml:space="preserve">submitted by the Applicant </w:t>
      </w:r>
      <w:r w:rsidR="004732FE" w:rsidRPr="00B3067F">
        <w:rPr>
          <w:rFonts w:cs="Arial"/>
          <w:szCs w:val="22"/>
        </w:rPr>
        <w:t>show that the gaming area is a discrete area within the premises</w:t>
      </w:r>
      <w:r>
        <w:rPr>
          <w:rFonts w:cs="Arial"/>
          <w:szCs w:val="22"/>
        </w:rPr>
        <w:t xml:space="preserve">.  Due to the configuration of the floor plan direct line of sight is not possible form the bar / service area.  However, it is proposed to install CCTV equipment in the gaming room so as to provide constant and suitable monitoring of activities within </w:t>
      </w:r>
      <w:r w:rsidR="006546F7">
        <w:rPr>
          <w:rFonts w:cs="Arial"/>
          <w:szCs w:val="22"/>
        </w:rPr>
        <w:t>that area</w:t>
      </w:r>
      <w:r>
        <w:rPr>
          <w:rFonts w:cs="Arial"/>
          <w:szCs w:val="22"/>
        </w:rPr>
        <w:t>.</w:t>
      </w:r>
    </w:p>
    <w:p w:rsidR="004732FE" w:rsidRPr="00587446" w:rsidRDefault="004732FE" w:rsidP="00587446">
      <w:pPr>
        <w:pStyle w:val="ListParagraph"/>
        <w:spacing w:after="120"/>
        <w:ind w:left="993" w:hanging="993"/>
        <w:jc w:val="both"/>
        <w:rPr>
          <w:rStyle w:val="Emphasis"/>
          <w:b/>
          <w:i w:val="0"/>
        </w:rPr>
      </w:pPr>
      <w:r w:rsidRPr="00587446">
        <w:rPr>
          <w:rStyle w:val="Emphasis"/>
          <w:b/>
          <w:i w:val="0"/>
        </w:rPr>
        <w:t>Suitability of Premises – primary activity</w:t>
      </w:r>
    </w:p>
    <w:p w:rsidR="003A7631" w:rsidRDefault="003A7631" w:rsidP="003269BC">
      <w:pPr>
        <w:pStyle w:val="ListParagraph"/>
        <w:numPr>
          <w:ilvl w:val="0"/>
          <w:numId w:val="26"/>
        </w:numPr>
        <w:spacing w:after="240"/>
        <w:ind w:left="567" w:hanging="567"/>
        <w:jc w:val="both"/>
        <w:rPr>
          <w:rFonts w:cs="Arial"/>
          <w:szCs w:val="22"/>
        </w:rPr>
      </w:pPr>
      <w:r>
        <w:rPr>
          <w:rFonts w:cs="Arial"/>
          <w:szCs w:val="22"/>
        </w:rPr>
        <w:t xml:space="preserve">The Tavern is a </w:t>
      </w:r>
      <w:r w:rsidR="00921937">
        <w:rPr>
          <w:rFonts w:cs="Arial"/>
          <w:szCs w:val="22"/>
        </w:rPr>
        <w:t xml:space="preserve">relatively new business having commenced trading in November 2014. The tavern is </w:t>
      </w:r>
      <w:r>
        <w:rPr>
          <w:rFonts w:cs="Arial"/>
          <w:szCs w:val="22"/>
        </w:rPr>
        <w:t xml:space="preserve">medium sized premise located some 50 kilometres from </w:t>
      </w:r>
      <w:r w:rsidR="006546F7">
        <w:rPr>
          <w:rFonts w:cs="Arial"/>
          <w:szCs w:val="22"/>
        </w:rPr>
        <w:t>the Darwin CBD and catering to the</w:t>
      </w:r>
      <w:r>
        <w:rPr>
          <w:rFonts w:cs="Arial"/>
          <w:szCs w:val="22"/>
        </w:rPr>
        <w:t xml:space="preserve"> rural population, day trippers from Darwin and tou</w:t>
      </w:r>
      <w:r w:rsidR="006A6C85">
        <w:rPr>
          <w:rFonts w:cs="Arial"/>
          <w:szCs w:val="22"/>
        </w:rPr>
        <w:t>rists visiting the region. The T</w:t>
      </w:r>
      <w:r>
        <w:rPr>
          <w:rFonts w:cs="Arial"/>
          <w:szCs w:val="22"/>
        </w:rPr>
        <w:t xml:space="preserve">avern comprises large indoor and outdoor dining areas, a take away liquor outlet </w:t>
      </w:r>
      <w:r w:rsidR="00921937">
        <w:rPr>
          <w:rFonts w:cs="Arial"/>
          <w:szCs w:val="22"/>
        </w:rPr>
        <w:t>and offers entertainment via liv</w:t>
      </w:r>
      <w:r>
        <w:rPr>
          <w:rFonts w:cs="Arial"/>
          <w:szCs w:val="22"/>
        </w:rPr>
        <w:t xml:space="preserve">e music, trivia nights, pool competitions, KENO and TAB facilities.  </w:t>
      </w:r>
    </w:p>
    <w:p w:rsidR="003A7631" w:rsidRDefault="003A7631" w:rsidP="003269BC">
      <w:pPr>
        <w:pStyle w:val="ListParagraph"/>
        <w:numPr>
          <w:ilvl w:val="0"/>
          <w:numId w:val="26"/>
        </w:numPr>
        <w:spacing w:after="240"/>
        <w:ind w:left="567" w:hanging="567"/>
        <w:jc w:val="both"/>
        <w:rPr>
          <w:rFonts w:cs="Arial"/>
          <w:szCs w:val="22"/>
        </w:rPr>
      </w:pPr>
      <w:r>
        <w:rPr>
          <w:rFonts w:cs="Arial"/>
          <w:szCs w:val="22"/>
        </w:rPr>
        <w:t xml:space="preserve">The liquor licence authorises the premises to trade in the sale of liquor for on-premise consumption </w:t>
      </w:r>
      <w:r w:rsidR="00921937">
        <w:rPr>
          <w:rFonts w:cs="Arial"/>
          <w:szCs w:val="22"/>
        </w:rPr>
        <w:t xml:space="preserve">of alcohol </w:t>
      </w:r>
      <w:r>
        <w:rPr>
          <w:rFonts w:cs="Arial"/>
          <w:szCs w:val="22"/>
        </w:rPr>
        <w:t>from 10.00am to 1.00</w:t>
      </w:r>
      <w:r w:rsidR="00D65EDC">
        <w:rPr>
          <w:rFonts w:cs="Arial"/>
          <w:szCs w:val="22"/>
        </w:rPr>
        <w:t>a</w:t>
      </w:r>
      <w:r>
        <w:rPr>
          <w:rFonts w:cs="Arial"/>
          <w:szCs w:val="22"/>
        </w:rPr>
        <w:t>m 7 days per week.  The bottle</w:t>
      </w:r>
      <w:r w:rsidR="00921937">
        <w:rPr>
          <w:rFonts w:cs="Arial"/>
          <w:szCs w:val="22"/>
        </w:rPr>
        <w:t xml:space="preserve"> </w:t>
      </w:r>
      <w:r>
        <w:rPr>
          <w:rFonts w:cs="Arial"/>
          <w:szCs w:val="22"/>
        </w:rPr>
        <w:t xml:space="preserve">shop is authorised to conduct take away sales </w:t>
      </w:r>
      <w:r w:rsidR="00921937">
        <w:rPr>
          <w:rFonts w:cs="Arial"/>
          <w:szCs w:val="22"/>
        </w:rPr>
        <w:t xml:space="preserve">of alcohol </w:t>
      </w:r>
      <w:r>
        <w:rPr>
          <w:rFonts w:cs="Arial"/>
          <w:szCs w:val="22"/>
        </w:rPr>
        <w:t>for the hours usually associated with a take away licence.</w:t>
      </w:r>
    </w:p>
    <w:p w:rsidR="004732FE" w:rsidRPr="00B3067F" w:rsidRDefault="00921937" w:rsidP="003269BC">
      <w:pPr>
        <w:pStyle w:val="ListParagraph"/>
        <w:numPr>
          <w:ilvl w:val="0"/>
          <w:numId w:val="26"/>
        </w:numPr>
        <w:spacing w:after="240"/>
        <w:ind w:left="567" w:hanging="567"/>
        <w:jc w:val="both"/>
        <w:rPr>
          <w:rFonts w:cs="Arial"/>
          <w:szCs w:val="22"/>
        </w:rPr>
      </w:pPr>
      <w:r>
        <w:rPr>
          <w:rFonts w:cs="Arial"/>
          <w:szCs w:val="22"/>
        </w:rPr>
        <w:t xml:space="preserve">The </w:t>
      </w:r>
      <w:r w:rsidR="004732FE" w:rsidRPr="00B3067F">
        <w:rPr>
          <w:rFonts w:cs="Arial"/>
          <w:szCs w:val="22"/>
        </w:rPr>
        <w:t xml:space="preserve">CIA </w:t>
      </w:r>
      <w:r w:rsidR="006A6C85">
        <w:rPr>
          <w:rFonts w:cs="Arial"/>
          <w:szCs w:val="22"/>
        </w:rPr>
        <w:t>indicates that the T</w:t>
      </w:r>
      <w:r w:rsidR="003A7631">
        <w:rPr>
          <w:rFonts w:cs="Arial"/>
          <w:szCs w:val="22"/>
        </w:rPr>
        <w:t>avern serves between 1</w:t>
      </w:r>
      <w:r w:rsidR="00D65EDC">
        <w:rPr>
          <w:rFonts w:cs="Arial"/>
          <w:szCs w:val="22"/>
        </w:rPr>
        <w:t xml:space="preserve"> </w:t>
      </w:r>
      <w:r w:rsidR="003A7631">
        <w:rPr>
          <w:rFonts w:cs="Arial"/>
          <w:szCs w:val="22"/>
        </w:rPr>
        <w:t>100 and 1</w:t>
      </w:r>
      <w:r w:rsidR="00D65EDC">
        <w:rPr>
          <w:rFonts w:cs="Arial"/>
          <w:szCs w:val="22"/>
        </w:rPr>
        <w:t xml:space="preserve"> </w:t>
      </w:r>
      <w:r w:rsidR="003A7631">
        <w:rPr>
          <w:rFonts w:cs="Arial"/>
          <w:szCs w:val="22"/>
        </w:rPr>
        <w:t>200 main meals per week with that number increasing as the relatively new premise establishes its clientele in the rural commun</w:t>
      </w:r>
      <w:r>
        <w:rPr>
          <w:rFonts w:cs="Arial"/>
          <w:szCs w:val="22"/>
        </w:rPr>
        <w:t>ity of Berry Springs and the surrounding districts</w:t>
      </w:r>
      <w:r w:rsidR="003A7631">
        <w:rPr>
          <w:rFonts w:cs="Arial"/>
          <w:szCs w:val="22"/>
        </w:rPr>
        <w:t>.</w:t>
      </w:r>
      <w:r>
        <w:rPr>
          <w:rFonts w:cs="Arial"/>
          <w:szCs w:val="22"/>
        </w:rPr>
        <w:t xml:space="preserve"> </w:t>
      </w:r>
      <w:r w:rsidR="004732FE" w:rsidRPr="00B3067F">
        <w:rPr>
          <w:rFonts w:cs="Arial"/>
          <w:szCs w:val="22"/>
        </w:rPr>
        <w:t xml:space="preserve"> </w:t>
      </w:r>
      <w:r>
        <w:rPr>
          <w:rFonts w:cs="Arial"/>
          <w:szCs w:val="22"/>
        </w:rPr>
        <w:t>Sunday trading attracts a diversity of clients including day trippers from Darwin and locals and tourists returning from fishing trips or visits to the areas tourist attractions.</w:t>
      </w:r>
    </w:p>
    <w:p w:rsidR="003A1C87" w:rsidRDefault="004732FE" w:rsidP="003269BC">
      <w:pPr>
        <w:pStyle w:val="ListParagraph"/>
        <w:numPr>
          <w:ilvl w:val="0"/>
          <w:numId w:val="26"/>
        </w:numPr>
        <w:spacing w:after="240"/>
        <w:ind w:left="567" w:hanging="567"/>
        <w:jc w:val="both"/>
        <w:rPr>
          <w:rFonts w:cs="Arial"/>
          <w:szCs w:val="22"/>
        </w:rPr>
      </w:pPr>
      <w:r w:rsidRPr="00B3067F">
        <w:rPr>
          <w:rFonts w:cs="Arial"/>
          <w:szCs w:val="22"/>
        </w:rPr>
        <w:t xml:space="preserve">The CIA provides information regarding the </w:t>
      </w:r>
      <w:r w:rsidR="00D65EDC">
        <w:rPr>
          <w:rFonts w:cs="Arial"/>
          <w:szCs w:val="22"/>
        </w:rPr>
        <w:t>Tavern’s</w:t>
      </w:r>
      <w:r w:rsidRPr="00B3067F">
        <w:rPr>
          <w:rFonts w:cs="Arial"/>
          <w:szCs w:val="22"/>
        </w:rPr>
        <w:t xml:space="preserve"> financial performance</w:t>
      </w:r>
      <w:r w:rsidR="00921937">
        <w:rPr>
          <w:rFonts w:cs="Arial"/>
          <w:szCs w:val="22"/>
        </w:rPr>
        <w:t xml:space="preserve"> in its first full financial year of trading </w:t>
      </w:r>
      <w:r w:rsidR="003A1C87">
        <w:rPr>
          <w:rFonts w:cs="Arial"/>
          <w:szCs w:val="22"/>
        </w:rPr>
        <w:t xml:space="preserve">since opening, </w:t>
      </w:r>
      <w:r w:rsidR="00921937">
        <w:rPr>
          <w:rFonts w:cs="Arial"/>
          <w:szCs w:val="22"/>
        </w:rPr>
        <w:t>as at 30 June 2015</w:t>
      </w:r>
      <w:r w:rsidRPr="00B3067F">
        <w:rPr>
          <w:rFonts w:cs="Arial"/>
          <w:szCs w:val="22"/>
        </w:rPr>
        <w:t xml:space="preserve">.  </w:t>
      </w:r>
      <w:r w:rsidR="003A1C87">
        <w:rPr>
          <w:rFonts w:cs="Arial"/>
          <w:szCs w:val="22"/>
        </w:rPr>
        <w:t xml:space="preserve">The business has traded profitably during the previous financial year.  The </w:t>
      </w:r>
      <w:r w:rsidR="00D65EDC">
        <w:rPr>
          <w:rFonts w:cs="Arial"/>
          <w:szCs w:val="22"/>
        </w:rPr>
        <w:t>T</w:t>
      </w:r>
      <w:r w:rsidR="003A1C87">
        <w:rPr>
          <w:rFonts w:cs="Arial"/>
          <w:szCs w:val="22"/>
        </w:rPr>
        <w:t>avern’s</w:t>
      </w:r>
      <w:r w:rsidRPr="00B3067F">
        <w:rPr>
          <w:rFonts w:cs="Arial"/>
          <w:szCs w:val="22"/>
        </w:rPr>
        <w:t xml:space="preserve"> revenue is mainly derived from </w:t>
      </w:r>
      <w:r w:rsidR="003A1C87">
        <w:rPr>
          <w:rFonts w:cs="Arial"/>
          <w:szCs w:val="22"/>
        </w:rPr>
        <w:t xml:space="preserve">the sale of </w:t>
      </w:r>
      <w:r w:rsidRPr="00B3067F">
        <w:rPr>
          <w:rFonts w:cs="Arial"/>
          <w:szCs w:val="22"/>
        </w:rPr>
        <w:t xml:space="preserve">food and beverages </w:t>
      </w:r>
      <w:r w:rsidR="003A1C87">
        <w:rPr>
          <w:rFonts w:cs="Arial"/>
          <w:szCs w:val="22"/>
        </w:rPr>
        <w:t>for on-</w:t>
      </w:r>
      <w:r w:rsidR="00B3132D">
        <w:rPr>
          <w:rFonts w:cs="Arial"/>
          <w:szCs w:val="22"/>
        </w:rPr>
        <w:t>premise</w:t>
      </w:r>
      <w:r w:rsidR="003A1C87">
        <w:rPr>
          <w:rFonts w:cs="Arial"/>
          <w:szCs w:val="22"/>
        </w:rPr>
        <w:t xml:space="preserve"> consumption. </w:t>
      </w:r>
      <w:r w:rsidRPr="00B3067F">
        <w:rPr>
          <w:rFonts w:cs="Arial"/>
          <w:szCs w:val="22"/>
        </w:rPr>
        <w:t>but t</w:t>
      </w:r>
      <w:r w:rsidR="00D65EDC">
        <w:rPr>
          <w:rFonts w:cs="Arial"/>
          <w:szCs w:val="22"/>
        </w:rPr>
        <w:t>hat it also attracts a high off-</w:t>
      </w:r>
      <w:r w:rsidRPr="00B3067F">
        <w:rPr>
          <w:rFonts w:cs="Arial"/>
          <w:szCs w:val="22"/>
        </w:rPr>
        <w:t>premise revenue</w:t>
      </w:r>
      <w:proofErr w:type="gramStart"/>
      <w:r w:rsidRPr="00B3067F">
        <w:rPr>
          <w:rFonts w:cs="Arial"/>
          <w:szCs w:val="22"/>
        </w:rPr>
        <w:t xml:space="preserve">.  </w:t>
      </w:r>
      <w:proofErr w:type="gramEnd"/>
      <w:r w:rsidRPr="00B3067F">
        <w:rPr>
          <w:rFonts w:cs="Arial"/>
          <w:szCs w:val="22"/>
        </w:rPr>
        <w:t xml:space="preserve">The </w:t>
      </w:r>
      <w:r w:rsidR="006A6C85">
        <w:rPr>
          <w:rFonts w:cs="Arial"/>
          <w:szCs w:val="22"/>
        </w:rPr>
        <w:t>T</w:t>
      </w:r>
      <w:r w:rsidR="003A1C87">
        <w:rPr>
          <w:rFonts w:cs="Arial"/>
          <w:szCs w:val="22"/>
        </w:rPr>
        <w:t xml:space="preserve">avern does not currently offer gaming machines indicating that the venue will </w:t>
      </w:r>
      <w:r w:rsidRPr="00B3067F">
        <w:rPr>
          <w:rFonts w:cs="Arial"/>
          <w:szCs w:val="22"/>
        </w:rPr>
        <w:t xml:space="preserve">not </w:t>
      </w:r>
      <w:r w:rsidR="003A1C87">
        <w:rPr>
          <w:rFonts w:cs="Arial"/>
          <w:szCs w:val="22"/>
        </w:rPr>
        <w:t>rely entirely</w:t>
      </w:r>
      <w:r w:rsidRPr="00B3067F">
        <w:rPr>
          <w:rFonts w:cs="Arial"/>
          <w:szCs w:val="22"/>
        </w:rPr>
        <w:t xml:space="preserve"> on the </w:t>
      </w:r>
      <w:r w:rsidR="003A1C87">
        <w:rPr>
          <w:rFonts w:cs="Arial"/>
          <w:szCs w:val="22"/>
        </w:rPr>
        <w:t xml:space="preserve">income from </w:t>
      </w:r>
      <w:r w:rsidRPr="00B3067F">
        <w:rPr>
          <w:rFonts w:cs="Arial"/>
          <w:szCs w:val="22"/>
        </w:rPr>
        <w:t xml:space="preserve">gaming </w:t>
      </w:r>
      <w:r w:rsidR="003A1C87">
        <w:rPr>
          <w:rFonts w:cs="Arial"/>
          <w:szCs w:val="22"/>
        </w:rPr>
        <w:t>activity to remain commercially viable.</w:t>
      </w:r>
    </w:p>
    <w:p w:rsidR="00FB31AE" w:rsidRPr="00587446" w:rsidRDefault="00FB31AE" w:rsidP="00587446">
      <w:pPr>
        <w:pStyle w:val="ListParagraph"/>
        <w:spacing w:after="120"/>
        <w:ind w:left="0"/>
        <w:jc w:val="both"/>
        <w:rPr>
          <w:rStyle w:val="Emphasis"/>
          <w:b/>
          <w:i w:val="0"/>
        </w:rPr>
      </w:pPr>
      <w:r w:rsidRPr="00587446">
        <w:rPr>
          <w:rStyle w:val="Emphasis"/>
          <w:b/>
          <w:i w:val="0"/>
        </w:rPr>
        <w:t xml:space="preserve">Suitability of Location - population of local area, proximity to other gaming venues and proximity to sensitive areas </w:t>
      </w:r>
    </w:p>
    <w:p w:rsidR="003E045C" w:rsidRPr="00B3067F" w:rsidRDefault="003E045C" w:rsidP="003269BC">
      <w:pPr>
        <w:pStyle w:val="ListParagraph"/>
        <w:numPr>
          <w:ilvl w:val="0"/>
          <w:numId w:val="26"/>
        </w:numPr>
        <w:spacing w:after="240"/>
        <w:ind w:left="567" w:hanging="567"/>
        <w:jc w:val="both"/>
        <w:rPr>
          <w:rFonts w:cs="Arial"/>
          <w:szCs w:val="22"/>
        </w:rPr>
      </w:pPr>
      <w:r w:rsidRPr="00B3067F">
        <w:rPr>
          <w:rFonts w:cs="Arial"/>
          <w:szCs w:val="22"/>
        </w:rPr>
        <w:t>The Local Community Area (</w:t>
      </w:r>
      <w:r w:rsidR="00E71A10">
        <w:rPr>
          <w:rFonts w:cs="Arial"/>
          <w:szCs w:val="22"/>
        </w:rPr>
        <w:t>“</w:t>
      </w:r>
      <w:r w:rsidRPr="00B3067F">
        <w:rPr>
          <w:rFonts w:cs="Arial"/>
          <w:szCs w:val="22"/>
        </w:rPr>
        <w:t>LCA</w:t>
      </w:r>
      <w:r w:rsidR="00E71A10">
        <w:rPr>
          <w:rFonts w:cs="Arial"/>
          <w:szCs w:val="22"/>
        </w:rPr>
        <w:t>”</w:t>
      </w:r>
      <w:r w:rsidRPr="00B3067F">
        <w:rPr>
          <w:rFonts w:cs="Arial"/>
          <w:szCs w:val="22"/>
        </w:rPr>
        <w:t>)</w:t>
      </w:r>
      <w:r w:rsidR="006A6C85">
        <w:rPr>
          <w:rFonts w:cs="Arial"/>
          <w:szCs w:val="22"/>
        </w:rPr>
        <w:t>,</w:t>
      </w:r>
      <w:r w:rsidRPr="00B3067F">
        <w:rPr>
          <w:rFonts w:cs="Arial"/>
          <w:szCs w:val="22"/>
        </w:rPr>
        <w:t xml:space="preserve"> agreed </w:t>
      </w:r>
      <w:r w:rsidR="00813590">
        <w:rPr>
          <w:rFonts w:cs="Arial"/>
          <w:szCs w:val="22"/>
        </w:rPr>
        <w:t>by the Applicant and</w:t>
      </w:r>
      <w:r w:rsidRPr="00B3067F">
        <w:rPr>
          <w:rFonts w:cs="Arial"/>
          <w:szCs w:val="22"/>
        </w:rPr>
        <w:t xml:space="preserve"> Licensing NT for use in the development of the CIA</w:t>
      </w:r>
      <w:r w:rsidR="006A6C85">
        <w:rPr>
          <w:rFonts w:cs="Arial"/>
          <w:szCs w:val="22"/>
        </w:rPr>
        <w:t>,</w:t>
      </w:r>
      <w:r w:rsidRPr="00B3067F">
        <w:rPr>
          <w:rFonts w:cs="Arial"/>
          <w:szCs w:val="22"/>
        </w:rPr>
        <w:t xml:space="preserve"> </w:t>
      </w:r>
      <w:r w:rsidR="00C52F76">
        <w:rPr>
          <w:rFonts w:cs="Arial"/>
          <w:szCs w:val="22"/>
        </w:rPr>
        <w:t xml:space="preserve">is </w:t>
      </w:r>
      <w:r w:rsidR="00B3132D">
        <w:rPr>
          <w:rFonts w:cs="Arial"/>
          <w:szCs w:val="22"/>
        </w:rPr>
        <w:t>Weddell</w:t>
      </w:r>
      <w:r w:rsidR="00D65EDC">
        <w:rPr>
          <w:rFonts w:cs="Arial"/>
          <w:szCs w:val="22"/>
        </w:rPr>
        <w:t xml:space="preserve"> and</w:t>
      </w:r>
      <w:r w:rsidR="00C52F76">
        <w:rPr>
          <w:rFonts w:cs="Arial"/>
          <w:szCs w:val="22"/>
        </w:rPr>
        <w:t xml:space="preserve"> </w:t>
      </w:r>
      <w:r w:rsidRPr="00B3067F">
        <w:rPr>
          <w:rFonts w:cs="Arial"/>
          <w:szCs w:val="22"/>
        </w:rPr>
        <w:t xml:space="preserve">incorporates the </w:t>
      </w:r>
      <w:r w:rsidR="006A6C85">
        <w:rPr>
          <w:rFonts w:cs="Arial"/>
          <w:szCs w:val="22"/>
        </w:rPr>
        <w:t>rural communities</w:t>
      </w:r>
      <w:r w:rsidR="00813590">
        <w:rPr>
          <w:rFonts w:cs="Arial"/>
          <w:szCs w:val="22"/>
        </w:rPr>
        <w:t xml:space="preserve"> of Berry Springs</w:t>
      </w:r>
      <w:r w:rsidR="00C52F76">
        <w:rPr>
          <w:rFonts w:cs="Arial"/>
          <w:szCs w:val="22"/>
        </w:rPr>
        <w:t xml:space="preserve">, Southport, Blackmore, Tumbling Waters, Darwin River, Fly Creek, </w:t>
      </w:r>
      <w:r w:rsidR="00B3132D">
        <w:rPr>
          <w:rFonts w:cs="Arial"/>
          <w:szCs w:val="22"/>
        </w:rPr>
        <w:t>Acacia</w:t>
      </w:r>
      <w:r w:rsidR="00C52F76">
        <w:rPr>
          <w:rFonts w:cs="Arial"/>
          <w:szCs w:val="22"/>
        </w:rPr>
        <w:t xml:space="preserve"> Hills and a number of smaller communities.</w:t>
      </w:r>
      <w:r w:rsidRPr="00B3067F">
        <w:rPr>
          <w:rFonts w:cs="Arial"/>
          <w:szCs w:val="22"/>
        </w:rPr>
        <w:t xml:space="preserve">  </w:t>
      </w:r>
    </w:p>
    <w:p w:rsidR="00813590" w:rsidRDefault="00813590" w:rsidP="003269BC">
      <w:pPr>
        <w:pStyle w:val="ListParagraph"/>
        <w:numPr>
          <w:ilvl w:val="0"/>
          <w:numId w:val="26"/>
        </w:numPr>
        <w:spacing w:after="240"/>
        <w:ind w:left="567" w:hanging="567"/>
        <w:jc w:val="both"/>
        <w:rPr>
          <w:rFonts w:cs="Arial"/>
          <w:szCs w:val="22"/>
        </w:rPr>
      </w:pPr>
      <w:r>
        <w:rPr>
          <w:rFonts w:cs="Arial"/>
          <w:szCs w:val="22"/>
        </w:rPr>
        <w:t xml:space="preserve">According to the </w:t>
      </w:r>
      <w:r w:rsidR="006A6C85">
        <w:rPr>
          <w:rFonts w:cs="Arial"/>
          <w:szCs w:val="22"/>
        </w:rPr>
        <w:t xml:space="preserve">CIA </w:t>
      </w:r>
      <w:r>
        <w:rPr>
          <w:rFonts w:cs="Arial"/>
          <w:szCs w:val="22"/>
        </w:rPr>
        <w:t>Berry Springs has a rapid</w:t>
      </w:r>
      <w:r w:rsidR="006A6C85">
        <w:rPr>
          <w:rFonts w:cs="Arial"/>
          <w:szCs w:val="22"/>
        </w:rPr>
        <w:t>ly growing population with the T</w:t>
      </w:r>
      <w:r>
        <w:rPr>
          <w:rFonts w:cs="Arial"/>
          <w:szCs w:val="22"/>
        </w:rPr>
        <w:t>avern located in the rural district centre with the immediate neighbourhood comprising mainly commercial business premises.  Berry Springs has long been regarded as the gateway to many of the tourist and recreational facilities and attractions in the surrounding areas.  Major attractions in the district include the Berry Springs Nature Park, Territory Wildlife Park</w:t>
      </w:r>
      <w:r w:rsidR="006A6C85">
        <w:rPr>
          <w:rFonts w:cs="Arial"/>
          <w:szCs w:val="22"/>
        </w:rPr>
        <w:t xml:space="preserve"> and T</w:t>
      </w:r>
      <w:r w:rsidR="00C52F76">
        <w:rPr>
          <w:rFonts w:cs="Arial"/>
          <w:szCs w:val="22"/>
        </w:rPr>
        <w:t>umbling Waters as well as popular fishing spots including Dundee, Wagait Beach and Channel Point.</w:t>
      </w:r>
    </w:p>
    <w:p w:rsidR="00433F10" w:rsidRDefault="00C52F76" w:rsidP="00904B67">
      <w:pPr>
        <w:pStyle w:val="ListParagraph"/>
        <w:keepLines/>
        <w:numPr>
          <w:ilvl w:val="0"/>
          <w:numId w:val="26"/>
        </w:numPr>
        <w:spacing w:after="240"/>
        <w:ind w:left="567" w:hanging="567"/>
        <w:jc w:val="both"/>
        <w:rPr>
          <w:rFonts w:cs="Arial"/>
          <w:szCs w:val="22"/>
        </w:rPr>
      </w:pPr>
      <w:r>
        <w:rPr>
          <w:rFonts w:cs="Arial"/>
          <w:szCs w:val="22"/>
        </w:rPr>
        <w:t xml:space="preserve">The 2011 census recorded a population of 736 for Berry Springs and 563 for the neighbouring Livingstone area.  </w:t>
      </w:r>
      <w:r w:rsidR="004333F7">
        <w:rPr>
          <w:rFonts w:cs="Arial"/>
          <w:szCs w:val="22"/>
        </w:rPr>
        <w:t>The total population of the Weddell LCA was 3</w:t>
      </w:r>
      <w:r w:rsidR="00D65EDC">
        <w:rPr>
          <w:rFonts w:cs="Arial"/>
          <w:szCs w:val="22"/>
        </w:rPr>
        <w:t xml:space="preserve"> </w:t>
      </w:r>
      <w:r w:rsidR="004333F7">
        <w:rPr>
          <w:rFonts w:cs="Arial"/>
          <w:szCs w:val="22"/>
        </w:rPr>
        <w:t>647 in 2011 comprising 2</w:t>
      </w:r>
      <w:r w:rsidR="00D65EDC">
        <w:rPr>
          <w:rFonts w:cs="Arial"/>
          <w:szCs w:val="22"/>
        </w:rPr>
        <w:t xml:space="preserve"> </w:t>
      </w:r>
      <w:r w:rsidR="004333F7">
        <w:rPr>
          <w:rFonts w:cs="Arial"/>
          <w:szCs w:val="22"/>
        </w:rPr>
        <w:t>559 residents over the age of 19 years.  The Weddell LCA falls within the Litchfield local government area</w:t>
      </w:r>
      <w:r w:rsidR="00433F10">
        <w:rPr>
          <w:rFonts w:cs="Arial"/>
          <w:szCs w:val="22"/>
        </w:rPr>
        <w:t xml:space="preserve"> which has experienced population growth of 165 in the </w:t>
      </w:r>
      <w:r w:rsidR="006A6C85">
        <w:rPr>
          <w:rFonts w:cs="Arial"/>
          <w:szCs w:val="22"/>
        </w:rPr>
        <w:t>three</w:t>
      </w:r>
      <w:r w:rsidR="00433F10">
        <w:rPr>
          <w:rFonts w:cs="Arial"/>
          <w:szCs w:val="22"/>
        </w:rPr>
        <w:t xml:space="preserve"> years prior to the 2011 census.  The population of Berry Springs increased by 53% in the same period.</w:t>
      </w:r>
    </w:p>
    <w:p w:rsidR="004732FE" w:rsidRPr="008F70BE" w:rsidRDefault="00C52F76" w:rsidP="00D65EDC">
      <w:pPr>
        <w:pStyle w:val="ListParagraph"/>
        <w:keepLines/>
        <w:numPr>
          <w:ilvl w:val="0"/>
          <w:numId w:val="26"/>
        </w:numPr>
        <w:spacing w:after="240"/>
        <w:ind w:left="567" w:hanging="567"/>
        <w:jc w:val="both"/>
        <w:rPr>
          <w:rFonts w:cs="Arial"/>
          <w:szCs w:val="22"/>
        </w:rPr>
      </w:pPr>
      <w:r>
        <w:rPr>
          <w:rFonts w:cs="Arial"/>
          <w:szCs w:val="22"/>
        </w:rPr>
        <w:lastRenderedPageBreak/>
        <w:t>The area comprises a large proportion</w:t>
      </w:r>
      <w:r w:rsidR="006A6C85">
        <w:rPr>
          <w:rFonts w:cs="Arial"/>
          <w:szCs w:val="22"/>
        </w:rPr>
        <w:t xml:space="preserve"> of undeveloped areas which has</w:t>
      </w:r>
      <w:r>
        <w:rPr>
          <w:rFonts w:cs="Arial"/>
          <w:szCs w:val="22"/>
        </w:rPr>
        <w:t xml:space="preserve"> been flagged for future development.</w:t>
      </w:r>
      <w:r w:rsidR="00D65EDC">
        <w:rPr>
          <w:rFonts w:cs="Arial"/>
          <w:szCs w:val="22"/>
        </w:rPr>
        <w:t xml:space="preserve"> </w:t>
      </w:r>
      <w:r>
        <w:rPr>
          <w:rFonts w:cs="Arial"/>
          <w:szCs w:val="22"/>
        </w:rPr>
        <w:t xml:space="preserve"> </w:t>
      </w:r>
      <w:r w:rsidR="00433F10">
        <w:rPr>
          <w:rFonts w:cs="Arial"/>
          <w:szCs w:val="22"/>
        </w:rPr>
        <w:t>R</w:t>
      </w:r>
      <w:r w:rsidR="004F4447" w:rsidRPr="008F70BE">
        <w:rPr>
          <w:rFonts w:cs="Arial"/>
          <w:szCs w:val="22"/>
        </w:rPr>
        <w:t xml:space="preserve">esidents </w:t>
      </w:r>
      <w:r w:rsidR="00433F10">
        <w:rPr>
          <w:rFonts w:cs="Arial"/>
          <w:szCs w:val="22"/>
        </w:rPr>
        <w:t xml:space="preserve">of Berry Springs </w:t>
      </w:r>
      <w:r w:rsidR="004F4447" w:rsidRPr="008F70BE">
        <w:rPr>
          <w:rFonts w:cs="Arial"/>
          <w:szCs w:val="22"/>
        </w:rPr>
        <w:t xml:space="preserve">have a combined household </w:t>
      </w:r>
      <w:r w:rsidR="005E24DC" w:rsidRPr="008F70BE">
        <w:rPr>
          <w:rFonts w:cs="Arial"/>
          <w:szCs w:val="22"/>
        </w:rPr>
        <w:t xml:space="preserve">income </w:t>
      </w:r>
      <w:r w:rsidR="00D65EDC">
        <w:rPr>
          <w:rFonts w:cs="Arial"/>
          <w:szCs w:val="22"/>
        </w:rPr>
        <w:t xml:space="preserve">estimated at $1 </w:t>
      </w:r>
      <w:r w:rsidR="00433F10">
        <w:rPr>
          <w:rFonts w:cs="Arial"/>
          <w:szCs w:val="22"/>
        </w:rPr>
        <w:t>359 per week with 77</w:t>
      </w:r>
      <w:r w:rsidR="005E24DC" w:rsidRPr="008F70BE">
        <w:rPr>
          <w:rFonts w:cs="Arial"/>
          <w:szCs w:val="22"/>
        </w:rPr>
        <w:t xml:space="preserve">% of </w:t>
      </w:r>
      <w:r w:rsidR="00433F10">
        <w:rPr>
          <w:rFonts w:cs="Arial"/>
          <w:szCs w:val="22"/>
        </w:rPr>
        <w:t>residents</w:t>
      </w:r>
      <w:r w:rsidR="005E24DC" w:rsidRPr="008F70BE">
        <w:rPr>
          <w:rFonts w:cs="Arial"/>
          <w:szCs w:val="22"/>
        </w:rPr>
        <w:t xml:space="preserve"> owning their own home</w:t>
      </w:r>
      <w:r w:rsidR="00433F10">
        <w:rPr>
          <w:rFonts w:cs="Arial"/>
          <w:szCs w:val="22"/>
        </w:rPr>
        <w:t xml:space="preserve">. </w:t>
      </w:r>
      <w:r w:rsidR="00D65EDC">
        <w:rPr>
          <w:rFonts w:cs="Arial"/>
          <w:szCs w:val="22"/>
        </w:rPr>
        <w:t xml:space="preserve"> </w:t>
      </w:r>
      <w:r w:rsidR="00433F10">
        <w:rPr>
          <w:rFonts w:cs="Arial"/>
          <w:szCs w:val="22"/>
        </w:rPr>
        <w:t>In the 2011 census 5.3</w:t>
      </w:r>
      <w:r w:rsidR="005D72CE" w:rsidRPr="008F70BE">
        <w:rPr>
          <w:rFonts w:cs="Arial"/>
          <w:szCs w:val="22"/>
        </w:rPr>
        <w:t>% of the population</w:t>
      </w:r>
      <w:r w:rsidR="00433F10">
        <w:rPr>
          <w:rFonts w:cs="Arial"/>
          <w:szCs w:val="22"/>
        </w:rPr>
        <w:t xml:space="preserve"> of Berry Springs</w:t>
      </w:r>
      <w:r w:rsidR="005D72CE" w:rsidRPr="008F70BE">
        <w:rPr>
          <w:rFonts w:cs="Arial"/>
          <w:szCs w:val="22"/>
        </w:rPr>
        <w:t xml:space="preserve"> identified themselves as being Aboriginal and or Torres Strait Islanders.</w:t>
      </w:r>
      <w:r w:rsidR="00D65EDC">
        <w:rPr>
          <w:rFonts w:cs="Arial"/>
          <w:szCs w:val="22"/>
        </w:rPr>
        <w:t xml:space="preserve"> </w:t>
      </w:r>
      <w:r w:rsidR="005D72CE" w:rsidRPr="008F70BE">
        <w:rPr>
          <w:rFonts w:cs="Arial"/>
          <w:szCs w:val="22"/>
        </w:rPr>
        <w:t xml:space="preserve"> </w:t>
      </w:r>
      <w:r w:rsidR="00433F10">
        <w:rPr>
          <w:rFonts w:cs="Arial"/>
          <w:szCs w:val="22"/>
        </w:rPr>
        <w:t>For the Weddell LCA 9% of total population identified as being of Aboriginal or Torres Strait descent.</w:t>
      </w:r>
    </w:p>
    <w:p w:rsidR="00630155" w:rsidRPr="00433F10" w:rsidRDefault="00433F10" w:rsidP="003269BC">
      <w:pPr>
        <w:pStyle w:val="ListParagraph"/>
        <w:numPr>
          <w:ilvl w:val="0"/>
          <w:numId w:val="26"/>
        </w:numPr>
        <w:spacing w:after="240"/>
        <w:ind w:left="567" w:hanging="567"/>
        <w:jc w:val="both"/>
        <w:rPr>
          <w:rFonts w:cs="Arial"/>
          <w:szCs w:val="22"/>
        </w:rPr>
      </w:pPr>
      <w:r>
        <w:rPr>
          <w:rFonts w:cs="Arial"/>
          <w:szCs w:val="22"/>
        </w:rPr>
        <w:t>T</w:t>
      </w:r>
      <w:r w:rsidR="005D72CE" w:rsidRPr="008F70BE">
        <w:rPr>
          <w:rFonts w:cs="Arial"/>
          <w:szCs w:val="22"/>
        </w:rPr>
        <w:t xml:space="preserve">he </w:t>
      </w:r>
      <w:r w:rsidR="005D72CE" w:rsidRPr="008F70BE">
        <w:rPr>
          <w:rFonts w:cs="Arial"/>
          <w:bCs/>
          <w:szCs w:val="22"/>
        </w:rPr>
        <w:t>Australian Bureau of Statistics’ Socio</w:t>
      </w:r>
      <w:r w:rsidR="00BA75DE">
        <w:rPr>
          <w:rFonts w:cs="Arial"/>
          <w:bCs/>
          <w:szCs w:val="22"/>
        </w:rPr>
        <w:noBreakHyphen/>
      </w:r>
      <w:r w:rsidR="005D72CE" w:rsidRPr="008F70BE">
        <w:rPr>
          <w:rFonts w:cs="Arial"/>
          <w:bCs/>
          <w:szCs w:val="22"/>
        </w:rPr>
        <w:t>Economic Indexes for Areas (</w:t>
      </w:r>
      <w:r w:rsidR="00BA75DE">
        <w:rPr>
          <w:rFonts w:cs="Arial"/>
          <w:bCs/>
          <w:szCs w:val="22"/>
        </w:rPr>
        <w:t>“</w:t>
      </w:r>
      <w:r w:rsidR="005D72CE" w:rsidRPr="008F70BE">
        <w:rPr>
          <w:rFonts w:cs="Arial"/>
          <w:bCs/>
          <w:szCs w:val="22"/>
        </w:rPr>
        <w:t>SEIFA</w:t>
      </w:r>
      <w:r w:rsidR="00BA75DE">
        <w:rPr>
          <w:rFonts w:cs="Arial"/>
          <w:bCs/>
          <w:szCs w:val="22"/>
        </w:rPr>
        <w:t>”</w:t>
      </w:r>
      <w:r w:rsidR="005D72CE" w:rsidRPr="008F70BE">
        <w:rPr>
          <w:rFonts w:cs="Arial"/>
          <w:bCs/>
          <w:szCs w:val="22"/>
        </w:rPr>
        <w:t>)</w:t>
      </w:r>
      <w:r w:rsidR="00E41C2A" w:rsidRPr="008F70BE">
        <w:rPr>
          <w:rFonts w:cs="Arial"/>
          <w:bCs/>
          <w:szCs w:val="22"/>
        </w:rPr>
        <w:t xml:space="preserve"> </w:t>
      </w:r>
      <w:r>
        <w:rPr>
          <w:rFonts w:cs="Arial"/>
          <w:bCs/>
          <w:szCs w:val="22"/>
        </w:rPr>
        <w:t xml:space="preserve">indicates </w:t>
      </w:r>
      <w:r w:rsidR="00E41C2A" w:rsidRPr="008F70BE">
        <w:rPr>
          <w:rFonts w:cs="Arial"/>
          <w:bCs/>
          <w:szCs w:val="22"/>
        </w:rPr>
        <w:t>that the LCA is an area of relative social advantage.</w:t>
      </w:r>
      <w:r>
        <w:rPr>
          <w:rFonts w:cs="Arial"/>
          <w:bCs/>
          <w:szCs w:val="22"/>
        </w:rPr>
        <w:t xml:space="preserve">  Berry Springs with a decile score</w:t>
      </w:r>
      <w:r w:rsidR="00F15C61" w:rsidRPr="00433F10">
        <w:rPr>
          <w:rFonts w:cs="Arial"/>
          <w:bCs/>
          <w:szCs w:val="22"/>
        </w:rPr>
        <w:t xml:space="preserve"> </w:t>
      </w:r>
      <w:r>
        <w:rPr>
          <w:rFonts w:cs="Arial"/>
          <w:bCs/>
          <w:szCs w:val="22"/>
        </w:rPr>
        <w:t>of</w:t>
      </w:r>
      <w:r w:rsidR="00F15C61" w:rsidRPr="00433F10">
        <w:rPr>
          <w:rFonts w:cs="Arial"/>
          <w:bCs/>
          <w:szCs w:val="22"/>
        </w:rPr>
        <w:t xml:space="preserve"> 8 </w:t>
      </w:r>
      <w:r>
        <w:rPr>
          <w:rFonts w:cs="Arial"/>
          <w:bCs/>
          <w:szCs w:val="22"/>
        </w:rPr>
        <w:t xml:space="preserve">is very </w:t>
      </w:r>
      <w:r w:rsidR="00262699">
        <w:rPr>
          <w:rFonts w:cs="Arial"/>
          <w:bCs/>
          <w:szCs w:val="22"/>
        </w:rPr>
        <w:t>mu</w:t>
      </w:r>
      <w:r>
        <w:rPr>
          <w:rFonts w:cs="Arial"/>
          <w:bCs/>
          <w:szCs w:val="22"/>
        </w:rPr>
        <w:t xml:space="preserve">ch on the advantaged </w:t>
      </w:r>
      <w:r w:rsidR="006A6C85">
        <w:rPr>
          <w:rFonts w:cs="Arial"/>
          <w:bCs/>
          <w:szCs w:val="22"/>
        </w:rPr>
        <w:t xml:space="preserve">side of the </w:t>
      </w:r>
      <w:r>
        <w:rPr>
          <w:rFonts w:cs="Arial"/>
          <w:bCs/>
          <w:szCs w:val="22"/>
        </w:rPr>
        <w:t xml:space="preserve">scale in comparison to </w:t>
      </w:r>
      <w:r w:rsidR="00262699">
        <w:rPr>
          <w:rFonts w:cs="Arial"/>
          <w:bCs/>
          <w:szCs w:val="22"/>
        </w:rPr>
        <w:t xml:space="preserve">other SEIFA data across the Territory.  </w:t>
      </w:r>
      <w:r w:rsidR="003626D0">
        <w:rPr>
          <w:rFonts w:cs="Arial"/>
          <w:bCs/>
          <w:szCs w:val="22"/>
        </w:rPr>
        <w:t>Surrounding townships and communities are rated as having a decile of between 7 and 9, again towards the higher end of the scale in terms of socio economic advantage.</w:t>
      </w:r>
    </w:p>
    <w:p w:rsidR="002F60ED" w:rsidRPr="006A6C85" w:rsidRDefault="002F60ED" w:rsidP="00D65EDC">
      <w:pPr>
        <w:pStyle w:val="ListParagraph"/>
        <w:numPr>
          <w:ilvl w:val="0"/>
          <w:numId w:val="26"/>
        </w:numPr>
        <w:spacing w:after="240"/>
        <w:ind w:left="567" w:hanging="567"/>
        <w:jc w:val="both"/>
        <w:rPr>
          <w:rFonts w:cs="Arial"/>
          <w:bCs/>
          <w:szCs w:val="22"/>
        </w:rPr>
      </w:pPr>
      <w:r w:rsidRPr="008F70BE">
        <w:rPr>
          <w:rFonts w:cs="Arial"/>
          <w:bCs/>
          <w:szCs w:val="22"/>
        </w:rPr>
        <w:t>The</w:t>
      </w:r>
      <w:r w:rsidR="00262699">
        <w:rPr>
          <w:rFonts w:cs="Arial"/>
          <w:bCs/>
          <w:szCs w:val="22"/>
        </w:rPr>
        <w:t>re are two gaming venues within the Weddell LCA and none within the Berry Springs township and immediate surrounds.  As a result it is not possible to assess a meaningful comparison of the gaming revenue generated by other gaming venues within the immediate location of the Berry Springs Tavern.  The n</w:t>
      </w:r>
      <w:r w:rsidR="006A6C85">
        <w:rPr>
          <w:rFonts w:cs="Arial"/>
          <w:bCs/>
          <w:szCs w:val="22"/>
        </w:rPr>
        <w:t>earest licensed premise</w:t>
      </w:r>
      <w:r w:rsidR="00D65EDC">
        <w:rPr>
          <w:rFonts w:cs="Arial"/>
          <w:bCs/>
          <w:szCs w:val="22"/>
        </w:rPr>
        <w:t xml:space="preserve"> with gaming machines</w:t>
      </w:r>
      <w:r w:rsidR="00262699" w:rsidRPr="006A6C85">
        <w:rPr>
          <w:rFonts w:cs="Arial"/>
          <w:bCs/>
          <w:szCs w:val="22"/>
        </w:rPr>
        <w:t xml:space="preserve"> </w:t>
      </w:r>
      <w:r w:rsidR="00D65EDC">
        <w:rPr>
          <w:rFonts w:cs="Arial"/>
          <w:bCs/>
          <w:szCs w:val="22"/>
        </w:rPr>
        <w:t>is some 12 kilometres from the T</w:t>
      </w:r>
      <w:r w:rsidR="00262699" w:rsidRPr="006A6C85">
        <w:rPr>
          <w:rFonts w:cs="Arial"/>
          <w:bCs/>
          <w:szCs w:val="22"/>
        </w:rPr>
        <w:t>avern.</w:t>
      </w:r>
      <w:r w:rsidR="00F0092C" w:rsidRPr="006A6C85">
        <w:rPr>
          <w:rFonts w:cs="Arial"/>
          <w:bCs/>
          <w:szCs w:val="22"/>
        </w:rPr>
        <w:t xml:space="preserve">  Clearly, there is no proliferation of gaming machine licences in the immediate or reasonably proximate surroundings of the Berry Springs Tavern. </w:t>
      </w:r>
    </w:p>
    <w:p w:rsidR="003626D0" w:rsidRDefault="003626D0" w:rsidP="003269BC">
      <w:pPr>
        <w:pStyle w:val="ListParagraph"/>
        <w:numPr>
          <w:ilvl w:val="0"/>
          <w:numId w:val="26"/>
        </w:numPr>
        <w:spacing w:after="240"/>
        <w:ind w:left="567" w:hanging="567"/>
        <w:jc w:val="both"/>
        <w:rPr>
          <w:rFonts w:cs="Arial"/>
          <w:bCs/>
          <w:szCs w:val="22"/>
        </w:rPr>
      </w:pPr>
      <w:r>
        <w:rPr>
          <w:rFonts w:cs="Arial"/>
          <w:bCs/>
          <w:szCs w:val="22"/>
        </w:rPr>
        <w:t xml:space="preserve">Section </w:t>
      </w:r>
      <w:r w:rsidR="006A6C85">
        <w:rPr>
          <w:rFonts w:cs="Arial"/>
          <w:bCs/>
          <w:szCs w:val="22"/>
        </w:rPr>
        <w:t>25</w:t>
      </w:r>
      <w:r w:rsidR="00BA75DE">
        <w:rPr>
          <w:rFonts w:cs="Arial"/>
          <w:bCs/>
          <w:szCs w:val="22"/>
        </w:rPr>
        <w:t>(</w:t>
      </w:r>
      <w:r w:rsidR="006A6C85">
        <w:rPr>
          <w:rFonts w:cs="Arial"/>
          <w:bCs/>
          <w:szCs w:val="22"/>
        </w:rPr>
        <w:t>1</w:t>
      </w:r>
      <w:r w:rsidR="00BA75DE">
        <w:rPr>
          <w:rFonts w:cs="Arial"/>
          <w:bCs/>
          <w:szCs w:val="22"/>
        </w:rPr>
        <w:t>)</w:t>
      </w:r>
      <w:r w:rsidR="00692285" w:rsidRPr="008F70BE">
        <w:rPr>
          <w:rFonts w:cs="Arial"/>
          <w:bCs/>
          <w:szCs w:val="22"/>
        </w:rPr>
        <w:t>(c)</w:t>
      </w:r>
      <w:r w:rsidR="00FD1042" w:rsidRPr="008F70BE">
        <w:rPr>
          <w:rFonts w:cs="Arial"/>
          <w:bCs/>
          <w:szCs w:val="22"/>
        </w:rPr>
        <w:t xml:space="preserve"> of the Act</w:t>
      </w:r>
      <w:r>
        <w:rPr>
          <w:rFonts w:cs="Arial"/>
          <w:bCs/>
          <w:szCs w:val="22"/>
        </w:rPr>
        <w:t xml:space="preserve"> requires </w:t>
      </w:r>
      <w:r w:rsidR="00692285" w:rsidRPr="008F70BE">
        <w:rPr>
          <w:rFonts w:cs="Arial"/>
          <w:bCs/>
          <w:szCs w:val="22"/>
        </w:rPr>
        <w:t xml:space="preserve">the CIA </w:t>
      </w:r>
      <w:r>
        <w:rPr>
          <w:rFonts w:cs="Arial"/>
          <w:bCs/>
          <w:szCs w:val="22"/>
        </w:rPr>
        <w:t xml:space="preserve">to assess </w:t>
      </w:r>
      <w:r w:rsidR="00692285" w:rsidRPr="008F70BE">
        <w:rPr>
          <w:rFonts w:cs="Arial"/>
          <w:bCs/>
          <w:szCs w:val="22"/>
        </w:rPr>
        <w:t xml:space="preserve">the proximity of the premises to sensitive areas such as schools, shopping centres, other community congregation facilities, welfare agencies, banks and pawn brokers.  </w:t>
      </w:r>
      <w:r>
        <w:rPr>
          <w:rFonts w:cs="Arial"/>
          <w:bCs/>
          <w:szCs w:val="22"/>
        </w:rPr>
        <w:t xml:space="preserve">As noted, the </w:t>
      </w:r>
      <w:r w:rsidR="00D65EDC">
        <w:rPr>
          <w:rFonts w:cs="Arial"/>
          <w:bCs/>
          <w:szCs w:val="22"/>
        </w:rPr>
        <w:t>T</w:t>
      </w:r>
      <w:r>
        <w:rPr>
          <w:rFonts w:cs="Arial"/>
          <w:bCs/>
          <w:szCs w:val="22"/>
        </w:rPr>
        <w:t>avern is located in the community service area and is predominantly surrounded by commercia</w:t>
      </w:r>
      <w:r w:rsidR="006A6C85">
        <w:rPr>
          <w:rFonts w:cs="Arial"/>
          <w:bCs/>
          <w:szCs w:val="22"/>
        </w:rPr>
        <w:t>l premises.  The Berry Springs Primary S</w:t>
      </w:r>
      <w:r>
        <w:rPr>
          <w:rFonts w:cs="Arial"/>
          <w:bCs/>
          <w:szCs w:val="22"/>
        </w:rPr>
        <w:t>chool is located 3.5 kilometres from the subject site.  Following notification by the Applicant of the proposal to apply for a gaming machine licence the school council indicated that it had no feedback or concerns regarding the application.  No other sensitive areas are identified in the immediate vicinity of the premises</w:t>
      </w:r>
      <w:r w:rsidR="00F0092C">
        <w:rPr>
          <w:rFonts w:cs="Arial"/>
          <w:bCs/>
          <w:szCs w:val="22"/>
        </w:rPr>
        <w:t xml:space="preserve"> which is unsurprising given the rural nature of the area.</w:t>
      </w:r>
    </w:p>
    <w:p w:rsidR="000D331C" w:rsidRPr="006419C4" w:rsidRDefault="000D331C" w:rsidP="006419C4">
      <w:pPr>
        <w:pStyle w:val="ListParagraph"/>
        <w:spacing w:after="120"/>
        <w:ind w:left="0"/>
        <w:jc w:val="both"/>
        <w:rPr>
          <w:rStyle w:val="Emphasis"/>
          <w:b/>
          <w:i w:val="0"/>
        </w:rPr>
      </w:pPr>
      <w:r w:rsidRPr="006419C4">
        <w:rPr>
          <w:rStyle w:val="Emphasis"/>
          <w:b/>
          <w:i w:val="0"/>
        </w:rPr>
        <w:t>Appropriateness of problem gambling risk management and responsible gambling strategies</w:t>
      </w:r>
    </w:p>
    <w:p w:rsidR="005C47C1" w:rsidRPr="008F70BE" w:rsidRDefault="00503996" w:rsidP="003269BC">
      <w:pPr>
        <w:pStyle w:val="ListParagraph"/>
        <w:numPr>
          <w:ilvl w:val="0"/>
          <w:numId w:val="26"/>
        </w:numPr>
        <w:spacing w:after="240"/>
        <w:ind w:left="567" w:hanging="567"/>
        <w:jc w:val="both"/>
        <w:rPr>
          <w:rFonts w:cs="Arial"/>
          <w:bCs/>
          <w:szCs w:val="22"/>
        </w:rPr>
      </w:pPr>
      <w:r w:rsidRPr="008F70BE">
        <w:rPr>
          <w:rFonts w:cs="Arial"/>
          <w:bCs/>
          <w:szCs w:val="22"/>
        </w:rPr>
        <w:t xml:space="preserve">The CIA </w:t>
      </w:r>
      <w:r w:rsidR="00F0092C">
        <w:rPr>
          <w:rFonts w:cs="Arial"/>
          <w:bCs/>
          <w:szCs w:val="22"/>
        </w:rPr>
        <w:t>provides analysis of gambling related harm through the assessment of associated risks based on</w:t>
      </w:r>
      <w:r w:rsidR="00F0092C" w:rsidRPr="00F1351E">
        <w:rPr>
          <w:rFonts w:cs="Arial"/>
          <w:bCs/>
          <w:szCs w:val="22"/>
        </w:rPr>
        <w:t xml:space="preserve"> the 2014 report ‘Gambling Harm in the Northern Territory: An Atlas of Venue Catchments’</w:t>
      </w:r>
      <w:r w:rsidRPr="008F70BE">
        <w:rPr>
          <w:rFonts w:cs="Arial"/>
          <w:bCs/>
          <w:szCs w:val="22"/>
        </w:rPr>
        <w:t xml:space="preserve">. </w:t>
      </w:r>
      <w:r w:rsidR="00F0092C">
        <w:rPr>
          <w:rFonts w:cs="Arial"/>
          <w:bCs/>
          <w:szCs w:val="22"/>
        </w:rPr>
        <w:t xml:space="preserve">This assessment necessarily includes consideration of harms associated with gaming machine venues somewhat distant from the subject premises </w:t>
      </w:r>
      <w:r w:rsidR="00B3132D">
        <w:rPr>
          <w:rFonts w:cs="Arial"/>
          <w:bCs/>
          <w:szCs w:val="22"/>
        </w:rPr>
        <w:t>but</w:t>
      </w:r>
      <w:r w:rsidR="00F0092C">
        <w:rPr>
          <w:rFonts w:cs="Arial"/>
          <w:bCs/>
          <w:szCs w:val="22"/>
        </w:rPr>
        <w:t xml:space="preserve"> still within the Litchfield Shire’s rural areas.  The analysis indicates </w:t>
      </w:r>
      <w:r w:rsidR="00655C41">
        <w:rPr>
          <w:rFonts w:cs="Arial"/>
          <w:bCs/>
          <w:szCs w:val="22"/>
        </w:rPr>
        <w:t>that 88% of gaming machine patrons are in the non-problem classification with 1% falling within the high risk category.</w:t>
      </w:r>
    </w:p>
    <w:p w:rsidR="00655C41" w:rsidRDefault="00655C41" w:rsidP="003269BC">
      <w:pPr>
        <w:pStyle w:val="ListParagraph"/>
        <w:numPr>
          <w:ilvl w:val="0"/>
          <w:numId w:val="26"/>
        </w:numPr>
        <w:spacing w:after="240"/>
        <w:ind w:left="567" w:hanging="567"/>
        <w:jc w:val="both"/>
        <w:rPr>
          <w:rFonts w:cs="Arial"/>
          <w:bCs/>
          <w:szCs w:val="22"/>
        </w:rPr>
      </w:pPr>
      <w:r>
        <w:rPr>
          <w:rFonts w:cs="Arial"/>
          <w:bCs/>
          <w:szCs w:val="22"/>
        </w:rPr>
        <w:t>The CIA indicates that the Applicant takes its social responsibilities seriously in terms of problem gambling and risk minimisation.</w:t>
      </w:r>
      <w:r w:rsidR="00D65EDC">
        <w:rPr>
          <w:rFonts w:cs="Arial"/>
          <w:bCs/>
          <w:szCs w:val="22"/>
        </w:rPr>
        <w:t xml:space="preserve"> </w:t>
      </w:r>
      <w:r>
        <w:rPr>
          <w:rFonts w:cs="Arial"/>
          <w:bCs/>
          <w:szCs w:val="22"/>
        </w:rPr>
        <w:t xml:space="preserve"> The Applicant has presented a well-documented and comprehensive Responsible Gambling Manual which will underpin the harm reduction initiatives and procedures.  The Manual contains specific and appropriate strategies to deal with problem gamblers.</w:t>
      </w:r>
    </w:p>
    <w:p w:rsidR="00655C41" w:rsidRDefault="005C47C1" w:rsidP="003269BC">
      <w:pPr>
        <w:pStyle w:val="ListParagraph"/>
        <w:numPr>
          <w:ilvl w:val="0"/>
          <w:numId w:val="26"/>
        </w:numPr>
        <w:spacing w:after="240"/>
        <w:ind w:left="567" w:hanging="567"/>
        <w:jc w:val="both"/>
        <w:rPr>
          <w:rFonts w:cs="Arial"/>
          <w:bCs/>
          <w:szCs w:val="22"/>
        </w:rPr>
      </w:pPr>
      <w:r w:rsidRPr="008F70BE">
        <w:rPr>
          <w:rFonts w:cs="Arial"/>
          <w:bCs/>
          <w:szCs w:val="22"/>
        </w:rPr>
        <w:t xml:space="preserve">The </w:t>
      </w:r>
      <w:r w:rsidR="00655C41">
        <w:rPr>
          <w:rFonts w:cs="Arial"/>
          <w:bCs/>
          <w:szCs w:val="22"/>
        </w:rPr>
        <w:t xml:space="preserve">responsible gambling strategies identified in the CIA and the submitted Responsible Gambling Manual for the premise </w:t>
      </w:r>
      <w:r w:rsidRPr="008F70BE">
        <w:rPr>
          <w:rFonts w:cs="Arial"/>
          <w:bCs/>
          <w:szCs w:val="22"/>
        </w:rPr>
        <w:t xml:space="preserve">are compliant with the current Code of Practice for Responsible Gambling in the Northern Territory </w:t>
      </w:r>
      <w:r w:rsidR="00655C41">
        <w:rPr>
          <w:rFonts w:cs="Arial"/>
          <w:bCs/>
          <w:szCs w:val="22"/>
        </w:rPr>
        <w:t>as well as the relevant legislation</w:t>
      </w:r>
    </w:p>
    <w:p w:rsidR="00C96786" w:rsidRPr="00587446" w:rsidRDefault="00D17A30" w:rsidP="00D65EDC">
      <w:pPr>
        <w:pStyle w:val="ListParagraph"/>
        <w:keepNext/>
        <w:spacing w:after="120"/>
        <w:ind w:left="0"/>
        <w:jc w:val="both"/>
        <w:rPr>
          <w:rStyle w:val="Emphasis"/>
          <w:b/>
          <w:i w:val="0"/>
        </w:rPr>
      </w:pPr>
      <w:r w:rsidRPr="00587446">
        <w:rPr>
          <w:rStyle w:val="Emphasis"/>
          <w:b/>
          <w:i w:val="0"/>
        </w:rPr>
        <w:lastRenderedPageBreak/>
        <w:t>Economic impact - contribution to the community, employment creation and significance/reliance of the venue to or on tourism</w:t>
      </w:r>
    </w:p>
    <w:p w:rsidR="000D2696" w:rsidRDefault="00655C41" w:rsidP="00D65EDC">
      <w:pPr>
        <w:pStyle w:val="ListParagraph"/>
        <w:keepLines/>
        <w:numPr>
          <w:ilvl w:val="0"/>
          <w:numId w:val="26"/>
        </w:numPr>
        <w:spacing w:after="240"/>
        <w:ind w:left="567" w:hanging="567"/>
        <w:jc w:val="both"/>
        <w:rPr>
          <w:rFonts w:cs="Arial"/>
          <w:bCs/>
          <w:szCs w:val="22"/>
        </w:rPr>
      </w:pPr>
      <w:r w:rsidRPr="001523E8">
        <w:rPr>
          <w:rFonts w:cs="Arial"/>
          <w:bCs/>
          <w:szCs w:val="22"/>
        </w:rPr>
        <w:t>T</w:t>
      </w:r>
      <w:r w:rsidR="00DD0C69" w:rsidRPr="001523E8">
        <w:rPr>
          <w:rFonts w:cs="Arial"/>
          <w:bCs/>
          <w:szCs w:val="22"/>
        </w:rPr>
        <w:t xml:space="preserve">he CIA states that the venue has </w:t>
      </w:r>
      <w:r w:rsidRPr="001523E8">
        <w:rPr>
          <w:rFonts w:cs="Arial"/>
          <w:bCs/>
          <w:szCs w:val="22"/>
        </w:rPr>
        <w:t>in the past</w:t>
      </w:r>
      <w:r w:rsidR="006A6C85">
        <w:rPr>
          <w:rFonts w:cs="Arial"/>
          <w:bCs/>
          <w:szCs w:val="22"/>
        </w:rPr>
        <w:t xml:space="preserve"> assisted,</w:t>
      </w:r>
      <w:r w:rsidRPr="001523E8">
        <w:rPr>
          <w:rFonts w:cs="Arial"/>
          <w:bCs/>
          <w:szCs w:val="22"/>
        </w:rPr>
        <w:t xml:space="preserve"> and will continue to assist</w:t>
      </w:r>
      <w:r w:rsidR="006A6C85">
        <w:rPr>
          <w:rFonts w:cs="Arial"/>
          <w:bCs/>
          <w:szCs w:val="22"/>
        </w:rPr>
        <w:t>,</w:t>
      </w:r>
      <w:r w:rsidRPr="001523E8">
        <w:rPr>
          <w:rFonts w:cs="Arial"/>
          <w:bCs/>
          <w:szCs w:val="22"/>
        </w:rPr>
        <w:t xml:space="preserve"> sporting and charitable organisations in the Berry Springs district </w:t>
      </w:r>
      <w:r w:rsidR="00DD0C69" w:rsidRPr="001523E8">
        <w:rPr>
          <w:rFonts w:cs="Arial"/>
          <w:bCs/>
          <w:szCs w:val="22"/>
        </w:rPr>
        <w:t xml:space="preserve">through donation and sponsorship.  </w:t>
      </w:r>
      <w:r w:rsidR="000D2696" w:rsidRPr="001523E8">
        <w:rPr>
          <w:rFonts w:cs="Arial"/>
          <w:bCs/>
          <w:szCs w:val="22"/>
        </w:rPr>
        <w:t xml:space="preserve">The </w:t>
      </w:r>
      <w:r w:rsidR="001523E8">
        <w:rPr>
          <w:rFonts w:cs="Arial"/>
          <w:bCs/>
          <w:szCs w:val="22"/>
        </w:rPr>
        <w:t>Applicant</w:t>
      </w:r>
      <w:r w:rsidR="000D2696" w:rsidRPr="001523E8">
        <w:rPr>
          <w:rFonts w:cs="Arial"/>
          <w:bCs/>
          <w:szCs w:val="22"/>
        </w:rPr>
        <w:t xml:space="preserve"> states tha</w:t>
      </w:r>
      <w:r w:rsidR="001523E8">
        <w:rPr>
          <w:rFonts w:cs="Arial"/>
          <w:bCs/>
          <w:szCs w:val="22"/>
        </w:rPr>
        <w:t>t the venue currently employs 33</w:t>
      </w:r>
      <w:r w:rsidR="000D2696" w:rsidRPr="001523E8">
        <w:rPr>
          <w:rFonts w:cs="Arial"/>
          <w:bCs/>
          <w:szCs w:val="22"/>
        </w:rPr>
        <w:t xml:space="preserve"> staff</w:t>
      </w:r>
      <w:r w:rsidR="001523E8">
        <w:rPr>
          <w:rFonts w:cs="Arial"/>
          <w:bCs/>
          <w:szCs w:val="22"/>
        </w:rPr>
        <w:t xml:space="preserve"> comprising seven full time employees, two apprentices and 14 casual staff</w:t>
      </w:r>
      <w:r w:rsidR="000D2696" w:rsidRPr="001523E8">
        <w:rPr>
          <w:rFonts w:cs="Arial"/>
          <w:bCs/>
          <w:szCs w:val="22"/>
        </w:rPr>
        <w:t xml:space="preserve"> with </w:t>
      </w:r>
      <w:r w:rsidR="001523E8">
        <w:rPr>
          <w:rFonts w:cs="Arial"/>
          <w:bCs/>
          <w:szCs w:val="22"/>
        </w:rPr>
        <w:t>the majority of staff</w:t>
      </w:r>
      <w:r w:rsidR="000D2696" w:rsidRPr="001523E8">
        <w:rPr>
          <w:rFonts w:cs="Arial"/>
          <w:bCs/>
          <w:szCs w:val="22"/>
        </w:rPr>
        <w:t xml:space="preserve"> coming fr</w:t>
      </w:r>
      <w:r w:rsidR="001523E8">
        <w:rPr>
          <w:rFonts w:cs="Arial"/>
          <w:bCs/>
          <w:szCs w:val="22"/>
        </w:rPr>
        <w:t xml:space="preserve">om within the LCA.  The Applicant </w:t>
      </w:r>
      <w:r w:rsidR="000D2696" w:rsidRPr="001523E8">
        <w:rPr>
          <w:rFonts w:cs="Arial"/>
          <w:bCs/>
          <w:szCs w:val="22"/>
        </w:rPr>
        <w:t>anticipate</w:t>
      </w:r>
      <w:r w:rsidR="001523E8">
        <w:rPr>
          <w:rFonts w:cs="Arial"/>
          <w:bCs/>
          <w:szCs w:val="22"/>
        </w:rPr>
        <w:t>s</w:t>
      </w:r>
      <w:r w:rsidR="000D2696" w:rsidRPr="001523E8">
        <w:rPr>
          <w:rFonts w:cs="Arial"/>
          <w:bCs/>
          <w:szCs w:val="22"/>
        </w:rPr>
        <w:t xml:space="preserve"> that </w:t>
      </w:r>
      <w:r w:rsidR="001523E8">
        <w:rPr>
          <w:rFonts w:cs="Arial"/>
          <w:bCs/>
          <w:szCs w:val="22"/>
        </w:rPr>
        <w:t xml:space="preserve">up to three </w:t>
      </w:r>
      <w:r w:rsidR="000D2696" w:rsidRPr="001523E8">
        <w:rPr>
          <w:rFonts w:cs="Arial"/>
          <w:bCs/>
          <w:szCs w:val="22"/>
        </w:rPr>
        <w:t xml:space="preserve">additional </w:t>
      </w:r>
      <w:r w:rsidR="001523E8">
        <w:rPr>
          <w:rFonts w:cs="Arial"/>
          <w:bCs/>
          <w:szCs w:val="22"/>
        </w:rPr>
        <w:t xml:space="preserve">full time </w:t>
      </w:r>
      <w:r w:rsidR="000D2696" w:rsidRPr="001523E8">
        <w:rPr>
          <w:rFonts w:cs="Arial"/>
          <w:bCs/>
          <w:szCs w:val="22"/>
        </w:rPr>
        <w:t xml:space="preserve">staff may be required should the application </w:t>
      </w:r>
      <w:r w:rsidR="001523E8">
        <w:rPr>
          <w:rFonts w:cs="Arial"/>
          <w:bCs/>
          <w:szCs w:val="22"/>
        </w:rPr>
        <w:t xml:space="preserve">for a gaming machine licence </w:t>
      </w:r>
      <w:r w:rsidR="000D2696" w:rsidRPr="001523E8">
        <w:rPr>
          <w:rFonts w:cs="Arial"/>
          <w:bCs/>
          <w:szCs w:val="22"/>
        </w:rPr>
        <w:t>be approved.</w:t>
      </w:r>
    </w:p>
    <w:p w:rsidR="001523E8" w:rsidRPr="001523E8" w:rsidRDefault="001523E8" w:rsidP="003269BC">
      <w:pPr>
        <w:pStyle w:val="ListParagraph"/>
        <w:numPr>
          <w:ilvl w:val="0"/>
          <w:numId w:val="26"/>
        </w:numPr>
        <w:spacing w:after="240"/>
        <w:ind w:left="567" w:hanging="567"/>
        <w:jc w:val="both"/>
        <w:rPr>
          <w:rFonts w:cs="Arial"/>
          <w:bCs/>
          <w:szCs w:val="22"/>
        </w:rPr>
      </w:pPr>
      <w:r>
        <w:rPr>
          <w:rFonts w:cs="Arial"/>
          <w:bCs/>
          <w:szCs w:val="22"/>
        </w:rPr>
        <w:t xml:space="preserve">The venue has established a coordinated bottle recycling process with 100% of proceeds being donated to the local school. </w:t>
      </w:r>
      <w:r w:rsidR="00D65EDC">
        <w:rPr>
          <w:rFonts w:cs="Arial"/>
          <w:bCs/>
          <w:szCs w:val="22"/>
        </w:rPr>
        <w:t xml:space="preserve"> </w:t>
      </w:r>
      <w:r>
        <w:rPr>
          <w:rFonts w:cs="Arial"/>
          <w:bCs/>
          <w:szCs w:val="22"/>
        </w:rPr>
        <w:t xml:space="preserve">The venue also provides a </w:t>
      </w:r>
      <w:r w:rsidR="006A6C85">
        <w:rPr>
          <w:rFonts w:cs="Arial"/>
          <w:bCs/>
          <w:szCs w:val="22"/>
        </w:rPr>
        <w:t>Justice of the Peace service fro</w:t>
      </w:r>
      <w:r>
        <w:rPr>
          <w:rFonts w:cs="Arial"/>
          <w:bCs/>
          <w:szCs w:val="22"/>
        </w:rPr>
        <w:t xml:space="preserve">m the local community twice per month.  Local sporting organisations </w:t>
      </w:r>
      <w:r w:rsidR="00506B81">
        <w:rPr>
          <w:rFonts w:cs="Arial"/>
          <w:bCs/>
          <w:szCs w:val="22"/>
        </w:rPr>
        <w:t>currently</w:t>
      </w:r>
      <w:r>
        <w:rPr>
          <w:rFonts w:cs="Arial"/>
          <w:bCs/>
          <w:szCs w:val="22"/>
        </w:rPr>
        <w:t xml:space="preserve"> con</w:t>
      </w:r>
      <w:r w:rsidR="00D65EDC">
        <w:rPr>
          <w:rFonts w:cs="Arial"/>
          <w:bCs/>
          <w:szCs w:val="22"/>
        </w:rPr>
        <w:t>duct fu</w:t>
      </w:r>
      <w:r w:rsidR="00C33892">
        <w:rPr>
          <w:rFonts w:cs="Arial"/>
          <w:bCs/>
          <w:szCs w:val="22"/>
        </w:rPr>
        <w:t>nd raising activities wit</w:t>
      </w:r>
      <w:r>
        <w:rPr>
          <w:rFonts w:cs="Arial"/>
          <w:bCs/>
          <w:szCs w:val="22"/>
        </w:rPr>
        <w:t>hin the premises.</w:t>
      </w:r>
    </w:p>
    <w:p w:rsidR="000D2696" w:rsidRPr="008F70BE" w:rsidRDefault="000D2696" w:rsidP="003269BC">
      <w:pPr>
        <w:pStyle w:val="ListParagraph"/>
        <w:numPr>
          <w:ilvl w:val="0"/>
          <w:numId w:val="26"/>
        </w:numPr>
        <w:spacing w:after="240"/>
        <w:ind w:left="567" w:hanging="567"/>
        <w:jc w:val="both"/>
        <w:rPr>
          <w:rFonts w:cs="Arial"/>
          <w:szCs w:val="24"/>
        </w:rPr>
      </w:pPr>
      <w:r w:rsidRPr="008F70BE">
        <w:rPr>
          <w:rFonts w:cs="Arial"/>
          <w:bCs/>
          <w:szCs w:val="22"/>
        </w:rPr>
        <w:t xml:space="preserve">The CIA </w:t>
      </w:r>
      <w:r w:rsidR="00C33892">
        <w:rPr>
          <w:rFonts w:cs="Arial"/>
          <w:bCs/>
          <w:szCs w:val="22"/>
        </w:rPr>
        <w:t>estimates that the gross profit from gaming machine activity in the first 12 months of operation will be in the order of $300</w:t>
      </w:r>
      <w:r w:rsidR="00D65EDC">
        <w:rPr>
          <w:rFonts w:cs="Arial"/>
          <w:bCs/>
          <w:szCs w:val="22"/>
        </w:rPr>
        <w:t xml:space="preserve"> </w:t>
      </w:r>
      <w:r w:rsidR="00C33892">
        <w:rPr>
          <w:rFonts w:cs="Arial"/>
          <w:bCs/>
          <w:szCs w:val="22"/>
        </w:rPr>
        <w:t>000</w:t>
      </w:r>
      <w:r w:rsidR="00497D0C">
        <w:rPr>
          <w:rFonts w:cs="Arial"/>
          <w:bCs/>
          <w:szCs w:val="22"/>
        </w:rPr>
        <w:t xml:space="preserve">, based necessarily on comparison with the closest existing gaming venues being the Litchfield and Noonamah Taverns. </w:t>
      </w:r>
    </w:p>
    <w:p w:rsidR="00E30907" w:rsidRDefault="00D65EDC" w:rsidP="003269BC">
      <w:pPr>
        <w:pStyle w:val="ListParagraph"/>
        <w:numPr>
          <w:ilvl w:val="0"/>
          <w:numId w:val="26"/>
        </w:numPr>
        <w:spacing w:after="240"/>
        <w:ind w:left="567" w:hanging="567"/>
        <w:jc w:val="both"/>
        <w:rPr>
          <w:rFonts w:cs="Arial"/>
          <w:szCs w:val="24"/>
        </w:rPr>
      </w:pPr>
      <w:r>
        <w:rPr>
          <w:rFonts w:cs="Arial"/>
          <w:szCs w:val="24"/>
        </w:rPr>
        <w:t>Consultations have occurred, through the CIA process with a variety of persons and organisations to gauge the general attitude to this application.  Responses received generally indicate that whilst there is some dislike of gaming machines generally, there is no strong opposition to this venue in particular being granted authorisation to install gaming machines.</w:t>
      </w:r>
    </w:p>
    <w:p w:rsidR="006C3BE8" w:rsidRPr="007B2699" w:rsidRDefault="00432AA1" w:rsidP="007B2699">
      <w:pPr>
        <w:pStyle w:val="Heading3"/>
        <w:rPr>
          <w:szCs w:val="24"/>
        </w:rPr>
      </w:pPr>
      <w:r w:rsidRPr="007B2699">
        <w:rPr>
          <w:szCs w:val="24"/>
        </w:rPr>
        <w:t>Business reputation and financial stability of the applicant body corporate and its officers</w:t>
      </w:r>
    </w:p>
    <w:p w:rsidR="006C3BE8" w:rsidRPr="009808F7" w:rsidRDefault="006C3BE8" w:rsidP="003269BC">
      <w:pPr>
        <w:pStyle w:val="ListParagraph"/>
        <w:numPr>
          <w:ilvl w:val="0"/>
          <w:numId w:val="26"/>
        </w:numPr>
        <w:spacing w:after="240"/>
        <w:ind w:left="567" w:hanging="567"/>
        <w:jc w:val="both"/>
        <w:rPr>
          <w:rFonts w:cs="Arial"/>
          <w:b/>
          <w:szCs w:val="24"/>
        </w:rPr>
      </w:pPr>
      <w:r>
        <w:rPr>
          <w:rFonts w:cs="Arial"/>
          <w:szCs w:val="24"/>
        </w:rPr>
        <w:t>The Berry Springs Tavern commenced trading in November 2014.  As a result the assessment of business reputation of Sloaney Pty Ltd is only able to be measured against its performance for that relatively short period.</w:t>
      </w:r>
      <w:r w:rsidR="009808F7">
        <w:rPr>
          <w:rFonts w:cs="Arial"/>
          <w:szCs w:val="24"/>
        </w:rPr>
        <w:t xml:space="preserve">  Not surprisingly the company made a small loss in the 2013/14 financial year due to the fact the Tavern did not commence trading until that financial year had concluded. </w:t>
      </w:r>
      <w:r w:rsidR="000D57AF">
        <w:rPr>
          <w:rFonts w:cs="Arial"/>
          <w:szCs w:val="24"/>
        </w:rPr>
        <w:t xml:space="preserve"> </w:t>
      </w:r>
      <w:r w:rsidR="009808F7">
        <w:rPr>
          <w:rFonts w:cs="Arial"/>
          <w:szCs w:val="24"/>
        </w:rPr>
        <w:t>The company did however e</w:t>
      </w:r>
      <w:r>
        <w:rPr>
          <w:rFonts w:cs="Arial"/>
          <w:szCs w:val="24"/>
        </w:rPr>
        <w:t>njoy a reasonable profit for the 2014/15 financial year as evidenced by the fina</w:t>
      </w:r>
      <w:r w:rsidR="009808F7">
        <w:rPr>
          <w:rFonts w:cs="Arial"/>
          <w:szCs w:val="24"/>
        </w:rPr>
        <w:t>n</w:t>
      </w:r>
      <w:r>
        <w:rPr>
          <w:rFonts w:cs="Arial"/>
          <w:szCs w:val="24"/>
        </w:rPr>
        <w:t>cial statement for that period lodged with the application.</w:t>
      </w:r>
    </w:p>
    <w:p w:rsidR="009808F7" w:rsidRPr="009808F7" w:rsidRDefault="009808F7" w:rsidP="003269BC">
      <w:pPr>
        <w:pStyle w:val="ListParagraph"/>
        <w:numPr>
          <w:ilvl w:val="0"/>
          <w:numId w:val="26"/>
        </w:numPr>
        <w:spacing w:after="240"/>
        <w:ind w:left="567" w:hanging="567"/>
        <w:jc w:val="both"/>
        <w:rPr>
          <w:rFonts w:cs="Arial"/>
          <w:b/>
          <w:szCs w:val="24"/>
        </w:rPr>
      </w:pPr>
      <w:r>
        <w:rPr>
          <w:rFonts w:cs="Arial"/>
          <w:szCs w:val="24"/>
        </w:rPr>
        <w:t>The directors of Sloaney Pty Ltd are Mr Ian Sloan and M</w:t>
      </w:r>
      <w:r w:rsidR="00CD4BAC">
        <w:rPr>
          <w:rFonts w:cs="Arial"/>
          <w:szCs w:val="24"/>
        </w:rPr>
        <w:t>r</w:t>
      </w:r>
      <w:r>
        <w:rPr>
          <w:rFonts w:cs="Arial"/>
          <w:szCs w:val="24"/>
        </w:rPr>
        <w:t>s Leah Sloan who have submitted a statement of assets prepared by their accountant.  That statement indicates that directors’ personal and business assets significantly exceed liabilities.</w:t>
      </w:r>
    </w:p>
    <w:p w:rsidR="009808F7" w:rsidRPr="009808F7" w:rsidRDefault="009808F7" w:rsidP="003269BC">
      <w:pPr>
        <w:pStyle w:val="ListParagraph"/>
        <w:numPr>
          <w:ilvl w:val="0"/>
          <w:numId w:val="26"/>
        </w:numPr>
        <w:spacing w:after="240"/>
        <w:ind w:left="567" w:hanging="567"/>
        <w:jc w:val="both"/>
        <w:rPr>
          <w:rFonts w:cs="Arial"/>
          <w:szCs w:val="24"/>
        </w:rPr>
      </w:pPr>
      <w:r w:rsidRPr="009808F7">
        <w:rPr>
          <w:rFonts w:cs="Arial"/>
          <w:szCs w:val="24"/>
        </w:rPr>
        <w:t xml:space="preserve">Taking account of the fact that business conducted at the Tavern is relatively new, I am satisfied that the business reputation and financial stability of the company and </w:t>
      </w:r>
      <w:r w:rsidR="00506B81" w:rsidRPr="009808F7">
        <w:rPr>
          <w:rFonts w:cs="Arial"/>
          <w:szCs w:val="24"/>
        </w:rPr>
        <w:t>its</w:t>
      </w:r>
      <w:r w:rsidRPr="009808F7">
        <w:rPr>
          <w:rFonts w:cs="Arial"/>
          <w:szCs w:val="24"/>
        </w:rPr>
        <w:t xml:space="preserve"> directors are sound.</w:t>
      </w:r>
    </w:p>
    <w:p w:rsidR="00432AA1" w:rsidRPr="009808F7" w:rsidRDefault="00432AA1" w:rsidP="007B2699">
      <w:pPr>
        <w:spacing w:after="120"/>
        <w:jc w:val="both"/>
        <w:rPr>
          <w:rFonts w:cs="Arial"/>
          <w:b/>
          <w:sz w:val="24"/>
          <w:szCs w:val="24"/>
        </w:rPr>
      </w:pPr>
      <w:r w:rsidRPr="007B2699">
        <w:rPr>
          <w:rFonts w:cs="Arial"/>
          <w:b/>
          <w:szCs w:val="24"/>
        </w:rPr>
        <w:t>Fitness and propriety of the applicant and persons able to influence the conduct of the business</w:t>
      </w:r>
    </w:p>
    <w:p w:rsidR="009808F7" w:rsidRPr="00551CCE" w:rsidRDefault="007B2699" w:rsidP="003269BC">
      <w:pPr>
        <w:pStyle w:val="ListParagraph"/>
        <w:numPr>
          <w:ilvl w:val="0"/>
          <w:numId w:val="26"/>
        </w:numPr>
        <w:spacing w:after="240"/>
        <w:ind w:left="567" w:hanging="567"/>
        <w:jc w:val="both"/>
        <w:rPr>
          <w:rFonts w:cs="Arial"/>
          <w:szCs w:val="24"/>
        </w:rPr>
      </w:pPr>
      <w:r>
        <w:rPr>
          <w:rFonts w:cs="Arial"/>
          <w:szCs w:val="24"/>
        </w:rPr>
        <w:t>Mr and Mrs Sloan</w:t>
      </w:r>
      <w:r w:rsidR="00CD4BAC" w:rsidRPr="00551CCE">
        <w:rPr>
          <w:rFonts w:cs="Arial"/>
          <w:szCs w:val="24"/>
        </w:rPr>
        <w:t xml:space="preserve"> are the sole directors of Sloaney Pty Ltd and nominated as the only person</w:t>
      </w:r>
      <w:r>
        <w:rPr>
          <w:rFonts w:cs="Arial"/>
          <w:szCs w:val="24"/>
        </w:rPr>
        <w:t>s</w:t>
      </w:r>
      <w:r w:rsidR="00CD4BAC" w:rsidRPr="00551CCE">
        <w:rPr>
          <w:rFonts w:cs="Arial"/>
          <w:szCs w:val="24"/>
        </w:rPr>
        <w:t xml:space="preserve"> able to influence the conduct of the business under the existing liquor licence and for the gaming licence should that be granted.</w:t>
      </w:r>
    </w:p>
    <w:p w:rsidR="00CD4BAC" w:rsidRDefault="00CD4BAC" w:rsidP="003269BC">
      <w:pPr>
        <w:pStyle w:val="ListParagraph"/>
        <w:numPr>
          <w:ilvl w:val="0"/>
          <w:numId w:val="26"/>
        </w:numPr>
        <w:spacing w:after="240"/>
        <w:ind w:left="567" w:hanging="567"/>
        <w:jc w:val="both"/>
        <w:rPr>
          <w:rFonts w:cs="Arial"/>
          <w:szCs w:val="24"/>
        </w:rPr>
      </w:pPr>
      <w:r w:rsidRPr="00551CCE">
        <w:rPr>
          <w:rFonts w:cs="Arial"/>
          <w:szCs w:val="24"/>
        </w:rPr>
        <w:t xml:space="preserve">Mrs Sloan is the holder of an Aviation Security Identification Card which is required for her role with a major Australian airline and which is required to be renewed annually.  </w:t>
      </w:r>
      <w:r w:rsidR="00551CCE" w:rsidRPr="00551CCE">
        <w:rPr>
          <w:rFonts w:cs="Arial"/>
          <w:szCs w:val="24"/>
        </w:rPr>
        <w:t>The issue of the Identification Card</w:t>
      </w:r>
      <w:r w:rsidRPr="00551CCE">
        <w:rPr>
          <w:rFonts w:cs="Arial"/>
          <w:szCs w:val="24"/>
        </w:rPr>
        <w:t xml:space="preserve"> is subject to a more rigorous criminal history check than the usual Police criminal history check normally associated with an application of this nature.</w:t>
      </w:r>
      <w:r w:rsidR="00551CCE" w:rsidRPr="00551CCE">
        <w:rPr>
          <w:rFonts w:cs="Arial"/>
          <w:szCs w:val="24"/>
        </w:rPr>
        <w:t xml:space="preserve">  The National Police Certificate obtained in respect of Mr Sloan </w:t>
      </w:r>
      <w:r w:rsidR="00551CCE">
        <w:rPr>
          <w:rFonts w:cs="Arial"/>
          <w:szCs w:val="24"/>
        </w:rPr>
        <w:t xml:space="preserve">records no </w:t>
      </w:r>
      <w:proofErr w:type="spellStart"/>
      <w:r w:rsidR="00551CCE">
        <w:rPr>
          <w:rFonts w:cs="Arial"/>
          <w:szCs w:val="24"/>
        </w:rPr>
        <w:t>disclosable</w:t>
      </w:r>
      <w:proofErr w:type="spellEnd"/>
      <w:r w:rsidR="00551CCE">
        <w:rPr>
          <w:rFonts w:cs="Arial"/>
          <w:szCs w:val="24"/>
        </w:rPr>
        <w:t xml:space="preserve"> </w:t>
      </w:r>
      <w:r w:rsidR="00551CCE" w:rsidRPr="00551CCE">
        <w:rPr>
          <w:rFonts w:cs="Arial"/>
          <w:szCs w:val="24"/>
        </w:rPr>
        <w:t>court outcomes.</w:t>
      </w:r>
    </w:p>
    <w:p w:rsidR="00551CCE" w:rsidRDefault="00551CCE" w:rsidP="003269BC">
      <w:pPr>
        <w:pStyle w:val="ListParagraph"/>
        <w:numPr>
          <w:ilvl w:val="0"/>
          <w:numId w:val="26"/>
        </w:numPr>
        <w:spacing w:after="240"/>
        <w:ind w:left="567" w:hanging="567"/>
        <w:jc w:val="both"/>
        <w:rPr>
          <w:rFonts w:cs="Arial"/>
          <w:szCs w:val="24"/>
        </w:rPr>
      </w:pPr>
      <w:r>
        <w:rPr>
          <w:rFonts w:cs="Arial"/>
          <w:szCs w:val="24"/>
        </w:rPr>
        <w:lastRenderedPageBreak/>
        <w:t xml:space="preserve">Mr and Mrs Sloan have significant expertise and experience in the hospitality industry in the Northern Territory including owning and operating the Virginia Tavern on the outskirts since purchasing the lease </w:t>
      </w:r>
      <w:r w:rsidR="008B2801">
        <w:rPr>
          <w:rFonts w:cs="Arial"/>
          <w:szCs w:val="24"/>
        </w:rPr>
        <w:t>i</w:t>
      </w:r>
      <w:r>
        <w:rPr>
          <w:rFonts w:cs="Arial"/>
          <w:szCs w:val="24"/>
        </w:rPr>
        <w:t>n 2006.  Mr Sloan also has significant experience as operations manager for a number of licensed premises in the Northern Territory.</w:t>
      </w:r>
    </w:p>
    <w:p w:rsidR="00551CCE" w:rsidRPr="00551CCE" w:rsidRDefault="00551CCE" w:rsidP="003269BC">
      <w:pPr>
        <w:pStyle w:val="ListParagraph"/>
        <w:numPr>
          <w:ilvl w:val="0"/>
          <w:numId w:val="26"/>
        </w:numPr>
        <w:spacing w:after="240"/>
        <w:ind w:left="567" w:hanging="567"/>
        <w:jc w:val="both"/>
        <w:rPr>
          <w:rFonts w:cs="Arial"/>
          <w:szCs w:val="24"/>
        </w:rPr>
      </w:pPr>
      <w:r>
        <w:rPr>
          <w:rFonts w:cs="Arial"/>
          <w:szCs w:val="24"/>
        </w:rPr>
        <w:t>I am satisfied that Sloaney Pty Ltd is an appropriate entity to hold a gaming machine licence.  I am also satisfied that Mr and Mrs Sloan are fit and proper persons to manage the business and affairs of a corporation holding a gaming machine licence.</w:t>
      </w:r>
    </w:p>
    <w:p w:rsidR="00E30907" w:rsidRPr="00587446" w:rsidRDefault="00E30907" w:rsidP="003269BC">
      <w:pPr>
        <w:pStyle w:val="Heading3"/>
        <w:ind w:left="567" w:hanging="567"/>
      </w:pPr>
      <w:r w:rsidRPr="00587446">
        <w:t>Written submissions in response to the application</w:t>
      </w:r>
    </w:p>
    <w:p w:rsidR="00497D0C" w:rsidRDefault="00E30907" w:rsidP="003269BC">
      <w:pPr>
        <w:pStyle w:val="ListParagraph"/>
        <w:numPr>
          <w:ilvl w:val="0"/>
          <w:numId w:val="26"/>
        </w:numPr>
        <w:spacing w:after="240"/>
        <w:ind w:left="567" w:hanging="567"/>
        <w:jc w:val="both"/>
        <w:rPr>
          <w:rFonts w:cs="Arial"/>
          <w:szCs w:val="24"/>
        </w:rPr>
      </w:pPr>
      <w:r w:rsidRPr="00655618">
        <w:rPr>
          <w:rFonts w:cs="Arial"/>
          <w:szCs w:val="24"/>
        </w:rPr>
        <w:t>As requir</w:t>
      </w:r>
      <w:r w:rsidR="006A6C85">
        <w:rPr>
          <w:rFonts w:cs="Arial"/>
          <w:szCs w:val="24"/>
        </w:rPr>
        <w:t>ed by section 24A</w:t>
      </w:r>
      <w:r w:rsidRPr="00655618">
        <w:rPr>
          <w:rFonts w:cs="Arial"/>
          <w:szCs w:val="24"/>
        </w:rPr>
        <w:t xml:space="preserve"> of the Act, the application was advertised in the Northern Territory News on </w:t>
      </w:r>
      <w:r w:rsidR="00497D0C">
        <w:rPr>
          <w:rFonts w:cs="Arial"/>
          <w:szCs w:val="24"/>
        </w:rPr>
        <w:t>31 July</w:t>
      </w:r>
      <w:r w:rsidRPr="00655618">
        <w:rPr>
          <w:rFonts w:cs="Arial"/>
          <w:szCs w:val="24"/>
        </w:rPr>
        <w:t xml:space="preserve"> 2015.  </w:t>
      </w:r>
      <w:r w:rsidR="007B6A96" w:rsidRPr="00655618">
        <w:rPr>
          <w:rFonts w:cs="Arial"/>
          <w:szCs w:val="24"/>
        </w:rPr>
        <w:t xml:space="preserve">Pursuant to the Act, a written submission may be made to </w:t>
      </w:r>
      <w:r w:rsidRPr="00655618">
        <w:rPr>
          <w:rFonts w:cs="Arial"/>
          <w:szCs w:val="24"/>
        </w:rPr>
        <w:t xml:space="preserve">the Director-General </w:t>
      </w:r>
      <w:r w:rsidR="007B6A96" w:rsidRPr="00B3067F">
        <w:rPr>
          <w:rFonts w:cs="Arial"/>
          <w:szCs w:val="24"/>
        </w:rPr>
        <w:t xml:space="preserve">within 30 days of the notification.  </w:t>
      </w:r>
      <w:r w:rsidR="00497D0C">
        <w:rPr>
          <w:rFonts w:cs="Arial"/>
          <w:szCs w:val="24"/>
        </w:rPr>
        <w:t xml:space="preserve">No </w:t>
      </w:r>
      <w:r w:rsidR="007B6A96" w:rsidRPr="00B3067F">
        <w:rPr>
          <w:rFonts w:cs="Arial"/>
          <w:szCs w:val="24"/>
        </w:rPr>
        <w:t>submission</w:t>
      </w:r>
      <w:r w:rsidR="00497D0C">
        <w:rPr>
          <w:rFonts w:cs="Arial"/>
          <w:szCs w:val="24"/>
        </w:rPr>
        <w:t>s</w:t>
      </w:r>
      <w:r w:rsidR="00F37CFA" w:rsidRPr="00B3067F">
        <w:rPr>
          <w:rFonts w:cs="Arial"/>
          <w:szCs w:val="24"/>
        </w:rPr>
        <w:t xml:space="preserve"> </w:t>
      </w:r>
      <w:r w:rsidR="00497D0C">
        <w:rPr>
          <w:rFonts w:cs="Arial"/>
          <w:szCs w:val="24"/>
        </w:rPr>
        <w:t>were</w:t>
      </w:r>
      <w:r w:rsidR="007B6A96" w:rsidRPr="00B3067F">
        <w:rPr>
          <w:rFonts w:cs="Arial"/>
          <w:szCs w:val="24"/>
        </w:rPr>
        <w:t xml:space="preserve"> </w:t>
      </w:r>
      <w:r w:rsidRPr="00B3067F">
        <w:rPr>
          <w:rFonts w:cs="Arial"/>
          <w:szCs w:val="24"/>
        </w:rPr>
        <w:t xml:space="preserve">received </w:t>
      </w:r>
      <w:r w:rsidR="00497D0C">
        <w:rPr>
          <w:rFonts w:cs="Arial"/>
          <w:szCs w:val="24"/>
        </w:rPr>
        <w:t>during the relevant period.</w:t>
      </w:r>
    </w:p>
    <w:p w:rsidR="00E30907" w:rsidRPr="00B3067F" w:rsidRDefault="00497D0C" w:rsidP="003269BC">
      <w:pPr>
        <w:pStyle w:val="ListParagraph"/>
        <w:numPr>
          <w:ilvl w:val="0"/>
          <w:numId w:val="26"/>
        </w:numPr>
        <w:spacing w:after="240"/>
        <w:ind w:left="567" w:hanging="567"/>
        <w:jc w:val="both"/>
        <w:rPr>
          <w:rFonts w:cs="Arial"/>
          <w:szCs w:val="24"/>
        </w:rPr>
      </w:pPr>
      <w:r>
        <w:rPr>
          <w:rFonts w:cs="Arial"/>
          <w:szCs w:val="24"/>
        </w:rPr>
        <w:t xml:space="preserve">The Applicant met with </w:t>
      </w:r>
      <w:r w:rsidR="00B3132D">
        <w:rPr>
          <w:rFonts w:cs="Arial"/>
          <w:szCs w:val="24"/>
        </w:rPr>
        <w:t>representatives</w:t>
      </w:r>
      <w:r>
        <w:rPr>
          <w:rFonts w:cs="Arial"/>
          <w:szCs w:val="24"/>
        </w:rPr>
        <w:t xml:space="preserve"> of </w:t>
      </w:r>
      <w:r w:rsidR="00E30907" w:rsidRPr="00B3067F">
        <w:rPr>
          <w:rFonts w:cs="Arial"/>
          <w:szCs w:val="24"/>
        </w:rPr>
        <w:t xml:space="preserve">Amity </w:t>
      </w:r>
      <w:r w:rsidR="007B6A96" w:rsidRPr="00B3067F">
        <w:rPr>
          <w:rFonts w:cs="Arial"/>
          <w:szCs w:val="24"/>
        </w:rPr>
        <w:t xml:space="preserve">Community Services </w:t>
      </w:r>
      <w:r w:rsidR="00B3132D" w:rsidRPr="00B3067F">
        <w:rPr>
          <w:rFonts w:cs="Arial"/>
          <w:szCs w:val="24"/>
        </w:rPr>
        <w:t>Inc.</w:t>
      </w:r>
      <w:r w:rsidR="00F15ED0" w:rsidRPr="00B3067F">
        <w:rPr>
          <w:rFonts w:cs="Arial"/>
          <w:szCs w:val="24"/>
        </w:rPr>
        <w:t xml:space="preserve">, </w:t>
      </w:r>
      <w:r>
        <w:rPr>
          <w:rFonts w:cs="Arial"/>
          <w:szCs w:val="24"/>
        </w:rPr>
        <w:t xml:space="preserve">on 4 and 17 June 2015 to discuss the application and harm amelioration issues.  The Applicant invited Amity to view the premises and provide an assessment of compliance with the code of conduct for gambling activity and also arranged for Amity to </w:t>
      </w:r>
      <w:r w:rsidR="00F05807">
        <w:rPr>
          <w:rFonts w:cs="Arial"/>
          <w:szCs w:val="24"/>
        </w:rPr>
        <w:t xml:space="preserve">deliver </w:t>
      </w:r>
      <w:r w:rsidR="00B3132D">
        <w:rPr>
          <w:rFonts w:cs="Arial"/>
          <w:szCs w:val="24"/>
        </w:rPr>
        <w:t>training</w:t>
      </w:r>
      <w:r w:rsidR="00F05807">
        <w:rPr>
          <w:rFonts w:cs="Arial"/>
          <w:szCs w:val="24"/>
        </w:rPr>
        <w:t xml:space="preserve"> </w:t>
      </w:r>
      <w:r w:rsidR="006A6C85">
        <w:rPr>
          <w:rFonts w:cs="Arial"/>
          <w:szCs w:val="24"/>
        </w:rPr>
        <w:t xml:space="preserve">for staff </w:t>
      </w:r>
      <w:r w:rsidR="00F05807">
        <w:rPr>
          <w:rFonts w:cs="Arial"/>
          <w:szCs w:val="24"/>
        </w:rPr>
        <w:t>specific to gambling related risks.</w:t>
      </w:r>
    </w:p>
    <w:p w:rsidR="00DD7F4C" w:rsidRPr="00587446" w:rsidRDefault="00DD7F4C" w:rsidP="003269BC">
      <w:pPr>
        <w:pStyle w:val="Heading3"/>
        <w:ind w:left="567" w:hanging="567"/>
      </w:pPr>
      <w:r w:rsidRPr="00587446">
        <w:t>Hours and days when the premises are open for the sale of liquor</w:t>
      </w:r>
    </w:p>
    <w:p w:rsidR="00CB0992" w:rsidRDefault="00B3132D" w:rsidP="003269BC">
      <w:pPr>
        <w:pStyle w:val="ListParagraph"/>
        <w:keepLines/>
        <w:numPr>
          <w:ilvl w:val="0"/>
          <w:numId w:val="26"/>
        </w:numPr>
        <w:spacing w:after="240"/>
        <w:ind w:left="567" w:hanging="567"/>
        <w:jc w:val="both"/>
        <w:rPr>
          <w:rFonts w:cs="Arial"/>
          <w:bCs/>
          <w:szCs w:val="22"/>
        </w:rPr>
      </w:pPr>
      <w:r>
        <w:rPr>
          <w:rFonts w:cs="Arial"/>
          <w:bCs/>
          <w:szCs w:val="22"/>
        </w:rPr>
        <w:t>T</w:t>
      </w:r>
      <w:r w:rsidR="00DD7F4C" w:rsidRPr="00655618">
        <w:rPr>
          <w:rFonts w:cs="Arial"/>
          <w:bCs/>
          <w:szCs w:val="22"/>
        </w:rPr>
        <w:t xml:space="preserve">he trading hours </w:t>
      </w:r>
      <w:r w:rsidR="00CB0992">
        <w:rPr>
          <w:rFonts w:cs="Arial"/>
          <w:bCs/>
          <w:szCs w:val="22"/>
        </w:rPr>
        <w:t xml:space="preserve">for of on-premise consumption of alcohol are </w:t>
      </w:r>
      <w:r w:rsidR="00DD7F4C" w:rsidRPr="00655618">
        <w:rPr>
          <w:rFonts w:cs="Arial"/>
          <w:bCs/>
          <w:szCs w:val="22"/>
        </w:rPr>
        <w:t xml:space="preserve">from 10.00am to </w:t>
      </w:r>
      <w:r w:rsidR="00CB0992">
        <w:rPr>
          <w:rFonts w:cs="Arial"/>
          <w:bCs/>
          <w:szCs w:val="22"/>
        </w:rPr>
        <w:t>1.00</w:t>
      </w:r>
      <w:r w:rsidR="00904B67">
        <w:rPr>
          <w:rFonts w:cs="Arial"/>
          <w:bCs/>
          <w:szCs w:val="22"/>
        </w:rPr>
        <w:t>a</w:t>
      </w:r>
      <w:r w:rsidR="00CB0992">
        <w:rPr>
          <w:rFonts w:cs="Arial"/>
          <w:bCs/>
          <w:szCs w:val="22"/>
        </w:rPr>
        <w:t>m seven days per week.  The sale of take away alcohol is authorised from 10.00am to 10.00pm from Monday to Friday and 9.00am to 10.00pm on Saturdays and Sundays with no trading on Good Friday or Christmas Day.</w:t>
      </w:r>
    </w:p>
    <w:p w:rsidR="00DD7F4C" w:rsidRPr="00B3067F" w:rsidRDefault="00DD7F4C" w:rsidP="003269BC">
      <w:pPr>
        <w:pStyle w:val="ListParagraph"/>
        <w:numPr>
          <w:ilvl w:val="0"/>
          <w:numId w:val="26"/>
        </w:numPr>
        <w:spacing w:after="240"/>
        <w:ind w:left="567" w:hanging="567"/>
        <w:jc w:val="both"/>
        <w:rPr>
          <w:rFonts w:cs="Arial"/>
          <w:bCs/>
          <w:szCs w:val="22"/>
        </w:rPr>
      </w:pPr>
      <w:r w:rsidRPr="00B3067F">
        <w:rPr>
          <w:rFonts w:cs="Arial"/>
          <w:bCs/>
          <w:szCs w:val="22"/>
        </w:rPr>
        <w:t>The trading hours are reflective of the hours applicable to most licensed premises holding a tavern authority and allowing for late night trading</w:t>
      </w:r>
      <w:r w:rsidR="006A6C85">
        <w:rPr>
          <w:rFonts w:cs="Arial"/>
          <w:bCs/>
          <w:szCs w:val="22"/>
        </w:rPr>
        <w:t>.  However, t</w:t>
      </w:r>
      <w:r w:rsidR="00CB0992">
        <w:rPr>
          <w:rFonts w:cs="Arial"/>
          <w:bCs/>
          <w:szCs w:val="22"/>
        </w:rPr>
        <w:t>he 1.00 pm closure is one hour less than normal</w:t>
      </w:r>
      <w:r w:rsidRPr="00B3067F">
        <w:rPr>
          <w:rFonts w:cs="Arial"/>
          <w:bCs/>
          <w:szCs w:val="22"/>
        </w:rPr>
        <w:t xml:space="preserve"> i.e. </w:t>
      </w:r>
      <w:r w:rsidR="00E015DA">
        <w:rPr>
          <w:rFonts w:cs="Arial"/>
          <w:bCs/>
          <w:szCs w:val="22"/>
        </w:rPr>
        <w:t>the majority of taverns in the NT are authorised to trade</w:t>
      </w:r>
      <w:r w:rsidR="00CB0992">
        <w:rPr>
          <w:rFonts w:cs="Arial"/>
          <w:bCs/>
          <w:szCs w:val="22"/>
        </w:rPr>
        <w:t xml:space="preserve"> until 2.00 am.</w:t>
      </w:r>
    </w:p>
    <w:p w:rsidR="00DD7F4C" w:rsidRPr="00587446" w:rsidRDefault="00DD7F4C" w:rsidP="003269BC">
      <w:pPr>
        <w:pStyle w:val="Heading3"/>
        <w:ind w:left="567" w:hanging="567"/>
      </w:pPr>
      <w:r w:rsidRPr="00587446">
        <w:t>Size, layout and facilities of the premises</w:t>
      </w:r>
    </w:p>
    <w:p w:rsidR="00085C74" w:rsidRDefault="00085C74" w:rsidP="003269BC">
      <w:pPr>
        <w:pStyle w:val="ListParagraph"/>
        <w:keepLines/>
        <w:numPr>
          <w:ilvl w:val="0"/>
          <w:numId w:val="26"/>
        </w:numPr>
        <w:spacing w:after="240"/>
        <w:ind w:left="567" w:hanging="567"/>
        <w:jc w:val="both"/>
        <w:rPr>
          <w:rFonts w:cs="Arial"/>
          <w:bCs/>
          <w:szCs w:val="22"/>
        </w:rPr>
      </w:pPr>
      <w:r>
        <w:rPr>
          <w:rFonts w:cs="Arial"/>
          <w:bCs/>
          <w:szCs w:val="22"/>
        </w:rPr>
        <w:t xml:space="preserve">The proposed layout of the premises indicates that the gaming room comprises </w:t>
      </w:r>
      <w:r w:rsidR="00904B67">
        <w:rPr>
          <w:rFonts w:cs="Arial"/>
          <w:bCs/>
          <w:szCs w:val="22"/>
        </w:rPr>
        <w:t>less than 4</w:t>
      </w:r>
      <w:r>
        <w:rPr>
          <w:rFonts w:cs="Arial"/>
          <w:bCs/>
          <w:szCs w:val="22"/>
        </w:rPr>
        <w:t>% of the total area of the premises, including the external veranda dining areas.  That ratio is considered acceptable and commensurate with the main focus of the business being the sale of meals and alcohol.  Given the total area of the premises there is currently sufficient space to accommodate the location of ten gaming machines should the application be approved.</w:t>
      </w:r>
    </w:p>
    <w:p w:rsidR="00DD7F4C" w:rsidRPr="00B3067F" w:rsidRDefault="00DD7F4C" w:rsidP="003269BC">
      <w:pPr>
        <w:pStyle w:val="ListParagraph"/>
        <w:numPr>
          <w:ilvl w:val="0"/>
          <w:numId w:val="26"/>
        </w:numPr>
        <w:spacing w:after="240"/>
        <w:ind w:left="567" w:hanging="567"/>
        <w:jc w:val="both"/>
        <w:rPr>
          <w:rFonts w:cs="Arial"/>
          <w:bCs/>
          <w:szCs w:val="22"/>
        </w:rPr>
      </w:pPr>
      <w:r w:rsidRPr="00655618">
        <w:rPr>
          <w:rFonts w:cs="Arial"/>
          <w:bCs/>
          <w:szCs w:val="22"/>
        </w:rPr>
        <w:t>The Gaming and Liquor Amendment Bill of 2015 amended the Act to effectively lift the previously imposed cap on authorisations of</w:t>
      </w:r>
      <w:r w:rsidR="0007569C" w:rsidRPr="00655618">
        <w:rPr>
          <w:rFonts w:cs="Arial"/>
          <w:bCs/>
          <w:szCs w:val="22"/>
        </w:rPr>
        <w:t xml:space="preserve"> gaming machines </w:t>
      </w:r>
      <w:r w:rsidRPr="00655618">
        <w:rPr>
          <w:rFonts w:cs="Arial"/>
          <w:bCs/>
          <w:szCs w:val="22"/>
        </w:rPr>
        <w:t xml:space="preserve">in licensed hotels, taverns and clubs in the Northern Territory.  </w:t>
      </w:r>
      <w:r w:rsidRPr="00B3067F">
        <w:rPr>
          <w:rFonts w:cs="Arial"/>
          <w:bCs/>
          <w:szCs w:val="22"/>
        </w:rPr>
        <w:t>At the time of introducing the amendments</w:t>
      </w:r>
      <w:r w:rsidR="0007569C" w:rsidRPr="00B3067F">
        <w:rPr>
          <w:rFonts w:cs="Arial"/>
          <w:bCs/>
          <w:szCs w:val="22"/>
        </w:rPr>
        <w:t>,</w:t>
      </w:r>
      <w:r w:rsidRPr="00B3067F">
        <w:rPr>
          <w:rFonts w:cs="Arial"/>
          <w:bCs/>
          <w:szCs w:val="22"/>
        </w:rPr>
        <w:t xml:space="preserve"> the Minister for </w:t>
      </w:r>
      <w:r w:rsidR="0007569C" w:rsidRPr="00B3067F">
        <w:rPr>
          <w:rFonts w:cs="Arial"/>
          <w:bCs/>
          <w:szCs w:val="22"/>
        </w:rPr>
        <w:t>Racing, Gaming and Licen</w:t>
      </w:r>
      <w:r w:rsidR="0000460D" w:rsidRPr="00B3067F">
        <w:rPr>
          <w:rFonts w:cs="Arial"/>
          <w:bCs/>
          <w:szCs w:val="22"/>
        </w:rPr>
        <w:t>s</w:t>
      </w:r>
      <w:r w:rsidR="0007569C" w:rsidRPr="00B3067F">
        <w:rPr>
          <w:rFonts w:cs="Arial"/>
          <w:bCs/>
          <w:szCs w:val="22"/>
        </w:rPr>
        <w:t>ing</w:t>
      </w:r>
      <w:r w:rsidRPr="00B3067F">
        <w:rPr>
          <w:rFonts w:cs="Arial"/>
          <w:bCs/>
          <w:szCs w:val="22"/>
        </w:rPr>
        <w:t xml:space="preserve"> noted that the arbitrary Territory-wide cap was abolished in favour of a rigorous community impact assessment process for new applications and for applications seeking additional </w:t>
      </w:r>
      <w:r w:rsidR="0000460D" w:rsidRPr="00B3067F">
        <w:rPr>
          <w:rFonts w:cs="Arial"/>
          <w:bCs/>
          <w:szCs w:val="22"/>
        </w:rPr>
        <w:t>gaming machines</w:t>
      </w:r>
      <w:r w:rsidRPr="00B3067F">
        <w:rPr>
          <w:rFonts w:cs="Arial"/>
          <w:bCs/>
          <w:szCs w:val="22"/>
        </w:rPr>
        <w:t xml:space="preserve">.  </w:t>
      </w:r>
    </w:p>
    <w:p w:rsidR="00DD7F4C" w:rsidRPr="00B3067F" w:rsidRDefault="00085C74" w:rsidP="003269BC">
      <w:pPr>
        <w:pStyle w:val="ListParagraph"/>
        <w:numPr>
          <w:ilvl w:val="0"/>
          <w:numId w:val="26"/>
        </w:numPr>
        <w:spacing w:after="240"/>
        <w:ind w:left="567" w:hanging="567"/>
        <w:jc w:val="both"/>
        <w:rPr>
          <w:rFonts w:cs="Arial"/>
          <w:bCs/>
          <w:szCs w:val="22"/>
        </w:rPr>
      </w:pPr>
      <w:r>
        <w:rPr>
          <w:rFonts w:cs="Arial"/>
          <w:bCs/>
          <w:szCs w:val="22"/>
        </w:rPr>
        <w:t>In terms of the requirements of the Act,</w:t>
      </w:r>
      <w:r w:rsidR="00DD7F4C" w:rsidRPr="00B3067F">
        <w:rPr>
          <w:rFonts w:cs="Arial"/>
          <w:bCs/>
          <w:szCs w:val="22"/>
        </w:rPr>
        <w:t xml:space="preserve"> the Applicant the subject of this decision has presented a well prepared application with strong supporting evidence indicating that this application meets the </w:t>
      </w:r>
      <w:r w:rsidR="00DD7F4C" w:rsidRPr="00B3067F">
        <w:rPr>
          <w:rFonts w:cs="Arial"/>
          <w:szCs w:val="24"/>
        </w:rPr>
        <w:t>requirements</w:t>
      </w:r>
      <w:r w:rsidR="00DD7F4C" w:rsidRPr="00B3067F">
        <w:rPr>
          <w:rFonts w:cs="Arial"/>
          <w:bCs/>
          <w:szCs w:val="22"/>
        </w:rPr>
        <w:t xml:space="preserve"> of the Act</w:t>
      </w:r>
      <w:r w:rsidR="00904B67">
        <w:rPr>
          <w:rFonts w:cs="Arial"/>
          <w:bCs/>
          <w:szCs w:val="22"/>
        </w:rPr>
        <w:t xml:space="preserve">. </w:t>
      </w:r>
      <w:r w:rsidR="00DD7F4C" w:rsidRPr="00B3067F">
        <w:rPr>
          <w:rFonts w:cs="Arial"/>
          <w:bCs/>
          <w:szCs w:val="22"/>
        </w:rPr>
        <w:t xml:space="preserve"> </w:t>
      </w:r>
      <w:r>
        <w:rPr>
          <w:rFonts w:cs="Arial"/>
          <w:bCs/>
          <w:szCs w:val="22"/>
        </w:rPr>
        <w:t xml:space="preserve">The Applicant has also presented a well-documented Responsible Gambling Manual and has held discussions with Amity in respect of the minimisation of gambling related harm. </w:t>
      </w:r>
    </w:p>
    <w:p w:rsidR="00DD7F4C" w:rsidRPr="00085C74" w:rsidRDefault="00DD7F4C" w:rsidP="00904B67">
      <w:pPr>
        <w:pStyle w:val="ListParagraph"/>
        <w:keepLines/>
        <w:numPr>
          <w:ilvl w:val="0"/>
          <w:numId w:val="26"/>
        </w:numPr>
        <w:spacing w:after="240"/>
        <w:ind w:left="567" w:hanging="567"/>
        <w:jc w:val="both"/>
        <w:rPr>
          <w:rFonts w:cs="Arial"/>
          <w:bCs/>
          <w:szCs w:val="22"/>
        </w:rPr>
      </w:pPr>
      <w:r w:rsidRPr="00B3067F">
        <w:rPr>
          <w:rFonts w:cs="Arial"/>
          <w:bCs/>
          <w:szCs w:val="22"/>
        </w:rPr>
        <w:lastRenderedPageBreak/>
        <w:t xml:space="preserve">The comprehensive CIA prepared for the purpose of this application </w:t>
      </w:r>
      <w:r w:rsidR="00E015DA">
        <w:rPr>
          <w:rFonts w:cs="Arial"/>
          <w:bCs/>
          <w:szCs w:val="22"/>
        </w:rPr>
        <w:t xml:space="preserve">raises </w:t>
      </w:r>
      <w:r w:rsidRPr="00B3067F">
        <w:rPr>
          <w:rFonts w:cs="Arial"/>
          <w:bCs/>
          <w:szCs w:val="22"/>
        </w:rPr>
        <w:t xml:space="preserve">no issues specific to the </w:t>
      </w:r>
      <w:r w:rsidR="00085C74">
        <w:rPr>
          <w:rFonts w:cs="Arial"/>
          <w:bCs/>
          <w:szCs w:val="22"/>
        </w:rPr>
        <w:t>Berry Springs Tavern</w:t>
      </w:r>
      <w:r w:rsidRPr="00B3067F">
        <w:rPr>
          <w:rFonts w:cs="Arial"/>
          <w:bCs/>
          <w:szCs w:val="22"/>
        </w:rPr>
        <w:t xml:space="preserve"> that would </w:t>
      </w:r>
      <w:r w:rsidR="00085C74">
        <w:rPr>
          <w:rFonts w:cs="Arial"/>
          <w:bCs/>
          <w:szCs w:val="22"/>
        </w:rPr>
        <w:t>support the rejection of</w:t>
      </w:r>
      <w:r w:rsidRPr="00B3067F">
        <w:rPr>
          <w:rFonts w:cs="Arial"/>
          <w:bCs/>
          <w:szCs w:val="22"/>
        </w:rPr>
        <w:t xml:space="preserve"> the application.</w:t>
      </w:r>
      <w:r w:rsidR="00085C74">
        <w:rPr>
          <w:rFonts w:cs="Arial"/>
          <w:bCs/>
          <w:szCs w:val="22"/>
        </w:rPr>
        <w:t xml:space="preserve">  </w:t>
      </w:r>
      <w:r w:rsidRPr="00085C74">
        <w:rPr>
          <w:rFonts w:cs="Arial"/>
          <w:bCs/>
          <w:szCs w:val="22"/>
        </w:rPr>
        <w:t xml:space="preserve">I am satisfied that the Applicant in this instance has in place policies and procedures that will have the effect of minimising the harms </w:t>
      </w:r>
      <w:r w:rsidRPr="00085C74">
        <w:rPr>
          <w:rFonts w:cs="Arial"/>
          <w:szCs w:val="24"/>
        </w:rPr>
        <w:t>associated</w:t>
      </w:r>
      <w:r w:rsidRPr="00085C74">
        <w:rPr>
          <w:rFonts w:cs="Arial"/>
          <w:bCs/>
          <w:szCs w:val="22"/>
        </w:rPr>
        <w:t xml:space="preserve"> with gambling generally and the use </w:t>
      </w:r>
      <w:r w:rsidR="00674E97" w:rsidRPr="00085C74">
        <w:rPr>
          <w:rFonts w:cs="Arial"/>
          <w:bCs/>
          <w:szCs w:val="22"/>
        </w:rPr>
        <w:t>of gaming machines</w:t>
      </w:r>
      <w:r w:rsidRPr="00085C74">
        <w:rPr>
          <w:rFonts w:cs="Arial"/>
          <w:bCs/>
          <w:szCs w:val="22"/>
        </w:rPr>
        <w:t xml:space="preserve"> specifically at the venue under consideration.</w:t>
      </w:r>
    </w:p>
    <w:p w:rsidR="00DD7F4C" w:rsidRDefault="00DD7F4C" w:rsidP="003269BC">
      <w:pPr>
        <w:pStyle w:val="ListParagraph"/>
        <w:numPr>
          <w:ilvl w:val="0"/>
          <w:numId w:val="26"/>
        </w:numPr>
        <w:spacing w:after="120"/>
        <w:ind w:left="567" w:hanging="567"/>
        <w:jc w:val="both"/>
        <w:rPr>
          <w:rFonts w:cs="Arial"/>
          <w:bCs/>
          <w:szCs w:val="22"/>
        </w:rPr>
      </w:pPr>
      <w:r w:rsidRPr="008F70BE">
        <w:rPr>
          <w:rFonts w:cs="Arial"/>
          <w:bCs/>
          <w:szCs w:val="22"/>
        </w:rPr>
        <w:t xml:space="preserve">In addition, the Applicant is known to have a good track record in venue management, both in terms of its existing liquor licence and </w:t>
      </w:r>
      <w:r w:rsidR="00E015DA">
        <w:rPr>
          <w:rFonts w:cs="Arial"/>
          <w:bCs/>
          <w:szCs w:val="22"/>
        </w:rPr>
        <w:t>experience in management positions with a number of licensed premises</w:t>
      </w:r>
      <w:r w:rsidRPr="008F70BE">
        <w:rPr>
          <w:rFonts w:cs="Arial"/>
          <w:bCs/>
          <w:szCs w:val="22"/>
        </w:rPr>
        <w:t>.  As evidenced by the Applicant’s submissions in support of the application, including the content of the CIA, the Applicant intends to incorporate strategies aimed at reducing gaming-related harm if the application is approved.</w:t>
      </w:r>
      <w:r w:rsidR="00085C74">
        <w:rPr>
          <w:rFonts w:cs="Arial"/>
          <w:bCs/>
          <w:szCs w:val="22"/>
        </w:rPr>
        <w:t xml:space="preserve">  It must also be noted that there were no submissions lodged with the Director-General opposing the grant of a gaming machine licence or </w:t>
      </w:r>
      <w:r w:rsidR="003F179A">
        <w:rPr>
          <w:rFonts w:cs="Arial"/>
          <w:bCs/>
          <w:szCs w:val="22"/>
        </w:rPr>
        <w:t>reflecting</w:t>
      </w:r>
      <w:r w:rsidR="00085C74">
        <w:rPr>
          <w:rFonts w:cs="Arial"/>
          <w:bCs/>
          <w:szCs w:val="22"/>
        </w:rPr>
        <w:t xml:space="preserve"> in a negative way on the bona fides of the Applicant.</w:t>
      </w:r>
    </w:p>
    <w:p w:rsidR="006A141D" w:rsidRPr="00F1351E" w:rsidRDefault="006A141D" w:rsidP="003269BC">
      <w:pPr>
        <w:pStyle w:val="Heading3"/>
        <w:ind w:left="567" w:hanging="567"/>
      </w:pPr>
      <w:r>
        <w:t>N</w:t>
      </w:r>
      <w:r w:rsidRPr="00F1351E">
        <w:t>umber of gaming machines</w:t>
      </w:r>
    </w:p>
    <w:p w:rsidR="006A141D" w:rsidRPr="006A141D" w:rsidRDefault="006A141D" w:rsidP="003269BC">
      <w:pPr>
        <w:pStyle w:val="ListParagraph"/>
        <w:numPr>
          <w:ilvl w:val="0"/>
          <w:numId w:val="26"/>
        </w:numPr>
        <w:spacing w:after="120"/>
        <w:ind w:left="567" w:hanging="567"/>
        <w:jc w:val="both"/>
        <w:rPr>
          <w:rFonts w:cs="Arial"/>
          <w:szCs w:val="22"/>
        </w:rPr>
      </w:pPr>
      <w:r w:rsidRPr="006A141D">
        <w:rPr>
          <w:rFonts w:cs="Arial"/>
          <w:szCs w:val="22"/>
        </w:rPr>
        <w:t xml:space="preserve">The Applicant does not currently hold a gaming machine licence and, under this application, has applied for a licence authorising the use of ten gaming machines. </w:t>
      </w:r>
    </w:p>
    <w:p w:rsidR="006A141D" w:rsidRPr="00B3067F" w:rsidRDefault="006A141D" w:rsidP="003269BC">
      <w:pPr>
        <w:pStyle w:val="ListParagraph"/>
        <w:numPr>
          <w:ilvl w:val="0"/>
          <w:numId w:val="26"/>
        </w:numPr>
        <w:spacing w:after="240"/>
        <w:ind w:left="567" w:hanging="567"/>
        <w:jc w:val="both"/>
        <w:rPr>
          <w:rFonts w:cs="Arial"/>
          <w:szCs w:val="24"/>
        </w:rPr>
      </w:pPr>
      <w:r w:rsidRPr="00B3067F">
        <w:rPr>
          <w:rFonts w:cs="Arial"/>
          <w:szCs w:val="22"/>
        </w:rPr>
        <w:t xml:space="preserve">Regulation 3 of the Regulations sets the maximum number of gaming machines for a Category 1 licensed premise at 20.  As the Applicant </w:t>
      </w:r>
      <w:r w:rsidRPr="00B3067F">
        <w:rPr>
          <w:rFonts w:cs="Arial"/>
          <w:szCs w:val="24"/>
        </w:rPr>
        <w:t xml:space="preserve">is the holder of a licence issued under the </w:t>
      </w:r>
      <w:r w:rsidRPr="00B3067F">
        <w:rPr>
          <w:rFonts w:cs="Arial"/>
          <w:i/>
          <w:szCs w:val="24"/>
        </w:rPr>
        <w:t>Liquor Act</w:t>
      </w:r>
      <w:r w:rsidRPr="00B3067F">
        <w:rPr>
          <w:rFonts w:cs="Arial"/>
          <w:szCs w:val="24"/>
        </w:rPr>
        <w:t xml:space="preserve"> endorsed AUTHORITY – TAVERN, which is defined under section 3 of the Act as a hotel liquor licence, the premises are considered to be a Category 1 licensed premise pursuant to 2</w:t>
      </w:r>
      <w:r w:rsidR="00904B67">
        <w:rPr>
          <w:rFonts w:cs="Arial"/>
          <w:szCs w:val="24"/>
        </w:rPr>
        <w:t>(2)</w:t>
      </w:r>
      <w:r w:rsidRPr="00B3067F">
        <w:rPr>
          <w:rFonts w:cs="Arial"/>
          <w:szCs w:val="24"/>
        </w:rPr>
        <w:t>(a) of the Regulations.</w:t>
      </w:r>
    </w:p>
    <w:p w:rsidR="006A141D" w:rsidRPr="006A141D" w:rsidRDefault="006A141D" w:rsidP="003269BC">
      <w:pPr>
        <w:pStyle w:val="ListParagraph"/>
        <w:numPr>
          <w:ilvl w:val="0"/>
          <w:numId w:val="26"/>
        </w:numPr>
        <w:spacing w:after="120"/>
        <w:ind w:left="567" w:hanging="567"/>
        <w:jc w:val="both"/>
        <w:rPr>
          <w:rFonts w:cs="Arial"/>
          <w:szCs w:val="22"/>
        </w:rPr>
      </w:pPr>
      <w:r w:rsidRPr="00B3067F">
        <w:rPr>
          <w:rFonts w:cs="Arial"/>
          <w:szCs w:val="22"/>
        </w:rPr>
        <w:t xml:space="preserve">As such, the Applicant is able to apply for </w:t>
      </w:r>
      <w:r>
        <w:rPr>
          <w:rFonts w:cs="Arial"/>
          <w:szCs w:val="22"/>
        </w:rPr>
        <w:t>authority for a maximum of 20</w:t>
      </w:r>
      <w:r w:rsidRPr="00B3067F">
        <w:rPr>
          <w:rFonts w:cs="Arial"/>
          <w:szCs w:val="22"/>
        </w:rPr>
        <w:t xml:space="preserve"> gaming machines</w:t>
      </w:r>
      <w:r>
        <w:rPr>
          <w:rFonts w:cs="Arial"/>
          <w:szCs w:val="22"/>
        </w:rPr>
        <w:t>.</w:t>
      </w:r>
      <w:r w:rsidRPr="00B3067F">
        <w:rPr>
          <w:rFonts w:cs="Arial"/>
          <w:szCs w:val="22"/>
        </w:rPr>
        <w:t xml:space="preserve"> I am satisfied that the number of gaming machines </w:t>
      </w:r>
      <w:r>
        <w:rPr>
          <w:rFonts w:cs="Arial"/>
          <w:szCs w:val="22"/>
        </w:rPr>
        <w:t>applied for falls below</w:t>
      </w:r>
      <w:r w:rsidRPr="00B3067F">
        <w:rPr>
          <w:rFonts w:cs="Arial"/>
          <w:szCs w:val="22"/>
        </w:rPr>
        <w:t xml:space="preserve"> the statutory limit of 20 gaming machines.</w:t>
      </w:r>
    </w:p>
    <w:p w:rsidR="00DD7F4C" w:rsidRPr="00587446" w:rsidRDefault="00DD7F4C" w:rsidP="003269BC">
      <w:pPr>
        <w:pStyle w:val="Heading2"/>
        <w:ind w:left="567" w:hanging="567"/>
      </w:pPr>
      <w:r w:rsidRPr="00587446">
        <w:t>Decision</w:t>
      </w:r>
    </w:p>
    <w:p w:rsidR="00DD7F4C" w:rsidRDefault="00DD7F4C" w:rsidP="003269BC">
      <w:pPr>
        <w:pStyle w:val="ListParagraph"/>
        <w:keepLines/>
        <w:numPr>
          <w:ilvl w:val="0"/>
          <w:numId w:val="26"/>
        </w:numPr>
        <w:spacing w:after="240"/>
        <w:ind w:left="567" w:hanging="567"/>
        <w:jc w:val="both"/>
        <w:rPr>
          <w:rFonts w:cs="Arial"/>
          <w:bCs/>
          <w:szCs w:val="22"/>
        </w:rPr>
      </w:pPr>
      <w:r w:rsidRPr="00655618">
        <w:rPr>
          <w:rFonts w:cs="Arial"/>
          <w:bCs/>
          <w:szCs w:val="22"/>
        </w:rPr>
        <w:t xml:space="preserve">For the reasons set out above, and in accordance with section </w:t>
      </w:r>
      <w:r w:rsidR="00832D4F">
        <w:rPr>
          <w:rFonts w:cs="Arial"/>
          <w:bCs/>
          <w:szCs w:val="22"/>
        </w:rPr>
        <w:t>25</w:t>
      </w:r>
      <w:r w:rsidRPr="00655618">
        <w:rPr>
          <w:rFonts w:cs="Arial"/>
          <w:bCs/>
          <w:szCs w:val="22"/>
        </w:rPr>
        <w:t xml:space="preserve"> of the Act I have determined to grant the application lodged by </w:t>
      </w:r>
      <w:r w:rsidR="002F2389">
        <w:rPr>
          <w:rFonts w:cs="Arial"/>
          <w:bCs/>
          <w:szCs w:val="22"/>
        </w:rPr>
        <w:t>Sloaney</w:t>
      </w:r>
      <w:r w:rsidRPr="00655618">
        <w:rPr>
          <w:rFonts w:cs="Arial"/>
          <w:bCs/>
          <w:szCs w:val="22"/>
        </w:rPr>
        <w:t xml:space="preserve"> Pty Ltd </w:t>
      </w:r>
      <w:r w:rsidR="002F2389">
        <w:rPr>
          <w:rFonts w:cs="Arial"/>
          <w:bCs/>
          <w:szCs w:val="22"/>
        </w:rPr>
        <w:t xml:space="preserve">for a gamine machine licence authorising the use of ten gaming machines to be </w:t>
      </w:r>
      <w:r w:rsidRPr="00655618">
        <w:rPr>
          <w:rFonts w:cs="Arial"/>
          <w:bCs/>
          <w:szCs w:val="22"/>
        </w:rPr>
        <w:t xml:space="preserve">located at the </w:t>
      </w:r>
      <w:r w:rsidR="002F2389">
        <w:rPr>
          <w:rFonts w:cs="Arial"/>
          <w:bCs/>
          <w:szCs w:val="22"/>
        </w:rPr>
        <w:t>Berry Springs Tavern</w:t>
      </w:r>
      <w:r w:rsidRPr="00B3067F">
        <w:rPr>
          <w:rFonts w:cs="Arial"/>
          <w:bCs/>
          <w:szCs w:val="22"/>
        </w:rPr>
        <w:t>.</w:t>
      </w:r>
    </w:p>
    <w:p w:rsidR="003C234E" w:rsidRDefault="003C234E" w:rsidP="003269BC">
      <w:pPr>
        <w:pStyle w:val="ListParagraph"/>
        <w:numPr>
          <w:ilvl w:val="0"/>
          <w:numId w:val="26"/>
        </w:numPr>
        <w:spacing w:after="240"/>
        <w:ind w:left="567" w:hanging="567"/>
        <w:jc w:val="both"/>
      </w:pPr>
      <w:r>
        <w:t xml:space="preserve">The ten gaming machines </w:t>
      </w:r>
      <w:r w:rsidR="002F2389">
        <w:t>authorised by this decision will</w:t>
      </w:r>
      <w:r>
        <w:t xml:space="preserve"> be included in the s</w:t>
      </w:r>
      <w:r w:rsidR="002F2389">
        <w:t xml:space="preserve">chedule attached to the </w:t>
      </w:r>
      <w:r>
        <w:t xml:space="preserve">licence in which each individual gaming machine is identified and authorised for use.  The schedule will be </w:t>
      </w:r>
      <w:r w:rsidR="00832D4F">
        <w:t>prepared</w:t>
      </w:r>
      <w:r>
        <w:t xml:space="preserve"> upon submission by the Applicant of the detai</w:t>
      </w:r>
      <w:r w:rsidR="002F2389">
        <w:t xml:space="preserve">ls pertaining to the </w:t>
      </w:r>
      <w:r>
        <w:t>ten gaming machines</w:t>
      </w:r>
      <w:r w:rsidR="002F2389">
        <w:t xml:space="preserve"> once purchased</w:t>
      </w:r>
      <w:r>
        <w:t>.</w:t>
      </w:r>
    </w:p>
    <w:p w:rsidR="00DD7F4C" w:rsidRPr="00F1351E" w:rsidRDefault="00DD7F4C" w:rsidP="003269BC">
      <w:pPr>
        <w:pStyle w:val="Heading2"/>
        <w:ind w:left="567" w:hanging="567"/>
      </w:pPr>
      <w:r w:rsidRPr="00F1351E">
        <w:t>Review of Decision</w:t>
      </w:r>
    </w:p>
    <w:p w:rsidR="00DD7F4C" w:rsidRPr="00B3067F" w:rsidRDefault="00DD7F4C" w:rsidP="003269BC">
      <w:pPr>
        <w:pStyle w:val="ListParagraph"/>
        <w:numPr>
          <w:ilvl w:val="0"/>
          <w:numId w:val="26"/>
        </w:numPr>
        <w:spacing w:after="240"/>
        <w:ind w:left="567" w:hanging="567"/>
        <w:jc w:val="both"/>
        <w:rPr>
          <w:rFonts w:cs="Arial"/>
          <w:bCs/>
          <w:szCs w:val="22"/>
        </w:rPr>
      </w:pPr>
      <w:r w:rsidRPr="00B3067F">
        <w:rPr>
          <w:rFonts w:cs="Arial"/>
          <w:bCs/>
          <w:szCs w:val="22"/>
        </w:rPr>
        <w:t>Section 166A of the Act provides that a decision of the Director-General, as specified in the Schedule to the Act, is</w:t>
      </w:r>
      <w:r w:rsidR="00832D4F">
        <w:rPr>
          <w:rFonts w:cs="Arial"/>
          <w:bCs/>
          <w:szCs w:val="22"/>
        </w:rPr>
        <w:t xml:space="preserve"> a reviewable decision.  A decision under section 25 of the Act</w:t>
      </w:r>
      <w:r w:rsidR="002F2389">
        <w:rPr>
          <w:rFonts w:cs="Arial"/>
          <w:bCs/>
          <w:szCs w:val="22"/>
        </w:rPr>
        <w:t xml:space="preserve"> for the grant of a gaming machine licence </w:t>
      </w:r>
      <w:r w:rsidR="00832D4F">
        <w:rPr>
          <w:rFonts w:cs="Arial"/>
          <w:bCs/>
          <w:szCs w:val="22"/>
        </w:rPr>
        <w:t xml:space="preserve">and a determination of the number of authorised gaming machines under section 25(12) of the Act are </w:t>
      </w:r>
      <w:r w:rsidRPr="00B3067F">
        <w:rPr>
          <w:rFonts w:cs="Arial"/>
          <w:bCs/>
          <w:szCs w:val="22"/>
        </w:rPr>
        <w:t xml:space="preserve">specified in the Schedule and </w:t>
      </w:r>
      <w:r w:rsidR="00832D4F">
        <w:rPr>
          <w:rFonts w:cs="Arial"/>
          <w:bCs/>
          <w:szCs w:val="22"/>
        </w:rPr>
        <w:t>are</w:t>
      </w:r>
      <w:r w:rsidRPr="00B3067F">
        <w:rPr>
          <w:rFonts w:cs="Arial"/>
          <w:bCs/>
          <w:szCs w:val="22"/>
        </w:rPr>
        <w:t xml:space="preserve"> reviewable decision</w:t>
      </w:r>
      <w:r w:rsidR="00832D4F">
        <w:rPr>
          <w:rFonts w:cs="Arial"/>
          <w:bCs/>
          <w:szCs w:val="22"/>
        </w:rPr>
        <w:t>s</w:t>
      </w:r>
      <w:r w:rsidRPr="00B3067F">
        <w:rPr>
          <w:rFonts w:cs="Arial"/>
          <w:bCs/>
          <w:szCs w:val="22"/>
        </w:rPr>
        <w:t xml:space="preserve">.  Section 166C of the Act provides that a person affected by this decision may seek a review before the Northern Territory Civil and Administrative Tribunal.  </w:t>
      </w:r>
      <w:r w:rsidR="002F2389">
        <w:rPr>
          <w:rFonts w:cs="Arial"/>
          <w:bCs/>
          <w:szCs w:val="22"/>
        </w:rPr>
        <w:t>Noting that no submissions were received by the Director-General in respect of this application there are no affected persons eligible to seek a review of this decision by NTCAT</w:t>
      </w:r>
      <w:r w:rsidR="003269BC">
        <w:rPr>
          <w:rFonts w:cs="Arial"/>
          <w:bCs/>
          <w:szCs w:val="22"/>
        </w:rPr>
        <w:t>, apart from the Applicant</w:t>
      </w:r>
      <w:r w:rsidRPr="00B3067F">
        <w:rPr>
          <w:rFonts w:cs="Arial"/>
          <w:bCs/>
          <w:szCs w:val="22"/>
        </w:rPr>
        <w:t>.</w:t>
      </w:r>
    </w:p>
    <w:p w:rsidR="00DD7F4C" w:rsidRPr="00B3067F" w:rsidRDefault="00DD7F4C" w:rsidP="00135043">
      <w:pPr>
        <w:pStyle w:val="Signature"/>
        <w:keepNext/>
        <w:keepLines/>
        <w:spacing w:before="600" w:after="0"/>
        <w:rPr>
          <w:rFonts w:cs="Arial"/>
          <w:sz w:val="24"/>
          <w:szCs w:val="24"/>
        </w:rPr>
      </w:pPr>
      <w:r w:rsidRPr="00B3067F">
        <w:rPr>
          <w:rFonts w:cs="Arial"/>
          <w:sz w:val="24"/>
          <w:szCs w:val="24"/>
        </w:rPr>
        <w:t>Cindy Bravos</w:t>
      </w:r>
    </w:p>
    <w:p w:rsidR="00DD7F4C" w:rsidRPr="00B3067F" w:rsidRDefault="00DD7F4C" w:rsidP="00135043">
      <w:pPr>
        <w:pStyle w:val="Signature"/>
        <w:keepNext/>
        <w:keepLines/>
        <w:spacing w:before="0" w:after="120"/>
        <w:rPr>
          <w:rFonts w:cs="Arial"/>
          <w:sz w:val="24"/>
          <w:szCs w:val="24"/>
        </w:rPr>
      </w:pPr>
      <w:r w:rsidRPr="00B3067F">
        <w:rPr>
          <w:rFonts w:cs="Arial"/>
          <w:sz w:val="24"/>
          <w:szCs w:val="24"/>
        </w:rPr>
        <w:t>Director-General of Licensing</w:t>
      </w:r>
    </w:p>
    <w:p w:rsidR="006038D3" w:rsidRPr="00135043" w:rsidRDefault="00904B67" w:rsidP="00904B67">
      <w:pPr>
        <w:keepNext/>
        <w:keepLines/>
        <w:spacing w:after="0"/>
        <w:jc w:val="both"/>
        <w:rPr>
          <w:rFonts w:cs="Arial"/>
          <w:bCs/>
          <w:sz w:val="20"/>
          <w:szCs w:val="22"/>
        </w:rPr>
      </w:pPr>
      <w:r w:rsidRPr="00135043">
        <w:rPr>
          <w:rFonts w:cs="Arial"/>
          <w:szCs w:val="24"/>
        </w:rPr>
        <w:t>24</w:t>
      </w:r>
      <w:r w:rsidR="000251D6" w:rsidRPr="00135043">
        <w:rPr>
          <w:rFonts w:cs="Arial"/>
          <w:szCs w:val="24"/>
        </w:rPr>
        <w:t xml:space="preserve"> November 2015</w:t>
      </w:r>
    </w:p>
    <w:sectPr w:rsidR="006038D3" w:rsidRPr="00135043" w:rsidSect="002E6443">
      <w:headerReference w:type="default" r:id="rId12"/>
      <w:footerReference w:type="default" r:id="rId13"/>
      <w:headerReference w:type="first" r:id="rId14"/>
      <w:footerReference w:type="first" r:id="rId15"/>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3B3" w:rsidRDefault="003273B3" w:rsidP="00293A72">
      <w:r>
        <w:separator/>
      </w:r>
    </w:p>
  </w:endnote>
  <w:endnote w:type="continuationSeparator" w:id="0">
    <w:p w:rsidR="003273B3" w:rsidRDefault="003273B3"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2E6443" w:rsidRDefault="002E6443" w:rsidP="002E6443">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757603975"/>
        <w:placeholder>
          <w:docPart w:val="DefaultPlaceholder_1082065158"/>
        </w:placeholder>
      </w:sdtPr>
      <w:sdtEndPr/>
      <w:sdtContent>
        <w:r w:rsidR="003269BC">
          <w:rPr>
            <w:color w:val="A6A6A6" w:themeColor="background1" w:themeShade="A6"/>
            <w:sz w:val="16"/>
            <w:szCs w:val="20"/>
          </w:rPr>
          <w:t xml:space="preserve">Application for </w:t>
        </w:r>
        <w:r w:rsidR="000251D6">
          <w:rPr>
            <w:color w:val="A6A6A6" w:themeColor="background1" w:themeShade="A6"/>
            <w:sz w:val="16"/>
            <w:szCs w:val="20"/>
          </w:rPr>
          <w:t xml:space="preserve">Gaming Machines </w:t>
        </w:r>
        <w:r w:rsidR="003269BC">
          <w:rPr>
            <w:color w:val="A6A6A6" w:themeColor="background1" w:themeShade="A6"/>
            <w:sz w:val="16"/>
            <w:szCs w:val="20"/>
          </w:rPr>
          <w:t>Licence – Berry Springs Tavern</w:t>
        </w:r>
      </w:sdtContent>
    </w:sdt>
    <w:r w:rsidRPr="00A65194">
      <w:rPr>
        <w:color w:val="A6A6A6" w:themeColor="background1" w:themeShade="A6"/>
        <w:sz w:val="16"/>
        <w:szCs w:val="20"/>
      </w:rPr>
      <w:t xml:space="preserve">  </w:t>
    </w:r>
    <w:r>
      <w:rPr>
        <w:color w:val="A6A6A6" w:themeColor="background1" w:themeShade="A6"/>
        <w:sz w:val="16"/>
        <w:szCs w:val="20"/>
      </w:rPr>
      <w:tab/>
    </w:r>
    <w:r w:rsidRPr="00BE1876">
      <w:rPr>
        <w:color w:val="A6A6A6" w:themeColor="background1" w:themeShade="A6"/>
        <w:sz w:val="16"/>
        <w:szCs w:val="20"/>
      </w:rPr>
      <w:t xml:space="preserve">Date of Decision </w:t>
    </w:r>
    <w:sdt>
      <w:sdtPr>
        <w:rPr>
          <w:color w:val="A6A6A6" w:themeColor="background1" w:themeShade="A6"/>
          <w:sz w:val="16"/>
          <w:szCs w:val="20"/>
        </w:rPr>
        <w:id w:val="-1373383606"/>
        <w:placeholder>
          <w:docPart w:val="DefaultPlaceholder_1082065158"/>
        </w:placeholder>
      </w:sdtPr>
      <w:sdtEndPr/>
      <w:sdtContent>
        <w:r w:rsidR="00BE1876">
          <w:rPr>
            <w:color w:val="A6A6A6" w:themeColor="background1" w:themeShade="A6"/>
            <w:sz w:val="16"/>
            <w:szCs w:val="20"/>
          </w:rPr>
          <w:t xml:space="preserve">24 </w:t>
        </w:r>
        <w:r w:rsidR="000251D6" w:rsidRPr="00BE1876">
          <w:rPr>
            <w:color w:val="A6A6A6" w:themeColor="background1" w:themeShade="A6"/>
            <w:sz w:val="16"/>
            <w:szCs w:val="20"/>
          </w:rPr>
          <w:t>November 2015</w:t>
        </w:r>
      </w:sdtContent>
    </w:sdt>
  </w:p>
  <w:p w:rsidR="006770F2" w:rsidRDefault="002E6443" w:rsidP="002E6443">
    <w:pPr>
      <w:pStyle w:val="Footer"/>
      <w:tabs>
        <w:tab w:val="clear" w:pos="9639"/>
        <w:tab w:val="right" w:pos="9923"/>
      </w:tabs>
      <w:ind w:right="-285"/>
      <w:jc w:val="right"/>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424572725"/>
        <w:placeholder>
          <w:docPart w:val="DefaultPlaceholder_1082065158"/>
        </w:placeholder>
      </w:sdtPr>
      <w:sdtEndPr/>
      <w:sdtContent>
        <w:r w:rsidR="000251D6">
          <w:rPr>
            <w:color w:val="A6A6A6" w:themeColor="background1" w:themeShade="A6"/>
            <w:sz w:val="16"/>
            <w:szCs w:val="20"/>
          </w:rPr>
          <w:t>DOB2015/00486-000</w:t>
        </w:r>
        <w:r w:rsidR="00BE1876">
          <w:rPr>
            <w:color w:val="A6A6A6" w:themeColor="background1" w:themeShade="A6"/>
            <w:sz w:val="16"/>
            <w:szCs w:val="20"/>
          </w:rPr>
          <w:t>7</w:t>
        </w:r>
      </w:sdtContent>
    </w:sdt>
    <w:r w:rsidR="006770F2">
      <w:tab/>
    </w:r>
    <w:sdt>
      <w:sdtPr>
        <w:id w:val="766272315"/>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8303A0">
          <w:rPr>
            <w:noProof/>
          </w:rPr>
          <w:t>5</w:t>
        </w:r>
        <w:r w:rsidR="006770F2">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C00907" w:rsidRDefault="00C00907" w:rsidP="00C00907">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1722365141"/>
      </w:sdtPr>
      <w:sdtEndPr/>
      <w:sdtContent>
        <w:r>
          <w:rPr>
            <w:color w:val="A6A6A6" w:themeColor="background1" w:themeShade="A6"/>
            <w:sz w:val="16"/>
            <w:szCs w:val="20"/>
          </w:rPr>
          <w:t>Application for increase in Gaming Machines – B</w:t>
        </w:r>
        <w:r w:rsidR="00BE1876">
          <w:rPr>
            <w:color w:val="A6A6A6" w:themeColor="background1" w:themeShade="A6"/>
            <w:sz w:val="16"/>
            <w:szCs w:val="20"/>
          </w:rPr>
          <w:t>erry Springs Tavern</w:t>
        </w:r>
      </w:sdtContent>
    </w:sdt>
    <w:r w:rsidRPr="00A65194">
      <w:rPr>
        <w:color w:val="A6A6A6" w:themeColor="background1" w:themeShade="A6"/>
        <w:sz w:val="16"/>
        <w:szCs w:val="20"/>
      </w:rPr>
      <w:t xml:space="preserve">  </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946298919"/>
      </w:sdtPr>
      <w:sdtEndPr/>
      <w:sdtContent>
        <w:r w:rsidR="00BE1876">
          <w:rPr>
            <w:color w:val="A6A6A6" w:themeColor="background1" w:themeShade="A6"/>
            <w:sz w:val="16"/>
            <w:szCs w:val="20"/>
          </w:rPr>
          <w:t>24</w:t>
        </w:r>
        <w:r>
          <w:rPr>
            <w:color w:val="A6A6A6" w:themeColor="background1" w:themeShade="A6"/>
            <w:sz w:val="16"/>
            <w:szCs w:val="20"/>
          </w:rPr>
          <w:t xml:space="preserve"> November 2015</w:t>
        </w:r>
      </w:sdtContent>
    </w:sdt>
    <w:r>
      <w:rPr>
        <w:color w:val="A6A6A6" w:themeColor="background1" w:themeShade="A6"/>
        <w:sz w:val="16"/>
        <w:szCs w:val="20"/>
      </w:rPr>
      <w:t xml:space="preserve"> </w:t>
    </w:r>
  </w:p>
  <w:p w:rsidR="006770F2" w:rsidRDefault="00C00907" w:rsidP="00C00907">
    <w:pPr>
      <w:pStyle w:val="Footer"/>
      <w:tabs>
        <w:tab w:val="clear" w:pos="9639"/>
        <w:tab w:val="left" w:pos="9923"/>
      </w:tabs>
      <w:ind w:right="-285"/>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1120795140"/>
      </w:sdtPr>
      <w:sdtEndPr/>
      <w:sdtContent>
        <w:r>
          <w:rPr>
            <w:color w:val="A6A6A6" w:themeColor="background1" w:themeShade="A6"/>
            <w:sz w:val="16"/>
            <w:szCs w:val="20"/>
          </w:rPr>
          <w:t>DOB2015/00486-000</w:t>
        </w:r>
        <w:r w:rsidR="00BE1876">
          <w:rPr>
            <w:color w:val="A6A6A6" w:themeColor="background1" w:themeShade="A6"/>
            <w:sz w:val="16"/>
            <w:szCs w:val="20"/>
          </w:rPr>
          <w:t>7</w:t>
        </w:r>
      </w:sdtContent>
    </w:sdt>
    <w:r w:rsidR="006770F2">
      <w:tab/>
    </w:r>
    <w:sdt>
      <w:sdtPr>
        <w:id w:val="849913914"/>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8303A0">
          <w:rPr>
            <w:noProof/>
          </w:rPr>
          <w:t>1</w:t>
        </w:r>
        <w:r w:rsidR="006770F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3B3" w:rsidRDefault="003273B3" w:rsidP="00293A72">
      <w:r>
        <w:separator/>
      </w:r>
    </w:p>
  </w:footnote>
  <w:footnote w:type="continuationSeparator" w:id="0">
    <w:p w:rsidR="003273B3" w:rsidRDefault="003273B3"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2E6443" w:rsidP="006770F2">
    <w:pPr>
      <w:pStyle w:val="Header"/>
      <w:tabs>
        <w:tab w:val="clear" w:pos="9026"/>
      </w:tabs>
      <w:ind w:right="-285"/>
      <w:rPr>
        <w:noProof/>
      </w:rPr>
    </w:pPr>
    <w:r>
      <w:rPr>
        <w:noProof/>
      </w:rPr>
      <w:t xml:space="preserve">Director-General of Licensing </w:t>
    </w:r>
    <w:r w:rsidR="006770F2">
      <w:rPr>
        <w:noProof/>
      </w:rPr>
      <w:t>Decision Notice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127D50" w:rsidTr="006770F2">
      <w:trPr>
        <w:trHeight w:val="1531"/>
      </w:trPr>
      <w:tc>
        <w:tcPr>
          <w:tcW w:w="1560" w:type="dxa"/>
        </w:tcPr>
        <w:p w:rsidR="00127D50" w:rsidRPr="006548E8" w:rsidRDefault="00127D50" w:rsidP="006770F2">
          <w:pPr>
            <w:pStyle w:val="NoSpacing"/>
            <w:ind w:left="-108"/>
          </w:pPr>
          <w:r>
            <w:rPr>
              <w:noProof/>
              <w:lang w:eastAsia="en-AU"/>
            </w:rPr>
            <w:drawing>
              <wp:inline distT="0" distB="0" distL="0" distR="0" wp14:anchorId="07F36FF2" wp14:editId="07F36FF3">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127D50" w:rsidRPr="004D075F" w:rsidRDefault="006770F2" w:rsidP="003630C7">
          <w:pPr>
            <w:pStyle w:val="DecisionName"/>
          </w:pPr>
          <w:r>
            <w:t>Direct</w:t>
          </w:r>
          <w:r w:rsidR="002E6443">
            <w:t>or</w:t>
          </w:r>
          <w:r>
            <w:t>-General of Licensing</w:t>
          </w:r>
        </w:p>
      </w:tc>
    </w:tr>
  </w:tbl>
  <w:p w:rsidR="00293A72" w:rsidRPr="00CC3330" w:rsidRDefault="00293A72"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F8695E"/>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
    <w:nsid w:val="077B20F9"/>
    <w:multiLevelType w:val="hybridMultilevel"/>
    <w:tmpl w:val="76261D88"/>
    <w:lvl w:ilvl="0" w:tplc="30C2F9AA">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FB20B4"/>
    <w:multiLevelType w:val="hybridMultilevel"/>
    <w:tmpl w:val="0A7694B4"/>
    <w:lvl w:ilvl="0" w:tplc="0A4E8C8C">
      <w:start w:val="1"/>
      <w:numFmt w:val="decimal"/>
      <w:lvlText w:val="%1."/>
      <w:lvlJc w:val="left"/>
      <w:pPr>
        <w:ind w:left="928" w:hanging="360"/>
      </w:pPr>
      <w:rPr>
        <w:rFonts w:hint="default"/>
      </w:r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4">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5">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6771499"/>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7">
    <w:nsid w:val="18966C4F"/>
    <w:multiLevelType w:val="hybridMultilevel"/>
    <w:tmpl w:val="873A2398"/>
    <w:lvl w:ilvl="0" w:tplc="3E7447EC">
      <w:start w:val="1"/>
      <w:numFmt w:val="lowerLetter"/>
      <w:lvlText w:val="(%1)"/>
      <w:lvlJc w:val="left"/>
      <w:pPr>
        <w:ind w:left="927" w:hanging="360"/>
      </w:pPr>
      <w:rPr>
        <w:rFonts w:hint="default"/>
        <w:i/>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1">
    <w:nsid w:val="33EC1C89"/>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2">
    <w:nsid w:val="3A311F42"/>
    <w:multiLevelType w:val="hybridMultilevel"/>
    <w:tmpl w:val="B1303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B626EA6"/>
    <w:multiLevelType w:val="hybridMultilevel"/>
    <w:tmpl w:val="976802B6"/>
    <w:lvl w:ilvl="0" w:tplc="1BEC9EE8">
      <w:start w:val="1"/>
      <w:numFmt w:val="decimal"/>
      <w:lvlText w:val="%1."/>
      <w:lvlJc w:val="left"/>
      <w:pPr>
        <w:ind w:left="928" w:hanging="360"/>
      </w:pPr>
      <w:rPr>
        <w:rFonts w:hint="default"/>
        <w:b w:val="0"/>
        <w:i w:val="0"/>
      </w:r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4">
    <w:nsid w:val="4AC77827"/>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5">
    <w:nsid w:val="4D5A378F"/>
    <w:multiLevelType w:val="hybridMultilevel"/>
    <w:tmpl w:val="68C01616"/>
    <w:lvl w:ilvl="0" w:tplc="0C09000F">
      <w:start w:val="1"/>
      <w:numFmt w:val="decimal"/>
      <w:lvlText w:val="%1."/>
      <w:lvlJc w:val="left"/>
      <w:pPr>
        <w:ind w:left="360" w:hanging="360"/>
      </w:pPr>
    </w:lvl>
    <w:lvl w:ilvl="1" w:tplc="0C09001B">
      <w:start w:val="1"/>
      <w:numFmt w:val="lowerRoman"/>
      <w:lvlText w:val="%2."/>
      <w:lvlJc w:val="righ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6">
    <w:nsid w:val="63F90425"/>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7">
    <w:nsid w:val="6CEA1BC8"/>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8">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3B13106"/>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0">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87E3CA2"/>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2">
    <w:nsid w:val="7F6E76BE"/>
    <w:multiLevelType w:val="hybridMultilevel"/>
    <w:tmpl w:val="D18A1FB2"/>
    <w:lvl w:ilvl="0" w:tplc="13422974">
      <w:start w:val="3"/>
      <w:numFmt w:val="lowerLetter"/>
      <w:lvlText w:val="(%1)"/>
      <w:lvlJc w:val="left"/>
      <w:pPr>
        <w:ind w:left="927" w:hanging="360"/>
      </w:pPr>
      <w:rPr>
        <w:rFonts w:hint="default"/>
        <w:i/>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10"/>
  </w:num>
  <w:num w:numId="2">
    <w:abstractNumId w:val="10"/>
  </w:num>
  <w:num w:numId="3">
    <w:abstractNumId w:val="10"/>
  </w:num>
  <w:num w:numId="4">
    <w:abstractNumId w:val="10"/>
  </w:num>
  <w:num w:numId="5">
    <w:abstractNumId w:val="0"/>
  </w:num>
  <w:num w:numId="6">
    <w:abstractNumId w:val="4"/>
  </w:num>
  <w:num w:numId="7">
    <w:abstractNumId w:val="5"/>
  </w:num>
  <w:num w:numId="8">
    <w:abstractNumId w:val="8"/>
  </w:num>
  <w:num w:numId="9">
    <w:abstractNumId w:val="20"/>
  </w:num>
  <w:num w:numId="10">
    <w:abstractNumId w:val="9"/>
  </w:num>
  <w:num w:numId="11">
    <w:abstractNumId w:val="18"/>
  </w:num>
  <w:num w:numId="12">
    <w:abstractNumId w:val="3"/>
  </w:num>
  <w:num w:numId="13">
    <w:abstractNumId w:val="17"/>
  </w:num>
  <w:num w:numId="14">
    <w:abstractNumId w:val="6"/>
  </w:num>
  <w:num w:numId="15">
    <w:abstractNumId w:val="15"/>
  </w:num>
  <w:num w:numId="16">
    <w:abstractNumId w:val="2"/>
  </w:num>
  <w:num w:numId="17">
    <w:abstractNumId w:val="12"/>
  </w:num>
  <w:num w:numId="18">
    <w:abstractNumId w:val="19"/>
  </w:num>
  <w:num w:numId="19">
    <w:abstractNumId w:val="14"/>
  </w:num>
  <w:num w:numId="20">
    <w:abstractNumId w:val="21"/>
  </w:num>
  <w:num w:numId="21">
    <w:abstractNumId w:val="16"/>
  </w:num>
  <w:num w:numId="22">
    <w:abstractNumId w:val="1"/>
  </w:num>
  <w:num w:numId="23">
    <w:abstractNumId w:val="7"/>
  </w:num>
  <w:num w:numId="24">
    <w:abstractNumId w:val="22"/>
  </w:num>
  <w:num w:numId="25">
    <w:abstractNumId w:val="1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0"/>
    <w:rsid w:val="0000460D"/>
    <w:rsid w:val="000055BE"/>
    <w:rsid w:val="00012577"/>
    <w:rsid w:val="00020B12"/>
    <w:rsid w:val="000251D6"/>
    <w:rsid w:val="00025FB5"/>
    <w:rsid w:val="00037217"/>
    <w:rsid w:val="000519A2"/>
    <w:rsid w:val="00065C4C"/>
    <w:rsid w:val="0007259C"/>
    <w:rsid w:val="0007569C"/>
    <w:rsid w:val="00085C74"/>
    <w:rsid w:val="00090245"/>
    <w:rsid w:val="000A5093"/>
    <w:rsid w:val="000B090B"/>
    <w:rsid w:val="000B5975"/>
    <w:rsid w:val="000C07CC"/>
    <w:rsid w:val="000D0C27"/>
    <w:rsid w:val="000D2696"/>
    <w:rsid w:val="000D331C"/>
    <w:rsid w:val="000D57AF"/>
    <w:rsid w:val="000E1157"/>
    <w:rsid w:val="000F0431"/>
    <w:rsid w:val="000F40A9"/>
    <w:rsid w:val="001041C0"/>
    <w:rsid w:val="00107C87"/>
    <w:rsid w:val="00111746"/>
    <w:rsid w:val="00117743"/>
    <w:rsid w:val="00117F5B"/>
    <w:rsid w:val="001250E7"/>
    <w:rsid w:val="00127D50"/>
    <w:rsid w:val="00135043"/>
    <w:rsid w:val="00140FDD"/>
    <w:rsid w:val="00141560"/>
    <w:rsid w:val="0014385B"/>
    <w:rsid w:val="001505FB"/>
    <w:rsid w:val="001508BE"/>
    <w:rsid w:val="001523E8"/>
    <w:rsid w:val="001552A6"/>
    <w:rsid w:val="001620E9"/>
    <w:rsid w:val="0017294F"/>
    <w:rsid w:val="00175621"/>
    <w:rsid w:val="00184EFE"/>
    <w:rsid w:val="00194D7F"/>
    <w:rsid w:val="001A2B7F"/>
    <w:rsid w:val="001E0F80"/>
    <w:rsid w:val="001F76BC"/>
    <w:rsid w:val="00206E08"/>
    <w:rsid w:val="002073A4"/>
    <w:rsid w:val="00210093"/>
    <w:rsid w:val="0021413A"/>
    <w:rsid w:val="00220937"/>
    <w:rsid w:val="00244FF0"/>
    <w:rsid w:val="00245650"/>
    <w:rsid w:val="00262699"/>
    <w:rsid w:val="00284A86"/>
    <w:rsid w:val="002929EB"/>
    <w:rsid w:val="002935BE"/>
    <w:rsid w:val="00293A72"/>
    <w:rsid w:val="002A548A"/>
    <w:rsid w:val="002B0DEC"/>
    <w:rsid w:val="002E6443"/>
    <w:rsid w:val="002F2389"/>
    <w:rsid w:val="002F2885"/>
    <w:rsid w:val="002F60ED"/>
    <w:rsid w:val="00315827"/>
    <w:rsid w:val="00322F46"/>
    <w:rsid w:val="003269BC"/>
    <w:rsid w:val="003273B3"/>
    <w:rsid w:val="00342283"/>
    <w:rsid w:val="00347B47"/>
    <w:rsid w:val="003626D0"/>
    <w:rsid w:val="003630C7"/>
    <w:rsid w:val="0038496D"/>
    <w:rsid w:val="00394AAF"/>
    <w:rsid w:val="003A1C87"/>
    <w:rsid w:val="003A21D9"/>
    <w:rsid w:val="003A5D36"/>
    <w:rsid w:val="003A7631"/>
    <w:rsid w:val="003B0C15"/>
    <w:rsid w:val="003B7A67"/>
    <w:rsid w:val="003C2211"/>
    <w:rsid w:val="003C234E"/>
    <w:rsid w:val="003C7905"/>
    <w:rsid w:val="003D2157"/>
    <w:rsid w:val="003E045C"/>
    <w:rsid w:val="003E7505"/>
    <w:rsid w:val="003F179A"/>
    <w:rsid w:val="003F790A"/>
    <w:rsid w:val="0040222A"/>
    <w:rsid w:val="0040316A"/>
    <w:rsid w:val="004047BC"/>
    <w:rsid w:val="00411E9B"/>
    <w:rsid w:val="00416535"/>
    <w:rsid w:val="00426E25"/>
    <w:rsid w:val="0042790A"/>
    <w:rsid w:val="00432AA1"/>
    <w:rsid w:val="004333F7"/>
    <w:rsid w:val="00433F10"/>
    <w:rsid w:val="004423E6"/>
    <w:rsid w:val="0046387B"/>
    <w:rsid w:val="004732FE"/>
    <w:rsid w:val="004873C6"/>
    <w:rsid w:val="00497D0C"/>
    <w:rsid w:val="004A37BA"/>
    <w:rsid w:val="004E2627"/>
    <w:rsid w:val="004E419F"/>
    <w:rsid w:val="004F4447"/>
    <w:rsid w:val="00503996"/>
    <w:rsid w:val="00506B81"/>
    <w:rsid w:val="00512F0E"/>
    <w:rsid w:val="005257EC"/>
    <w:rsid w:val="005303FC"/>
    <w:rsid w:val="00530A50"/>
    <w:rsid w:val="00532F5C"/>
    <w:rsid w:val="00543A1E"/>
    <w:rsid w:val="00551CCE"/>
    <w:rsid w:val="00554FD1"/>
    <w:rsid w:val="005654B8"/>
    <w:rsid w:val="00570BC3"/>
    <w:rsid w:val="00587446"/>
    <w:rsid w:val="00591B49"/>
    <w:rsid w:val="005A6D6D"/>
    <w:rsid w:val="005B5AC2"/>
    <w:rsid w:val="005C47C1"/>
    <w:rsid w:val="005D1EE0"/>
    <w:rsid w:val="005D72CE"/>
    <w:rsid w:val="005D786F"/>
    <w:rsid w:val="005E24DC"/>
    <w:rsid w:val="005E4681"/>
    <w:rsid w:val="006038D3"/>
    <w:rsid w:val="006163AB"/>
    <w:rsid w:val="00630155"/>
    <w:rsid w:val="0063627B"/>
    <w:rsid w:val="006400D3"/>
    <w:rsid w:val="006419C4"/>
    <w:rsid w:val="00650F5B"/>
    <w:rsid w:val="006546F7"/>
    <w:rsid w:val="00655618"/>
    <w:rsid w:val="00655C41"/>
    <w:rsid w:val="006627E4"/>
    <w:rsid w:val="00662DAD"/>
    <w:rsid w:val="006719EA"/>
    <w:rsid w:val="00674E97"/>
    <w:rsid w:val="006770F2"/>
    <w:rsid w:val="00681CE0"/>
    <w:rsid w:val="006855D0"/>
    <w:rsid w:val="0068683B"/>
    <w:rsid w:val="00692285"/>
    <w:rsid w:val="006A141D"/>
    <w:rsid w:val="006A2598"/>
    <w:rsid w:val="006A2710"/>
    <w:rsid w:val="006A6C85"/>
    <w:rsid w:val="006B4310"/>
    <w:rsid w:val="006C07A1"/>
    <w:rsid w:val="006C3BE8"/>
    <w:rsid w:val="006C668D"/>
    <w:rsid w:val="007023AB"/>
    <w:rsid w:val="00722DDB"/>
    <w:rsid w:val="007408F5"/>
    <w:rsid w:val="00770807"/>
    <w:rsid w:val="00787D74"/>
    <w:rsid w:val="007B2699"/>
    <w:rsid w:val="007B6A96"/>
    <w:rsid w:val="007E01C6"/>
    <w:rsid w:val="00802BF2"/>
    <w:rsid w:val="0080624F"/>
    <w:rsid w:val="00813590"/>
    <w:rsid w:val="00817AF1"/>
    <w:rsid w:val="008303A0"/>
    <w:rsid w:val="008313C4"/>
    <w:rsid w:val="00832D4F"/>
    <w:rsid w:val="008516CC"/>
    <w:rsid w:val="0085544C"/>
    <w:rsid w:val="0086109D"/>
    <w:rsid w:val="00861DC3"/>
    <w:rsid w:val="0086745F"/>
    <w:rsid w:val="0087091E"/>
    <w:rsid w:val="0088588D"/>
    <w:rsid w:val="008A27E4"/>
    <w:rsid w:val="008A32EB"/>
    <w:rsid w:val="008B2801"/>
    <w:rsid w:val="008B6E63"/>
    <w:rsid w:val="008D79F6"/>
    <w:rsid w:val="008E22F8"/>
    <w:rsid w:val="008E47CE"/>
    <w:rsid w:val="008E63B1"/>
    <w:rsid w:val="008F70BE"/>
    <w:rsid w:val="00904B67"/>
    <w:rsid w:val="00921937"/>
    <w:rsid w:val="00930D60"/>
    <w:rsid w:val="00936A77"/>
    <w:rsid w:val="009616DF"/>
    <w:rsid w:val="009641E3"/>
    <w:rsid w:val="009808F7"/>
    <w:rsid w:val="0098759C"/>
    <w:rsid w:val="009A73E5"/>
    <w:rsid w:val="009D153B"/>
    <w:rsid w:val="009D65D7"/>
    <w:rsid w:val="009E0AFE"/>
    <w:rsid w:val="00A04BDC"/>
    <w:rsid w:val="00A234B1"/>
    <w:rsid w:val="00A24D7D"/>
    <w:rsid w:val="00A37DDA"/>
    <w:rsid w:val="00A704E6"/>
    <w:rsid w:val="00AA16B6"/>
    <w:rsid w:val="00AD06A3"/>
    <w:rsid w:val="00AD0B03"/>
    <w:rsid w:val="00AE7B5D"/>
    <w:rsid w:val="00B12589"/>
    <w:rsid w:val="00B3067F"/>
    <w:rsid w:val="00B3132D"/>
    <w:rsid w:val="00B44012"/>
    <w:rsid w:val="00B61B26"/>
    <w:rsid w:val="00B8518A"/>
    <w:rsid w:val="00B96BD8"/>
    <w:rsid w:val="00BA75DE"/>
    <w:rsid w:val="00BB0A00"/>
    <w:rsid w:val="00BB4846"/>
    <w:rsid w:val="00BC1372"/>
    <w:rsid w:val="00BC1846"/>
    <w:rsid w:val="00BC4320"/>
    <w:rsid w:val="00BC7928"/>
    <w:rsid w:val="00BE1876"/>
    <w:rsid w:val="00BE75A5"/>
    <w:rsid w:val="00BF158B"/>
    <w:rsid w:val="00C00907"/>
    <w:rsid w:val="00C04D9C"/>
    <w:rsid w:val="00C067E1"/>
    <w:rsid w:val="00C1505C"/>
    <w:rsid w:val="00C26CCD"/>
    <w:rsid w:val="00C33892"/>
    <w:rsid w:val="00C36B82"/>
    <w:rsid w:val="00C52F76"/>
    <w:rsid w:val="00C579D3"/>
    <w:rsid w:val="00C62099"/>
    <w:rsid w:val="00C75E81"/>
    <w:rsid w:val="00C81E12"/>
    <w:rsid w:val="00C82D5A"/>
    <w:rsid w:val="00C9363A"/>
    <w:rsid w:val="00C96786"/>
    <w:rsid w:val="00CA6DDE"/>
    <w:rsid w:val="00CB0992"/>
    <w:rsid w:val="00CB7DC0"/>
    <w:rsid w:val="00CC3330"/>
    <w:rsid w:val="00CC5AF5"/>
    <w:rsid w:val="00CC768C"/>
    <w:rsid w:val="00CD1BE0"/>
    <w:rsid w:val="00CD451C"/>
    <w:rsid w:val="00CD4BAC"/>
    <w:rsid w:val="00CE5E50"/>
    <w:rsid w:val="00D00E91"/>
    <w:rsid w:val="00D02AA7"/>
    <w:rsid w:val="00D044AA"/>
    <w:rsid w:val="00D17A30"/>
    <w:rsid w:val="00D25638"/>
    <w:rsid w:val="00D265AE"/>
    <w:rsid w:val="00D27945"/>
    <w:rsid w:val="00D33764"/>
    <w:rsid w:val="00D42C89"/>
    <w:rsid w:val="00D470F0"/>
    <w:rsid w:val="00D55BBF"/>
    <w:rsid w:val="00D65EDC"/>
    <w:rsid w:val="00D80A15"/>
    <w:rsid w:val="00D829E9"/>
    <w:rsid w:val="00D840DD"/>
    <w:rsid w:val="00D90789"/>
    <w:rsid w:val="00D92D3F"/>
    <w:rsid w:val="00D975C0"/>
    <w:rsid w:val="00DB0EEC"/>
    <w:rsid w:val="00DC5DD9"/>
    <w:rsid w:val="00DD0C69"/>
    <w:rsid w:val="00DD31C3"/>
    <w:rsid w:val="00DD5638"/>
    <w:rsid w:val="00DD7F4C"/>
    <w:rsid w:val="00DE7143"/>
    <w:rsid w:val="00DE71E4"/>
    <w:rsid w:val="00DF0487"/>
    <w:rsid w:val="00E015DA"/>
    <w:rsid w:val="00E07444"/>
    <w:rsid w:val="00E1681A"/>
    <w:rsid w:val="00E30907"/>
    <w:rsid w:val="00E34E0A"/>
    <w:rsid w:val="00E41C2A"/>
    <w:rsid w:val="00E619FF"/>
    <w:rsid w:val="00E62781"/>
    <w:rsid w:val="00E6625A"/>
    <w:rsid w:val="00E71A10"/>
    <w:rsid w:val="00E76967"/>
    <w:rsid w:val="00E81309"/>
    <w:rsid w:val="00E823AF"/>
    <w:rsid w:val="00E85526"/>
    <w:rsid w:val="00E85A3E"/>
    <w:rsid w:val="00EA1A20"/>
    <w:rsid w:val="00EE7F0E"/>
    <w:rsid w:val="00EF14FB"/>
    <w:rsid w:val="00F0092C"/>
    <w:rsid w:val="00F05807"/>
    <w:rsid w:val="00F1351E"/>
    <w:rsid w:val="00F15C61"/>
    <w:rsid w:val="00F15ED0"/>
    <w:rsid w:val="00F31EE1"/>
    <w:rsid w:val="00F37CFA"/>
    <w:rsid w:val="00F41832"/>
    <w:rsid w:val="00F51BDB"/>
    <w:rsid w:val="00F53185"/>
    <w:rsid w:val="00F534F3"/>
    <w:rsid w:val="00F54FC0"/>
    <w:rsid w:val="00F60C05"/>
    <w:rsid w:val="00F6779E"/>
    <w:rsid w:val="00F76467"/>
    <w:rsid w:val="00F92910"/>
    <w:rsid w:val="00FB31AE"/>
    <w:rsid w:val="00FC32C1"/>
    <w:rsid w:val="00FD00B0"/>
    <w:rsid w:val="00FD1042"/>
    <w:rsid w:val="00FD6B1F"/>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70416">
      <w:bodyDiv w:val="1"/>
      <w:marLeft w:val="0"/>
      <w:marRight w:val="0"/>
      <w:marTop w:val="0"/>
      <w:marBottom w:val="0"/>
      <w:divBdr>
        <w:top w:val="none" w:sz="0" w:space="0" w:color="auto"/>
        <w:left w:val="none" w:sz="0" w:space="0" w:color="auto"/>
        <w:bottom w:val="none" w:sz="0" w:space="0" w:color="auto"/>
        <w:right w:val="none" w:sz="0" w:space="0" w:color="auto"/>
      </w:divBdr>
    </w:div>
    <w:div w:id="1021707958">
      <w:bodyDiv w:val="1"/>
      <w:marLeft w:val="0"/>
      <w:marRight w:val="0"/>
      <w:marTop w:val="0"/>
      <w:marBottom w:val="0"/>
      <w:divBdr>
        <w:top w:val="none" w:sz="0" w:space="0" w:color="auto"/>
        <w:left w:val="none" w:sz="0" w:space="0" w:color="auto"/>
        <w:bottom w:val="none" w:sz="0" w:space="0" w:color="auto"/>
        <w:right w:val="none" w:sz="0" w:space="0" w:color="auto"/>
      </w:divBdr>
    </w:div>
    <w:div w:id="1097099091">
      <w:bodyDiv w:val="1"/>
      <w:marLeft w:val="0"/>
      <w:marRight w:val="0"/>
      <w:marTop w:val="0"/>
      <w:marBottom w:val="0"/>
      <w:divBdr>
        <w:top w:val="none" w:sz="0" w:space="0" w:color="auto"/>
        <w:left w:val="none" w:sz="0" w:space="0" w:color="auto"/>
        <w:bottom w:val="none" w:sz="0" w:space="0" w:color="auto"/>
        <w:right w:val="none" w:sz="0" w:space="0" w:color="auto"/>
      </w:divBdr>
      <w:divsChild>
        <w:div w:id="84806939">
          <w:marLeft w:val="0"/>
          <w:marRight w:val="0"/>
          <w:marTop w:val="0"/>
          <w:marBottom w:val="0"/>
          <w:divBdr>
            <w:top w:val="none" w:sz="0" w:space="0" w:color="auto"/>
            <w:left w:val="none" w:sz="0" w:space="0" w:color="auto"/>
            <w:bottom w:val="none" w:sz="0" w:space="0" w:color="auto"/>
            <w:right w:val="none" w:sz="0" w:space="0" w:color="auto"/>
          </w:divBdr>
          <w:divsChild>
            <w:div w:id="1874804730">
              <w:marLeft w:val="0"/>
              <w:marRight w:val="0"/>
              <w:marTop w:val="0"/>
              <w:marBottom w:val="0"/>
              <w:divBdr>
                <w:top w:val="none" w:sz="0" w:space="0" w:color="auto"/>
                <w:left w:val="none" w:sz="0" w:space="0" w:color="auto"/>
                <w:bottom w:val="none" w:sz="0" w:space="0" w:color="auto"/>
                <w:right w:val="none" w:sz="0" w:space="0" w:color="auto"/>
              </w:divBdr>
              <w:divsChild>
                <w:div w:id="1611013448">
                  <w:marLeft w:val="0"/>
                  <w:marRight w:val="0"/>
                  <w:marTop w:val="0"/>
                  <w:marBottom w:val="0"/>
                  <w:divBdr>
                    <w:top w:val="none" w:sz="0" w:space="0" w:color="auto"/>
                    <w:left w:val="none" w:sz="0" w:space="0" w:color="auto"/>
                    <w:bottom w:val="none" w:sz="0" w:space="0" w:color="auto"/>
                    <w:right w:val="none" w:sz="0" w:space="0" w:color="auto"/>
                  </w:divBdr>
                  <w:divsChild>
                    <w:div w:id="482240809">
                      <w:marLeft w:val="0"/>
                      <w:marRight w:val="0"/>
                      <w:marTop w:val="0"/>
                      <w:marBottom w:val="0"/>
                      <w:divBdr>
                        <w:top w:val="none" w:sz="0" w:space="0" w:color="auto"/>
                        <w:left w:val="none" w:sz="0" w:space="0" w:color="auto"/>
                        <w:bottom w:val="none" w:sz="0" w:space="0" w:color="auto"/>
                        <w:right w:val="none" w:sz="0" w:space="0" w:color="auto"/>
                      </w:divBdr>
                      <w:divsChild>
                        <w:div w:id="892079149">
                          <w:marLeft w:val="0"/>
                          <w:marRight w:val="0"/>
                          <w:marTop w:val="0"/>
                          <w:marBottom w:val="0"/>
                          <w:divBdr>
                            <w:top w:val="none" w:sz="0" w:space="0" w:color="auto"/>
                            <w:left w:val="none" w:sz="0" w:space="0" w:color="auto"/>
                            <w:bottom w:val="none" w:sz="0" w:space="0" w:color="auto"/>
                            <w:right w:val="none" w:sz="0" w:space="0" w:color="auto"/>
                          </w:divBdr>
                          <w:divsChild>
                            <w:div w:id="1557082030">
                              <w:marLeft w:val="0"/>
                              <w:marRight w:val="0"/>
                              <w:marTop w:val="0"/>
                              <w:marBottom w:val="0"/>
                              <w:divBdr>
                                <w:top w:val="none" w:sz="0" w:space="0" w:color="auto"/>
                                <w:left w:val="none" w:sz="0" w:space="0" w:color="auto"/>
                                <w:bottom w:val="none" w:sz="0" w:space="0" w:color="auto"/>
                                <w:right w:val="none" w:sz="0" w:space="0" w:color="auto"/>
                              </w:divBdr>
                              <w:divsChild>
                                <w:div w:id="8827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620443">
      <w:bodyDiv w:val="1"/>
      <w:marLeft w:val="0"/>
      <w:marRight w:val="0"/>
      <w:marTop w:val="0"/>
      <w:marBottom w:val="0"/>
      <w:divBdr>
        <w:top w:val="none" w:sz="0" w:space="0" w:color="auto"/>
        <w:left w:val="none" w:sz="0" w:space="0" w:color="auto"/>
        <w:bottom w:val="none" w:sz="0" w:space="0" w:color="auto"/>
        <w:right w:val="none" w:sz="0" w:space="0" w:color="auto"/>
      </w:divBdr>
    </w:div>
    <w:div w:id="1411077194">
      <w:bodyDiv w:val="1"/>
      <w:marLeft w:val="0"/>
      <w:marRight w:val="0"/>
      <w:marTop w:val="0"/>
      <w:marBottom w:val="0"/>
      <w:divBdr>
        <w:top w:val="none" w:sz="0" w:space="0" w:color="auto"/>
        <w:left w:val="none" w:sz="0" w:space="0" w:color="auto"/>
        <w:bottom w:val="none" w:sz="0" w:space="0" w:color="auto"/>
        <w:right w:val="none" w:sz="0" w:space="0" w:color="auto"/>
      </w:divBdr>
    </w:div>
    <w:div w:id="1422726316">
      <w:bodyDiv w:val="1"/>
      <w:marLeft w:val="0"/>
      <w:marRight w:val="0"/>
      <w:marTop w:val="0"/>
      <w:marBottom w:val="0"/>
      <w:divBdr>
        <w:top w:val="none" w:sz="0" w:space="0" w:color="auto"/>
        <w:left w:val="none" w:sz="0" w:space="0" w:color="auto"/>
        <w:bottom w:val="none" w:sz="0" w:space="0" w:color="auto"/>
        <w:right w:val="none" w:sz="0" w:space="0" w:color="auto"/>
      </w:divBdr>
    </w:div>
    <w:div w:id="1540774110">
      <w:bodyDiv w:val="1"/>
      <w:marLeft w:val="0"/>
      <w:marRight w:val="0"/>
      <w:marTop w:val="0"/>
      <w:marBottom w:val="0"/>
      <w:divBdr>
        <w:top w:val="none" w:sz="0" w:space="0" w:color="auto"/>
        <w:left w:val="none" w:sz="0" w:space="0" w:color="auto"/>
        <w:bottom w:val="none" w:sz="0" w:space="0" w:color="auto"/>
        <w:right w:val="none" w:sz="0" w:space="0" w:color="auto"/>
      </w:divBdr>
    </w:div>
    <w:div w:id="1860586999">
      <w:bodyDiv w:val="1"/>
      <w:marLeft w:val="0"/>
      <w:marRight w:val="0"/>
      <w:marTop w:val="0"/>
      <w:marBottom w:val="0"/>
      <w:divBdr>
        <w:top w:val="none" w:sz="0" w:space="0" w:color="auto"/>
        <w:left w:val="none" w:sz="0" w:space="0" w:color="auto"/>
        <w:bottom w:val="none" w:sz="0" w:space="0" w:color="auto"/>
        <w:right w:val="none" w:sz="0" w:space="0" w:color="auto"/>
      </w:divBdr>
    </w:div>
    <w:div w:id="21421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558FC7F-4150-4F19-836F-717DC85A0590}"/>
      </w:docPartPr>
      <w:docPartBody>
        <w:p w:rsidR="00941C01" w:rsidRDefault="002D4C43">
          <w:r w:rsidRPr="00C52D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43"/>
    <w:rsid w:val="002C6384"/>
    <w:rsid w:val="002D4C43"/>
    <w:rsid w:val="00327688"/>
    <w:rsid w:val="007448F0"/>
    <w:rsid w:val="00941C01"/>
    <w:rsid w:val="00CF7772"/>
    <w:rsid w:val="00F107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23D286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2015-11-23T14:30:00+00:00</Hearing_x0020_Date>
    <Decision_x0020_Category xmlns="28e3188d-fccf-4e87-a6b6-2e446be4517c">Policy</Decision_x0020_Category>
    <_dlc_DocId xmlns="28e3188d-fccf-4e87-a6b6-2e446be4517c">2AXQX2YYQNYC-628-16</_dlc_DocId>
    <_dlc_DocIdUrl xmlns="28e3188d-fccf-4e87-a6b6-2e446be4517c">
      <Url>http://www.dob.nt.gov.au/gambling-licensing/decisions/dg-decisions/_layouts/DocIdRedir.aspx?ID=2AXQX2YYQNYC-628-16</Url>
      <Description>2AXQX2YYQNYC-628-16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9118F166B6298C45BAF12F50AB3D9FD9" ma:contentTypeVersion="5" ma:contentTypeDescription="Licensing Commission Decision Document Content Type" ma:contentTypeScope="" ma:versionID="feb517049cef07cdd92e3f373a55951a">
  <xsd:schema xmlns:xsd="http://www.w3.org/2001/XMLSchema" xmlns:xs="http://www.w3.org/2001/XMLSchema" xmlns:p="http://schemas.microsoft.com/office/2006/metadata/properties" xmlns:ns2="28e3188d-fccf-4e87-a6b6-2e446be4517c" targetNamespace="http://schemas.microsoft.com/office/2006/metadata/properties" ma:root="true" ma:fieldsID="a495116039864c70d64d05ae304a6767"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description="Use 'Private Security' for Disciplinary&#10;Use 'Liquor' for Liquor&#10;Use 'Policy' for Gaming machine" ma:format="Dropdown" ma:internalName="Decision_x0020_Category" ma:readOnly="false">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B2252-7F18-4C7B-AA66-AD774675A3DE}"/>
</file>

<file path=customXml/itemProps2.xml><?xml version="1.0" encoding="utf-8"?>
<ds:datastoreItem xmlns:ds="http://schemas.openxmlformats.org/officeDocument/2006/customXml" ds:itemID="{39050A98-AFEF-4438-A5D2-8E36117E82EF}"/>
</file>

<file path=customXml/itemProps3.xml><?xml version="1.0" encoding="utf-8"?>
<ds:datastoreItem xmlns:ds="http://schemas.openxmlformats.org/officeDocument/2006/customXml" ds:itemID="{077DE370-632B-40AA-ABEE-FE39B548E8A3}"/>
</file>

<file path=customXml/itemProps4.xml><?xml version="1.0" encoding="utf-8"?>
<ds:datastoreItem xmlns:ds="http://schemas.openxmlformats.org/officeDocument/2006/customXml" ds:itemID="{339F08B6-E9FD-4393-A607-017B358C66A2}"/>
</file>

<file path=customXml/itemProps5.xml><?xml version="1.0" encoding="utf-8"?>
<ds:datastoreItem xmlns:ds="http://schemas.openxmlformats.org/officeDocument/2006/customXml" ds:itemID="{B4285EFE-1613-4F46-B89E-56D590D21895}"/>
</file>

<file path=docProps/app.xml><?xml version="1.0" encoding="utf-8"?>
<Properties xmlns="http://schemas.openxmlformats.org/officeDocument/2006/extended-properties" xmlns:vt="http://schemas.openxmlformats.org/officeDocument/2006/docPropsVTypes">
  <Template>Normal.dotm</Template>
  <TotalTime>27</TotalTime>
  <Pages>7</Pages>
  <Words>3303</Words>
  <Characters>18828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Decision Notice Template - Liquor</vt:lpstr>
    </vt:vector>
  </TitlesOfParts>
  <Company>Northern Territory Government</Company>
  <LinksUpToDate>false</LinksUpToDate>
  <CharactersWithSpaces>22087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Berry Springs Tavern - Application for new Gaming Machine Licence</dc:title>
  <dc:creator>Cindy Bravos</dc:creator>
  <cp:lastModifiedBy>Marlene Woods</cp:lastModifiedBy>
  <cp:revision>6</cp:revision>
  <cp:lastPrinted>2015-11-23T04:21:00Z</cp:lastPrinted>
  <dcterms:created xsi:type="dcterms:W3CDTF">2015-11-24T02:08:00Z</dcterms:created>
  <dcterms:modified xsi:type="dcterms:W3CDTF">2015-12-23T22:08:00Z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0x010100FDB2B31C47A04014B7A7CD35238362CA009118F166B6298C45BAF12F50AB3D9FD9</vt:lpwstr>
  </property>
  <property fmtid="{D5CDD505-2E9C-101B-9397-08002B2CF9AE}" pid="3" name="_dlc_DocIdItemGuid">
    <vt:lpwstr>bceb9f4c-6af7-4c9b-9329-897d56590946</vt:lpwstr>
  </property>
</Properties>
</file>