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bookmarkStart w:id="0" w:name="_GoBack"/>
      <w:bookmarkEnd w:id="0"/>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9E1752">
        <w:rPr>
          <w:rFonts w:cs="Arial"/>
        </w:rPr>
        <w:t>The Cavenagh</w:t>
      </w:r>
    </w:p>
    <w:p w:rsidR="009B5150" w:rsidRDefault="009B5150" w:rsidP="00D33764">
      <w:pPr>
        <w:pStyle w:val="Tabformatting"/>
        <w:spacing w:after="0"/>
        <w:rPr>
          <w:rFonts w:cs="Arial"/>
        </w:rPr>
      </w:pPr>
      <w:r>
        <w:rPr>
          <w:rFonts w:cs="Arial"/>
        </w:rPr>
        <w:tab/>
      </w:r>
      <w:r w:rsidR="009E1752">
        <w:rPr>
          <w:rFonts w:cs="Arial"/>
        </w:rPr>
        <w:t>12-16 Cavenagh</w:t>
      </w:r>
      <w:r>
        <w:rPr>
          <w:rFonts w:cs="Arial"/>
        </w:rPr>
        <w:t xml:space="preserve"> Street</w:t>
      </w:r>
    </w:p>
    <w:p w:rsidR="00D33764" w:rsidRPr="00655618" w:rsidRDefault="00D33764" w:rsidP="001620E9">
      <w:pPr>
        <w:pStyle w:val="Tabformatting"/>
        <w:rPr>
          <w:rFonts w:cs="Arial"/>
        </w:rPr>
      </w:pPr>
      <w:r w:rsidRPr="00655618">
        <w:rPr>
          <w:rFonts w:cs="Arial"/>
        </w:rPr>
        <w:tab/>
      </w:r>
      <w:r w:rsidR="009B5150">
        <w:rPr>
          <w:rFonts w:cs="Arial"/>
        </w:rPr>
        <w:t>Darwin</w:t>
      </w:r>
      <w:r w:rsidRPr="00655618">
        <w:rPr>
          <w:rFonts w:cs="Arial"/>
        </w:rPr>
        <w:t xml:space="preserve"> </w:t>
      </w:r>
      <w:r w:rsidR="00512F0E">
        <w:rPr>
          <w:rFonts w:cs="Arial"/>
        </w:rPr>
        <w:t xml:space="preserve"> </w:t>
      </w:r>
      <w:r w:rsidRPr="00655618">
        <w:rPr>
          <w:rFonts w:cs="Arial"/>
        </w:rPr>
        <w:t>NT</w:t>
      </w:r>
      <w:r w:rsidR="00512F0E">
        <w:rPr>
          <w:rFonts w:cs="Arial"/>
        </w:rPr>
        <w:t xml:space="preserve"> </w:t>
      </w:r>
      <w:r w:rsidRPr="00655618">
        <w:rPr>
          <w:rFonts w:cs="Arial"/>
        </w:rPr>
        <w:t xml:space="preserve"> 08</w:t>
      </w:r>
      <w:r w:rsidR="00170AE4">
        <w:rPr>
          <w:rFonts w:cs="Arial"/>
        </w:rPr>
        <w:t>00</w:t>
      </w: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170AE4">
        <w:rPr>
          <w:rFonts w:cs="Arial"/>
        </w:rPr>
        <w:t>S</w:t>
      </w:r>
      <w:r w:rsidR="009E1752">
        <w:rPr>
          <w:rFonts w:cs="Arial"/>
        </w:rPr>
        <w:t>ALSA HOLDINGS (NT) P</w:t>
      </w:r>
      <w:r w:rsidR="00170AE4">
        <w:rPr>
          <w:rFonts w:cs="Arial"/>
        </w:rPr>
        <w:t xml:space="preserve">TY LTD </w:t>
      </w:r>
    </w:p>
    <w:p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D33764" w:rsidRPr="00655618">
        <w:rPr>
          <w:rFonts w:cs="Arial"/>
        </w:rPr>
        <w:t xml:space="preserve">Mr </w:t>
      </w:r>
      <w:r w:rsidR="009E1752">
        <w:rPr>
          <w:rFonts w:cs="Arial"/>
        </w:rPr>
        <w:t>Ricki Scott</w:t>
      </w:r>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00637978">
        <w:rPr>
          <w:rFonts w:cs="Arial"/>
        </w:rPr>
        <w:t>Nil</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6770F2" w:rsidRPr="00655618">
        <w:rPr>
          <w:rFonts w:cs="Arial"/>
        </w:rPr>
        <w:t>Director-General of Licensing</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170AE4">
        <w:rPr>
          <w:rFonts w:cs="Arial"/>
        </w:rPr>
        <w:t>2</w:t>
      </w:r>
      <w:r w:rsidR="004226A1">
        <w:rPr>
          <w:rFonts w:cs="Arial"/>
        </w:rPr>
        <w:t>4</w:t>
      </w:r>
      <w:r w:rsidR="006627E4" w:rsidRPr="00655618">
        <w:rPr>
          <w:rFonts w:cs="Arial"/>
        </w:rPr>
        <w:t xml:space="preserve"> November 2015</w:t>
      </w:r>
    </w:p>
    <w:p w:rsidR="001620E9" w:rsidRPr="00655618" w:rsidRDefault="001620E9" w:rsidP="001620E9">
      <w:pPr>
        <w:pStyle w:val="BottomLine"/>
        <w:rPr>
          <w:rFonts w:cs="Arial"/>
        </w:rPr>
      </w:pPr>
    </w:p>
    <w:p w:rsidR="00D33764" w:rsidRPr="00655618" w:rsidRDefault="00C36B82" w:rsidP="004226A1">
      <w:pPr>
        <w:pStyle w:val="Heading2"/>
        <w:spacing w:before="0"/>
        <w:rPr>
          <w:rFonts w:cs="Arial"/>
        </w:rPr>
      </w:pPr>
      <w:r w:rsidRPr="00655618">
        <w:rPr>
          <w:rFonts w:cs="Arial"/>
        </w:rPr>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AD55A8">
        <w:rPr>
          <w:rFonts w:cs="Arial"/>
          <w:szCs w:val="24"/>
        </w:rPr>
        <w:t>21 July 2015</w:t>
      </w:r>
      <w:r w:rsidRPr="00655618">
        <w:rPr>
          <w:rFonts w:cs="Arial"/>
          <w:szCs w:val="24"/>
        </w:rPr>
        <w:t>,</w:t>
      </w:r>
      <w:r w:rsidR="00D33764" w:rsidRPr="00655618">
        <w:rPr>
          <w:rFonts w:cs="Arial"/>
          <w:szCs w:val="24"/>
        </w:rPr>
        <w:t xml:space="preserve"> Mr </w:t>
      </w:r>
      <w:r w:rsidR="00AD55A8">
        <w:rPr>
          <w:rFonts w:cs="Arial"/>
          <w:szCs w:val="24"/>
        </w:rPr>
        <w:t xml:space="preserve">Michael Burns </w:t>
      </w:r>
      <w:r w:rsidR="00D33764" w:rsidRPr="00655618">
        <w:rPr>
          <w:rFonts w:cs="Arial"/>
          <w:szCs w:val="24"/>
        </w:rPr>
        <w:t xml:space="preserve">on behalf of </w:t>
      </w:r>
      <w:r w:rsidR="00170AE4">
        <w:rPr>
          <w:rFonts w:cs="Arial"/>
          <w:szCs w:val="24"/>
        </w:rPr>
        <w:t>S</w:t>
      </w:r>
      <w:r w:rsidR="00AD55A8">
        <w:rPr>
          <w:rFonts w:cs="Arial"/>
          <w:szCs w:val="24"/>
        </w:rPr>
        <w:t>alsa holdings (NT)</w:t>
      </w:r>
      <w:r w:rsidR="00170AE4">
        <w:rPr>
          <w:rFonts w:cs="Arial"/>
          <w:szCs w:val="24"/>
        </w:rPr>
        <w:t xml:space="preserve"> Pty Ltd</w:t>
      </w:r>
      <w:r w:rsidR="00D33764" w:rsidRPr="00655618">
        <w:rPr>
          <w:rFonts w:cs="Arial"/>
          <w:szCs w:val="24"/>
        </w:rPr>
        <w:t xml:space="preserve"> (“the Applicant</w:t>
      </w:r>
      <w:r w:rsidRPr="00655618">
        <w:rPr>
          <w:rFonts w:cs="Arial"/>
          <w:szCs w:val="24"/>
        </w:rPr>
        <w:t>”</w:t>
      </w:r>
      <w:r w:rsidR="00D33764" w:rsidRPr="00655618">
        <w:rPr>
          <w:rFonts w:cs="Arial"/>
          <w:szCs w:val="24"/>
        </w:rPr>
        <w:t xml:space="preserve">) applied for an increase in the number of </w:t>
      </w:r>
      <w:r w:rsidR="000F40A9" w:rsidRPr="00655618">
        <w:rPr>
          <w:rFonts w:cs="Arial"/>
          <w:szCs w:val="24"/>
        </w:rPr>
        <w:t xml:space="preserve">gaming machines </w:t>
      </w:r>
      <w:r w:rsidR="00D33764" w:rsidRPr="00655618">
        <w:rPr>
          <w:rFonts w:cs="Arial"/>
          <w:szCs w:val="24"/>
        </w:rPr>
        <w:t xml:space="preserve">authorised for use at </w:t>
      </w:r>
      <w:r w:rsidR="00AD55A8">
        <w:rPr>
          <w:rFonts w:cs="Arial"/>
          <w:szCs w:val="24"/>
        </w:rPr>
        <w:t>The Cavenagh</w:t>
      </w:r>
      <w:r w:rsidRPr="00655618">
        <w:rPr>
          <w:rFonts w:cs="Arial"/>
          <w:szCs w:val="24"/>
        </w:rPr>
        <w:t xml:space="preserve"> </w:t>
      </w:r>
      <w:r w:rsidR="00322F46" w:rsidRPr="00655618">
        <w:rPr>
          <w:rFonts w:cs="Arial"/>
          <w:szCs w:val="24"/>
        </w:rPr>
        <w:t xml:space="preserve">(“the </w:t>
      </w:r>
      <w:r w:rsidR="00170AE4">
        <w:rPr>
          <w:rFonts w:cs="Arial"/>
          <w:szCs w:val="24"/>
        </w:rPr>
        <w:t>venue</w:t>
      </w:r>
      <w:r w:rsidR="00322F46" w:rsidRPr="00655618">
        <w:rPr>
          <w:rFonts w:cs="Arial"/>
          <w:szCs w:val="24"/>
        </w:rPr>
        <w:t xml:space="preserve">”) </w:t>
      </w:r>
      <w:r w:rsidR="00D33764" w:rsidRPr="00655618">
        <w:rPr>
          <w:rFonts w:cs="Arial"/>
          <w:szCs w:val="24"/>
        </w:rPr>
        <w:t xml:space="preserve">pursuant to section 41 of the </w:t>
      </w:r>
      <w:r w:rsidR="00D33764" w:rsidRPr="00655618">
        <w:rPr>
          <w:rFonts w:cs="Arial"/>
          <w:i/>
          <w:szCs w:val="24"/>
        </w:rPr>
        <w:t>Gaming Machine Act</w:t>
      </w:r>
      <w:r w:rsidR="00D33764" w:rsidRPr="00655618">
        <w:rPr>
          <w:rFonts w:cs="Arial"/>
          <w:szCs w:val="24"/>
        </w:rPr>
        <w:t xml:space="preserve"> (“the Act”).  </w:t>
      </w:r>
    </w:p>
    <w:p w:rsidR="00770807" w:rsidRPr="00655618" w:rsidRDefault="00770807" w:rsidP="000F40A9">
      <w:pPr>
        <w:pStyle w:val="ListParagraph"/>
        <w:numPr>
          <w:ilvl w:val="0"/>
          <w:numId w:val="12"/>
        </w:numPr>
        <w:spacing w:after="240"/>
        <w:ind w:left="567" w:hanging="425"/>
        <w:jc w:val="both"/>
        <w:rPr>
          <w:rFonts w:cs="Arial"/>
          <w:szCs w:val="24"/>
        </w:rPr>
      </w:pPr>
      <w:r w:rsidRPr="00655618">
        <w:rPr>
          <w:rFonts w:cs="Arial"/>
          <w:szCs w:val="24"/>
        </w:rPr>
        <w:t>Regulation 3(a) of the Gaming Machine Regulations (</w:t>
      </w:r>
      <w:r w:rsidR="00532F5C">
        <w:rPr>
          <w:rFonts w:cs="Arial"/>
          <w:szCs w:val="24"/>
        </w:rPr>
        <w:t>“</w:t>
      </w:r>
      <w:r w:rsidRPr="00655618">
        <w:rPr>
          <w:rFonts w:cs="Arial"/>
          <w:szCs w:val="24"/>
        </w:rPr>
        <w:t>the Regulations”) sets the maximum number of gaming machines that may be authorised for a Category 1 licensed premise under section 41 of the Act.</w:t>
      </w:r>
    </w:p>
    <w:p w:rsidR="00770807" w:rsidRPr="00B3067F" w:rsidRDefault="00770807" w:rsidP="000F40A9">
      <w:pPr>
        <w:pStyle w:val="ListParagraph"/>
        <w:numPr>
          <w:ilvl w:val="0"/>
          <w:numId w:val="12"/>
        </w:numPr>
        <w:spacing w:after="240"/>
        <w:ind w:left="567" w:hanging="425"/>
        <w:jc w:val="both"/>
        <w:rPr>
          <w:rFonts w:cs="Arial"/>
          <w:szCs w:val="24"/>
        </w:rPr>
      </w:pPr>
      <w:r w:rsidRPr="00B3067F">
        <w:rPr>
          <w:rFonts w:cs="Arial"/>
          <w:szCs w:val="24"/>
        </w:rPr>
        <w:t>Regulation 2(2)(a)</w:t>
      </w:r>
      <w:r w:rsidR="0040316A" w:rsidRPr="00B3067F">
        <w:rPr>
          <w:rFonts w:cs="Arial"/>
          <w:szCs w:val="24"/>
        </w:rPr>
        <w:t>(i)</w:t>
      </w:r>
      <w:r w:rsidRPr="00B3067F">
        <w:rPr>
          <w:rFonts w:cs="Arial"/>
          <w:szCs w:val="24"/>
        </w:rPr>
        <w:t xml:space="preserve"> of the Regulations defines a Category 1 licensed premise </w:t>
      </w:r>
      <w:r w:rsidR="0040316A" w:rsidRPr="00B3067F">
        <w:rPr>
          <w:rFonts w:cs="Arial"/>
          <w:szCs w:val="24"/>
        </w:rPr>
        <w:t>as a premise for which a hotel liquor licence is in force at any particular time.</w:t>
      </w:r>
    </w:p>
    <w:p w:rsidR="0040316A" w:rsidRPr="00B3067F" w:rsidRDefault="0040316A" w:rsidP="000F40A9">
      <w:pPr>
        <w:pStyle w:val="ListParagraph"/>
        <w:numPr>
          <w:ilvl w:val="0"/>
          <w:numId w:val="12"/>
        </w:numPr>
        <w:spacing w:after="240"/>
        <w:ind w:left="567" w:hanging="425"/>
        <w:jc w:val="both"/>
        <w:rPr>
          <w:rFonts w:cs="Arial"/>
          <w:szCs w:val="24"/>
        </w:rPr>
      </w:pPr>
      <w:r w:rsidRPr="00B3067F">
        <w:rPr>
          <w:rFonts w:cs="Arial"/>
          <w:szCs w:val="24"/>
        </w:rPr>
        <w:t>Under section 41(1) of the Act, a licensee may apply to have the number of gaming machines authorised for use under the license increased.  The Director-General</w:t>
      </w:r>
      <w:r w:rsidR="00F6779E">
        <w:rPr>
          <w:rFonts w:cs="Arial"/>
          <w:szCs w:val="24"/>
        </w:rPr>
        <w:t xml:space="preserve"> of Licensing (“Director-General”)</w:t>
      </w:r>
      <w:r w:rsidRPr="00655618">
        <w:rPr>
          <w:rFonts w:cs="Arial"/>
          <w:szCs w:val="24"/>
        </w:rPr>
        <w:t xml:space="preserve"> may grant or refuse such an application a</w:t>
      </w:r>
      <w:r w:rsidRPr="00B3067F">
        <w:rPr>
          <w:rFonts w:cs="Arial"/>
          <w:szCs w:val="24"/>
        </w:rPr>
        <w:t>nd in determining the application shall have regard to Part 3, Division</w:t>
      </w:r>
      <w:r w:rsidR="000B5975" w:rsidRPr="00B3067F">
        <w:rPr>
          <w:rFonts w:cs="Arial"/>
          <w:szCs w:val="24"/>
        </w:rPr>
        <w:t xml:space="preserve"> 5 of the Act.</w:t>
      </w:r>
    </w:p>
    <w:p w:rsidR="0087091E" w:rsidRPr="00B3067F" w:rsidRDefault="0087091E" w:rsidP="0087091E">
      <w:pPr>
        <w:pStyle w:val="ListParagraph"/>
        <w:numPr>
          <w:ilvl w:val="0"/>
          <w:numId w:val="12"/>
        </w:numPr>
        <w:spacing w:after="240"/>
        <w:ind w:left="567" w:hanging="425"/>
        <w:jc w:val="both"/>
        <w:rPr>
          <w:rFonts w:cs="Arial"/>
          <w:szCs w:val="24"/>
        </w:rPr>
      </w:pPr>
      <w:r w:rsidRPr="00B3067F">
        <w:rPr>
          <w:rFonts w:cs="Arial"/>
          <w:szCs w:val="24"/>
        </w:rPr>
        <w:t xml:space="preserve">The Applicant is the holder of a licence issued under the </w:t>
      </w:r>
      <w:r w:rsidRPr="00B3067F">
        <w:rPr>
          <w:rFonts w:cs="Arial"/>
          <w:i/>
          <w:szCs w:val="24"/>
        </w:rPr>
        <w:t>Liquor Act</w:t>
      </w:r>
      <w:r w:rsidRPr="00B3067F">
        <w:rPr>
          <w:rFonts w:cs="Arial"/>
          <w:szCs w:val="24"/>
        </w:rPr>
        <w:t xml:space="preserve"> endorsed AUTHORITY – </w:t>
      </w:r>
      <w:r w:rsidR="00AD55A8">
        <w:rPr>
          <w:rFonts w:cs="Arial"/>
          <w:szCs w:val="24"/>
        </w:rPr>
        <w:t>PUBLIC HOTEL</w:t>
      </w:r>
      <w:r w:rsidRPr="00B3067F">
        <w:rPr>
          <w:rFonts w:cs="Arial"/>
          <w:szCs w:val="24"/>
        </w:rPr>
        <w:t xml:space="preserve"> (number 801</w:t>
      </w:r>
      <w:r w:rsidR="00AD55A8">
        <w:rPr>
          <w:rFonts w:cs="Arial"/>
          <w:szCs w:val="24"/>
        </w:rPr>
        <w:t>01040</w:t>
      </w:r>
      <w:r w:rsidRPr="00B3067F">
        <w:rPr>
          <w:rFonts w:cs="Arial"/>
          <w:szCs w:val="24"/>
        </w:rPr>
        <w:t>), which is defined under section 3 of the Act as a hotel liquor licence.</w:t>
      </w:r>
      <w:r w:rsidR="00170AE4" w:rsidRPr="00170AE4">
        <w:rPr>
          <w:rFonts w:cs="Arial"/>
          <w:b/>
          <w:bCs/>
          <w:sz w:val="20"/>
        </w:rPr>
        <w:t xml:space="preserve"> </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currently holds </w:t>
      </w:r>
      <w:r w:rsidR="0017294F" w:rsidRPr="00B3067F">
        <w:rPr>
          <w:rFonts w:cs="Arial"/>
          <w:szCs w:val="24"/>
        </w:rPr>
        <w:t>Gaming Machine Licence N</w:t>
      </w:r>
      <w:r w:rsidRPr="00B3067F">
        <w:rPr>
          <w:rFonts w:cs="Arial"/>
          <w:szCs w:val="24"/>
        </w:rPr>
        <w:t xml:space="preserve">o. </w:t>
      </w:r>
      <w:r w:rsidR="0017294F" w:rsidRPr="004226A1">
        <w:rPr>
          <w:rFonts w:cs="Arial"/>
          <w:szCs w:val="24"/>
        </w:rPr>
        <w:t>GM</w:t>
      </w:r>
      <w:r w:rsidR="005B0250" w:rsidRPr="004226A1">
        <w:rPr>
          <w:rFonts w:cs="Arial"/>
          <w:szCs w:val="24"/>
        </w:rPr>
        <w:t>260</w:t>
      </w:r>
      <w:r w:rsidR="0017294F" w:rsidRPr="00B3067F">
        <w:rPr>
          <w:rFonts w:cs="Arial"/>
          <w:szCs w:val="24"/>
        </w:rPr>
        <w:t xml:space="preserve"> and is </w:t>
      </w:r>
      <w:r w:rsidR="003B7A67" w:rsidRPr="00B3067F">
        <w:rPr>
          <w:rFonts w:cs="Arial"/>
          <w:szCs w:val="24"/>
        </w:rPr>
        <w:t xml:space="preserve">seeking to </w:t>
      </w:r>
      <w:r w:rsidR="003B7A67" w:rsidRPr="00B3067F">
        <w:rPr>
          <w:rFonts w:cs="Arial"/>
          <w:szCs w:val="22"/>
        </w:rPr>
        <w:t xml:space="preserve">increase the number of gaming machines from its current level of </w:t>
      </w:r>
      <w:r w:rsidR="006627E4" w:rsidRPr="00B3067F">
        <w:rPr>
          <w:rFonts w:cs="Arial"/>
          <w:szCs w:val="22"/>
        </w:rPr>
        <w:t>ten</w:t>
      </w:r>
      <w:r w:rsidR="003B7A67" w:rsidRPr="00B3067F">
        <w:rPr>
          <w:rFonts w:cs="Arial"/>
          <w:szCs w:val="22"/>
        </w:rPr>
        <w:t xml:space="preserve"> to a proposed new number of 20 gaming machines.</w:t>
      </w:r>
    </w:p>
    <w:p w:rsidR="008A32EB" w:rsidRPr="00B3067F" w:rsidRDefault="008A32EB" w:rsidP="008A32EB">
      <w:pPr>
        <w:pStyle w:val="ListParagraph"/>
        <w:numPr>
          <w:ilvl w:val="0"/>
          <w:numId w:val="12"/>
        </w:numPr>
        <w:spacing w:after="240"/>
        <w:ind w:left="567" w:hanging="425"/>
        <w:jc w:val="both"/>
        <w:rPr>
          <w:rFonts w:cs="Arial"/>
          <w:szCs w:val="24"/>
        </w:rPr>
      </w:pPr>
      <w:r w:rsidRPr="00B3067F">
        <w:rPr>
          <w:rFonts w:cs="Arial"/>
          <w:szCs w:val="24"/>
        </w:rPr>
        <w:t>The application was accompanied by the prescribed application fee and the prescribed levy for the ten additional gaming machines applied for.</w:t>
      </w:r>
    </w:p>
    <w:p w:rsidR="008A32EB" w:rsidRPr="00B3067F" w:rsidRDefault="00D33764"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application was </w:t>
      </w:r>
      <w:r w:rsidR="008A32EB" w:rsidRPr="00B3067F">
        <w:rPr>
          <w:rFonts w:cs="Arial"/>
          <w:szCs w:val="24"/>
        </w:rPr>
        <w:t xml:space="preserve">also accompanied by the </w:t>
      </w:r>
      <w:r w:rsidR="008A27E4" w:rsidRPr="00B3067F">
        <w:rPr>
          <w:rFonts w:cs="Arial"/>
          <w:szCs w:val="24"/>
        </w:rPr>
        <w:t>required</w:t>
      </w:r>
      <w:r w:rsidR="008A32EB" w:rsidRPr="00B3067F">
        <w:rPr>
          <w:rFonts w:cs="Arial"/>
          <w:szCs w:val="24"/>
        </w:rPr>
        <w:t xml:space="preserve"> </w:t>
      </w:r>
      <w:r w:rsidRPr="00B3067F">
        <w:rPr>
          <w:rFonts w:cs="Arial"/>
          <w:szCs w:val="24"/>
        </w:rPr>
        <w:t>Community Impact Analysis (“CIA”) prepared by DWS Hospitality Specialist</w:t>
      </w:r>
      <w:r w:rsidR="00CB7DC0" w:rsidRPr="00B3067F">
        <w:rPr>
          <w:rFonts w:cs="Arial"/>
          <w:szCs w:val="24"/>
        </w:rPr>
        <w:t>s</w:t>
      </w:r>
      <w:r w:rsidRPr="00B3067F">
        <w:rPr>
          <w:rFonts w:cs="Arial"/>
          <w:szCs w:val="24"/>
        </w:rPr>
        <w:t xml:space="preserve">.  </w:t>
      </w:r>
    </w:p>
    <w:p w:rsidR="00D55BBF" w:rsidRPr="00B3067F" w:rsidRDefault="00F6779E" w:rsidP="00D55BBF">
      <w:pPr>
        <w:pStyle w:val="Heading2"/>
        <w:rPr>
          <w:rFonts w:cs="Arial"/>
        </w:rPr>
      </w:pPr>
      <w:r>
        <w:rPr>
          <w:rFonts w:cs="Arial"/>
        </w:rPr>
        <w:lastRenderedPageBreak/>
        <w:t>Consideration</w:t>
      </w:r>
      <w:r w:rsidRPr="00B3067F">
        <w:rPr>
          <w:rFonts w:cs="Arial"/>
        </w:rPr>
        <w:t xml:space="preserve"> </w:t>
      </w:r>
      <w:r w:rsidR="00E07444" w:rsidRPr="00B3067F">
        <w:rPr>
          <w:rFonts w:cs="Arial"/>
        </w:rPr>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t>to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t>to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to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t>to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t>to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t>the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t>if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(ba)</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the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t>the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t>the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t>such other matters as the Director-General considers are relevant.</w:t>
      </w:r>
    </w:p>
    <w:p w:rsidR="00F31EE1" w:rsidRPr="00F1351E" w:rsidRDefault="00F31EE1" w:rsidP="00587446">
      <w:pPr>
        <w:pStyle w:val="Heading3"/>
      </w:pPr>
      <w:r w:rsidRPr="00F1351E">
        <w:t>Increased number of gaming machines</w:t>
      </w:r>
    </w:p>
    <w:p w:rsidR="00F76467" w:rsidRPr="00B3067F" w:rsidRDefault="003B7A67" w:rsidP="004226A1">
      <w:pPr>
        <w:pStyle w:val="ListParagraph"/>
        <w:numPr>
          <w:ilvl w:val="0"/>
          <w:numId w:val="12"/>
        </w:numPr>
        <w:spacing w:after="24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Pr="00655618">
        <w:rPr>
          <w:rFonts w:cs="Arial"/>
          <w:szCs w:val="22"/>
        </w:rPr>
        <w:t>ten</w:t>
      </w:r>
      <w:r w:rsidR="00F76467" w:rsidRPr="00655618">
        <w:rPr>
          <w:rFonts w:cs="Arial"/>
          <w:szCs w:val="22"/>
        </w:rPr>
        <w:t xml:space="preserve"> to a proposed new number of 20 gaming machines, an increase of </w:t>
      </w:r>
      <w:r w:rsidRPr="00655618">
        <w:rPr>
          <w:rFonts w:cs="Arial"/>
          <w:szCs w:val="22"/>
        </w:rPr>
        <w:t>ten</w:t>
      </w:r>
      <w:r w:rsidR="00F76467" w:rsidRPr="00B3067F">
        <w:rPr>
          <w:rFonts w:cs="Arial"/>
          <w:szCs w:val="22"/>
        </w:rPr>
        <w:t xml:space="preserve"> gaming machines.</w:t>
      </w:r>
      <w:r w:rsidR="00C816B9">
        <w:rPr>
          <w:rFonts w:cs="Arial"/>
          <w:szCs w:val="22"/>
        </w:rPr>
        <w:t xml:space="preserve">  </w:t>
      </w:r>
    </w:p>
    <w:p w:rsidR="00F76467" w:rsidRPr="00B3067F" w:rsidRDefault="00F76467" w:rsidP="004226A1">
      <w:pPr>
        <w:pStyle w:val="ListParagraph"/>
        <w:numPr>
          <w:ilvl w:val="0"/>
          <w:numId w:val="12"/>
        </w:numPr>
        <w:spacing w:after="240"/>
        <w:ind w:left="567" w:hanging="425"/>
        <w:jc w:val="both"/>
        <w:rPr>
          <w:rFonts w:cs="Arial"/>
          <w:szCs w:val="22"/>
        </w:rPr>
      </w:pPr>
      <w:r w:rsidRPr="00B3067F">
        <w:rPr>
          <w:rFonts w:cs="Arial"/>
          <w:szCs w:val="22"/>
        </w:rPr>
        <w:t xml:space="preserve">The Applicant currently holds </w:t>
      </w:r>
      <w:r w:rsidRPr="004226A1">
        <w:rPr>
          <w:rFonts w:cs="Arial"/>
          <w:szCs w:val="22"/>
        </w:rPr>
        <w:t>Gaming Machine Licence No. GM</w:t>
      </w:r>
      <w:r w:rsidR="005B0250" w:rsidRPr="004226A1">
        <w:rPr>
          <w:rFonts w:cs="Arial"/>
          <w:szCs w:val="22"/>
        </w:rPr>
        <w:t>260</w:t>
      </w:r>
      <w:r w:rsidRPr="00B3067F">
        <w:rPr>
          <w:rFonts w:cs="Arial"/>
          <w:szCs w:val="22"/>
        </w:rPr>
        <w:t xml:space="preserve"> and is authorised to operate </w:t>
      </w:r>
      <w:r w:rsidR="003B7A67" w:rsidRPr="00B3067F">
        <w:rPr>
          <w:rFonts w:cs="Arial"/>
          <w:szCs w:val="22"/>
        </w:rPr>
        <w:t>ten</w:t>
      </w:r>
      <w:r w:rsidRPr="00B3067F">
        <w:rPr>
          <w:rFonts w:cs="Arial"/>
          <w:szCs w:val="22"/>
        </w:rPr>
        <w:t xml:space="preserve"> gaming machines and currently does operates </w:t>
      </w:r>
      <w:r w:rsidR="003B7A67" w:rsidRPr="00B3067F">
        <w:rPr>
          <w:rFonts w:cs="Arial"/>
          <w:szCs w:val="22"/>
        </w:rPr>
        <w:t>ten</w:t>
      </w:r>
      <w:r w:rsidRPr="00B3067F">
        <w:rPr>
          <w:rFonts w:cs="Arial"/>
          <w:szCs w:val="22"/>
        </w:rPr>
        <w:t xml:space="preserve"> gaming machines on the premises.  That is, the Applicant is currently operating gaming machines to the limit of its current authorisation.</w:t>
      </w:r>
    </w:p>
    <w:p w:rsidR="0086745F" w:rsidRPr="00B3067F" w:rsidRDefault="003B7A67">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090245" w:rsidRPr="00B3067F">
        <w:rPr>
          <w:rFonts w:cs="Arial"/>
          <w:szCs w:val="22"/>
        </w:rPr>
        <w:t xml:space="preserve">for a Category 1 licensed premise </w:t>
      </w:r>
      <w:r w:rsidRPr="00B3067F">
        <w:rPr>
          <w:rFonts w:cs="Arial"/>
          <w:szCs w:val="22"/>
        </w:rPr>
        <w:t xml:space="preserve">at </w:t>
      </w:r>
      <w:r w:rsidR="00090245" w:rsidRPr="00B3067F">
        <w:rPr>
          <w:rFonts w:cs="Arial"/>
          <w:szCs w:val="22"/>
        </w:rPr>
        <w:t xml:space="preserve">20.  As the Applicant </w:t>
      </w:r>
      <w:r w:rsidR="00090245" w:rsidRPr="00B3067F">
        <w:rPr>
          <w:rFonts w:cs="Arial"/>
          <w:szCs w:val="24"/>
        </w:rPr>
        <w:t xml:space="preserve">is the holder of a licence issued under the </w:t>
      </w:r>
      <w:r w:rsidR="00090245" w:rsidRPr="00B3067F">
        <w:rPr>
          <w:rFonts w:cs="Arial"/>
          <w:i/>
          <w:szCs w:val="24"/>
        </w:rPr>
        <w:t>Liquor Act</w:t>
      </w:r>
      <w:r w:rsidR="00090245" w:rsidRPr="00B3067F">
        <w:rPr>
          <w:rFonts w:cs="Arial"/>
          <w:szCs w:val="24"/>
        </w:rPr>
        <w:t xml:space="preserve"> endorsed AUTHORITY – </w:t>
      </w:r>
      <w:r w:rsidR="005B0250">
        <w:rPr>
          <w:rFonts w:cs="Arial"/>
          <w:szCs w:val="24"/>
        </w:rPr>
        <w:t>PUBLIC HOTEL</w:t>
      </w:r>
      <w:r w:rsidR="00090245" w:rsidRPr="00B3067F">
        <w:rPr>
          <w:rFonts w:cs="Arial"/>
          <w:szCs w:val="24"/>
        </w:rPr>
        <w:t>, which is defined under section 3 of the Act as a hotel li</w:t>
      </w:r>
      <w:r w:rsidR="0086745F" w:rsidRPr="00B3067F">
        <w:rPr>
          <w:rFonts w:cs="Arial"/>
          <w:szCs w:val="24"/>
        </w:rPr>
        <w:t>quor licence, the premises are considered to be a Category 1 licensed premise pursuant to 2</w:t>
      </w:r>
      <w:r w:rsidR="000F6B25">
        <w:rPr>
          <w:rFonts w:cs="Arial"/>
          <w:szCs w:val="24"/>
        </w:rPr>
        <w:t>(2)</w:t>
      </w:r>
      <w:r w:rsidR="0086745F" w:rsidRPr="00B3067F">
        <w:rPr>
          <w:rFonts w:cs="Arial"/>
          <w:szCs w:val="24"/>
        </w:rPr>
        <w:t>(a) of the Regulations.</w:t>
      </w:r>
    </w:p>
    <w:p w:rsidR="00090245" w:rsidRPr="00B3067F" w:rsidRDefault="0086745F" w:rsidP="004226A1">
      <w:pPr>
        <w:pStyle w:val="ListParagraph"/>
        <w:numPr>
          <w:ilvl w:val="0"/>
          <w:numId w:val="12"/>
        </w:numPr>
        <w:spacing w:after="240"/>
        <w:ind w:left="567" w:hanging="425"/>
        <w:jc w:val="both"/>
        <w:rPr>
          <w:rFonts w:cs="Arial"/>
          <w:szCs w:val="22"/>
        </w:rPr>
      </w:pPr>
      <w:r w:rsidRPr="00B3067F">
        <w:rPr>
          <w:rFonts w:cs="Arial"/>
          <w:szCs w:val="22"/>
        </w:rPr>
        <w:t xml:space="preserve">As such, the Applicant is able to apply for an increase of ten gaming machines and if granted, </w:t>
      </w:r>
      <w:r w:rsidR="006B4310" w:rsidRPr="00B3067F">
        <w:rPr>
          <w:rFonts w:cs="Arial"/>
          <w:szCs w:val="22"/>
        </w:rPr>
        <w:t xml:space="preserve">I am satisfied that </w:t>
      </w:r>
      <w:r w:rsidRPr="00B3067F">
        <w:rPr>
          <w:rFonts w:cs="Arial"/>
          <w:szCs w:val="22"/>
        </w:rPr>
        <w:t>the number of gaming machines on the premises would be within the statutory limit of 20 gaming machines.</w:t>
      </w:r>
    </w:p>
    <w:p w:rsidR="00F31EE1" w:rsidRPr="00587446" w:rsidRDefault="00F31EE1" w:rsidP="00587446">
      <w:pPr>
        <w:pStyle w:val="Heading3"/>
      </w:pPr>
      <w:r w:rsidRPr="00587446">
        <w:lastRenderedPageBreak/>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587446">
      <w:pPr>
        <w:pStyle w:val="ListParagraph"/>
        <w:keepNext/>
        <w:spacing w:after="120"/>
        <w:ind w:left="992" w:hanging="425"/>
        <w:jc w:val="both"/>
        <w:rPr>
          <w:rFonts w:cs="Arial"/>
          <w:i/>
          <w:szCs w:val="24"/>
        </w:rPr>
      </w:pPr>
      <w:r w:rsidRPr="00655618">
        <w:rPr>
          <w:rFonts w:cs="Arial"/>
          <w:szCs w:val="24"/>
        </w:rPr>
        <w:t>(a)</w:t>
      </w:r>
      <w:r w:rsidRPr="00655618">
        <w:rPr>
          <w:rFonts w:cs="Arial"/>
          <w:szCs w:val="24"/>
        </w:rPr>
        <w:tab/>
      </w:r>
      <w:r w:rsidRPr="00655618">
        <w:rPr>
          <w:rFonts w:cs="Arial"/>
          <w:i/>
          <w:szCs w:val="24"/>
        </w:rPr>
        <w:t xml:space="preserve">the suitability of the premises to which the application relates having regard to the size, layout and facilities of the premises; </w:t>
      </w:r>
    </w:p>
    <w:p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t>the suitability of the premises to which the application relates having regard to the primary activity conducted at the premises;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t>the appropriateness of problem gambling risk management and responsible gambling strategies;</w:t>
      </w:r>
    </w:p>
    <w:p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t>economic impact of the proposal including contribution to the community, employment creation and significance or reliance of the venue to or on tourism.</w:t>
      </w:r>
    </w:p>
    <w:p w:rsidR="006B4310" w:rsidRPr="00587446" w:rsidRDefault="006B4310" w:rsidP="00587446">
      <w:pPr>
        <w:pStyle w:val="ListParagraph"/>
        <w:spacing w:after="120"/>
        <w:ind w:left="993" w:hanging="993"/>
        <w:jc w:val="both"/>
        <w:rPr>
          <w:rStyle w:val="Emphasis"/>
          <w:b/>
          <w:i w:val="0"/>
          <w:szCs w:val="24"/>
        </w:rPr>
      </w:pPr>
      <w:r w:rsidRPr="00587446">
        <w:rPr>
          <w:rStyle w:val="Emphasis"/>
          <w:b/>
          <w:i w:val="0"/>
          <w:szCs w:val="24"/>
        </w:rPr>
        <w:t>Suitability of Premises</w:t>
      </w:r>
      <w:r w:rsidR="004732FE" w:rsidRPr="00587446">
        <w:rPr>
          <w:rStyle w:val="Emphasis"/>
          <w:b/>
          <w:i w:val="0"/>
          <w:szCs w:val="24"/>
        </w:rPr>
        <w:t xml:space="preserve"> – size, layout and facilities</w:t>
      </w:r>
    </w:p>
    <w:p w:rsidR="006B4310" w:rsidRPr="00B3067F" w:rsidRDefault="006B4310" w:rsidP="00587446">
      <w:pPr>
        <w:pStyle w:val="ListParagraph"/>
        <w:numPr>
          <w:ilvl w:val="0"/>
          <w:numId w:val="12"/>
        </w:numPr>
        <w:spacing w:after="240"/>
        <w:ind w:left="567" w:hanging="425"/>
        <w:jc w:val="both"/>
        <w:rPr>
          <w:rFonts w:cs="Arial"/>
          <w:szCs w:val="22"/>
        </w:rPr>
      </w:pPr>
      <w:r w:rsidRPr="00655618">
        <w:rPr>
          <w:rFonts w:cs="Arial"/>
          <w:szCs w:val="22"/>
        </w:rPr>
        <w:t xml:space="preserve">Information contained </w:t>
      </w:r>
      <w:r w:rsidR="00170AE4">
        <w:rPr>
          <w:rFonts w:cs="Arial"/>
          <w:szCs w:val="22"/>
        </w:rPr>
        <w:t xml:space="preserve">within </w:t>
      </w:r>
      <w:r w:rsidRPr="00655618">
        <w:rPr>
          <w:rFonts w:cs="Arial"/>
          <w:szCs w:val="22"/>
        </w:rPr>
        <w:t xml:space="preserve">the CIA indicates that the current floor space of the </w:t>
      </w:r>
      <w:r w:rsidR="00F2125B">
        <w:rPr>
          <w:rFonts w:cs="Arial"/>
          <w:szCs w:val="22"/>
        </w:rPr>
        <w:t xml:space="preserve">licensed </w:t>
      </w:r>
      <w:r w:rsidRPr="00655618">
        <w:rPr>
          <w:rFonts w:cs="Arial"/>
          <w:szCs w:val="22"/>
        </w:rPr>
        <w:t xml:space="preserve">premises is </w:t>
      </w:r>
      <w:r w:rsidR="005B0250">
        <w:rPr>
          <w:rFonts w:cs="Arial"/>
          <w:szCs w:val="22"/>
        </w:rPr>
        <w:t>682</w:t>
      </w:r>
      <w:r w:rsidRPr="00655618">
        <w:rPr>
          <w:rFonts w:cs="Arial"/>
          <w:szCs w:val="22"/>
        </w:rPr>
        <w:t xml:space="preserve"> square metres of which </w:t>
      </w:r>
      <w:r w:rsidR="005B0250">
        <w:rPr>
          <w:rFonts w:cs="Arial"/>
          <w:szCs w:val="22"/>
        </w:rPr>
        <w:t>79% of the area is used for bar and a beer garden</w:t>
      </w:r>
      <w:r w:rsidRPr="00655618">
        <w:rPr>
          <w:rFonts w:cs="Arial"/>
          <w:szCs w:val="22"/>
        </w:rPr>
        <w:t xml:space="preserve">, </w:t>
      </w:r>
      <w:r w:rsidR="005B0250">
        <w:rPr>
          <w:rFonts w:cs="Arial"/>
          <w:szCs w:val="22"/>
        </w:rPr>
        <w:t>16</w:t>
      </w:r>
      <w:r w:rsidRPr="00655618">
        <w:rPr>
          <w:rFonts w:cs="Arial"/>
          <w:szCs w:val="22"/>
        </w:rPr>
        <w:t>% is used for</w:t>
      </w:r>
      <w:r w:rsidR="005B0250">
        <w:rPr>
          <w:rFonts w:cs="Arial"/>
          <w:szCs w:val="22"/>
        </w:rPr>
        <w:t xml:space="preserve"> a bottle shop and 5</w:t>
      </w:r>
      <w:r w:rsidRPr="00655618">
        <w:rPr>
          <w:rFonts w:cs="Arial"/>
          <w:szCs w:val="22"/>
        </w:rPr>
        <w:t>% is utilised for gaming</w:t>
      </w:r>
      <w:r w:rsidR="00F2125B">
        <w:rPr>
          <w:rFonts w:cs="Arial"/>
          <w:szCs w:val="22"/>
        </w:rPr>
        <w:t xml:space="preserve">.  </w:t>
      </w:r>
      <w:r w:rsidRPr="00655618">
        <w:rPr>
          <w:rFonts w:cs="Arial"/>
          <w:szCs w:val="22"/>
        </w:rPr>
        <w:t xml:space="preserve">The CIA states that these percentages </w:t>
      </w:r>
      <w:r w:rsidR="00F2125B">
        <w:rPr>
          <w:rFonts w:cs="Arial"/>
          <w:szCs w:val="22"/>
        </w:rPr>
        <w:t>will change to 8% of available floor space being used for gaming as a result of a reduction in the bar area.</w:t>
      </w:r>
    </w:p>
    <w:p w:rsidR="005303FC"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w:t>
      </w:r>
      <w:r w:rsidR="00170AE4">
        <w:rPr>
          <w:rFonts w:cs="Arial"/>
          <w:szCs w:val="22"/>
        </w:rPr>
        <w:t>floor</w:t>
      </w:r>
      <w:r w:rsidRPr="00B3067F">
        <w:rPr>
          <w:rFonts w:cs="Arial"/>
          <w:szCs w:val="22"/>
        </w:rPr>
        <w:t xml:space="preserve"> plans show that the gaming area is </w:t>
      </w:r>
      <w:r w:rsidR="00F2125B">
        <w:rPr>
          <w:rFonts w:cs="Arial"/>
          <w:szCs w:val="22"/>
        </w:rPr>
        <w:t xml:space="preserve">currently </w:t>
      </w:r>
      <w:r w:rsidRPr="00B3067F">
        <w:rPr>
          <w:rFonts w:cs="Arial"/>
          <w:szCs w:val="22"/>
        </w:rPr>
        <w:t>a discrete area within the premises</w:t>
      </w:r>
      <w:r w:rsidR="00F2125B">
        <w:rPr>
          <w:rFonts w:cs="Arial"/>
          <w:szCs w:val="22"/>
        </w:rPr>
        <w:t xml:space="preserve"> and with proposed alterations, the discrete area will be expanded.  I am satisfied that </w:t>
      </w:r>
      <w:r w:rsidRPr="00B3067F">
        <w:rPr>
          <w:rFonts w:cs="Arial"/>
          <w:szCs w:val="22"/>
        </w:rPr>
        <w:t xml:space="preserve">that </w:t>
      </w:r>
      <w:r w:rsidR="005303FC" w:rsidRPr="00B3067F">
        <w:rPr>
          <w:rFonts w:cs="Arial"/>
          <w:szCs w:val="22"/>
        </w:rPr>
        <w:t>there is sufficient space to incorporate additional gaming machines if approved.</w:t>
      </w:r>
    </w:p>
    <w:p w:rsidR="004732FE" w:rsidRPr="00587446" w:rsidRDefault="004732FE" w:rsidP="00587446">
      <w:pPr>
        <w:pStyle w:val="ListParagraph"/>
        <w:spacing w:after="120"/>
        <w:ind w:left="993" w:hanging="993"/>
        <w:jc w:val="both"/>
        <w:rPr>
          <w:rStyle w:val="Emphasis"/>
          <w:b/>
          <w:i w:val="0"/>
        </w:rPr>
      </w:pPr>
      <w:r w:rsidRPr="00587446">
        <w:rPr>
          <w:rStyle w:val="Emphasis"/>
          <w:b/>
          <w:i w:val="0"/>
        </w:rPr>
        <w:t>Suitability of Premises – primary activity</w:t>
      </w:r>
    </w:p>
    <w:p w:rsidR="00AA7967"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states that </w:t>
      </w:r>
      <w:r w:rsidR="00AA7967">
        <w:rPr>
          <w:rFonts w:cs="Arial"/>
          <w:szCs w:val="22"/>
        </w:rPr>
        <w:t xml:space="preserve">there is a mix of facilities at the venue including </w:t>
      </w:r>
      <w:r w:rsidR="00F2125B">
        <w:rPr>
          <w:rFonts w:cs="Arial"/>
          <w:szCs w:val="22"/>
        </w:rPr>
        <w:t>bars, a restaurant, a beer garden, a function room, 80 accommodation rooms, a bottle shop and a pool.</w:t>
      </w:r>
    </w:p>
    <w:p w:rsidR="00762F2D" w:rsidRDefault="004732FE" w:rsidP="00587446">
      <w:pPr>
        <w:pStyle w:val="ListParagraph"/>
        <w:numPr>
          <w:ilvl w:val="0"/>
          <w:numId w:val="12"/>
        </w:numPr>
        <w:spacing w:after="240"/>
        <w:ind w:left="567" w:hanging="425"/>
        <w:jc w:val="both"/>
        <w:rPr>
          <w:rFonts w:cs="Arial"/>
          <w:szCs w:val="22"/>
        </w:rPr>
      </w:pPr>
      <w:r w:rsidRPr="00762F2D">
        <w:rPr>
          <w:rFonts w:cs="Arial"/>
          <w:szCs w:val="22"/>
        </w:rPr>
        <w:t xml:space="preserve">The CIA provides information regarding the </w:t>
      </w:r>
      <w:r w:rsidR="00AA7967" w:rsidRPr="00762F2D">
        <w:rPr>
          <w:rFonts w:cs="Arial"/>
          <w:szCs w:val="22"/>
        </w:rPr>
        <w:t>venue</w:t>
      </w:r>
      <w:r w:rsidRPr="00762F2D">
        <w:rPr>
          <w:rFonts w:cs="Arial"/>
          <w:szCs w:val="22"/>
        </w:rPr>
        <w:t xml:space="preserve">’s financial performance.  </w:t>
      </w:r>
      <w:r w:rsidR="00AA7967" w:rsidRPr="00762F2D">
        <w:rPr>
          <w:rFonts w:cs="Arial"/>
          <w:szCs w:val="22"/>
        </w:rPr>
        <w:t xml:space="preserve">In 2014, it is reported that </w:t>
      </w:r>
      <w:r w:rsidR="00F2125B" w:rsidRPr="00762F2D">
        <w:rPr>
          <w:rFonts w:cs="Arial"/>
          <w:szCs w:val="22"/>
        </w:rPr>
        <w:t>43</w:t>
      </w:r>
      <w:r w:rsidR="00AA7967" w:rsidRPr="00762F2D">
        <w:rPr>
          <w:rFonts w:cs="Arial"/>
          <w:szCs w:val="22"/>
        </w:rPr>
        <w:t>% of the venue’</w:t>
      </w:r>
      <w:r w:rsidR="00993745" w:rsidRPr="00762F2D">
        <w:rPr>
          <w:rFonts w:cs="Arial"/>
          <w:szCs w:val="22"/>
        </w:rPr>
        <w:t xml:space="preserve">s revenue was derived from liquor, </w:t>
      </w:r>
      <w:r w:rsidR="00F2125B" w:rsidRPr="00762F2D">
        <w:rPr>
          <w:rFonts w:cs="Arial"/>
          <w:szCs w:val="22"/>
        </w:rPr>
        <w:t>51</w:t>
      </w:r>
      <w:r w:rsidR="00993745" w:rsidRPr="00762F2D">
        <w:rPr>
          <w:rFonts w:cs="Arial"/>
          <w:szCs w:val="22"/>
        </w:rPr>
        <w:t xml:space="preserve">% derived from food and </w:t>
      </w:r>
      <w:r w:rsidR="00F2125B" w:rsidRPr="00762F2D">
        <w:rPr>
          <w:rFonts w:cs="Arial"/>
          <w:szCs w:val="22"/>
        </w:rPr>
        <w:t>6</w:t>
      </w:r>
      <w:r w:rsidR="00993745" w:rsidRPr="00762F2D">
        <w:rPr>
          <w:rFonts w:cs="Arial"/>
          <w:szCs w:val="22"/>
        </w:rPr>
        <w:t>% derived from gaming.</w:t>
      </w:r>
      <w:r w:rsidR="002A2FDA" w:rsidRPr="00762F2D">
        <w:rPr>
          <w:rFonts w:cs="Arial"/>
          <w:szCs w:val="22"/>
        </w:rPr>
        <w:t xml:space="preserve">  Of interest is that the CIA reports that gaming revenue has almost doubled from July 2014 to May 2015</w:t>
      </w:r>
      <w:r w:rsidR="00762F2D" w:rsidRPr="00762F2D">
        <w:rPr>
          <w:rFonts w:cs="Arial"/>
          <w:szCs w:val="22"/>
        </w:rPr>
        <w:t xml:space="preserve"> with one of the contributing factors being the introduction of note acceptors in 2014.</w:t>
      </w:r>
      <w:r w:rsidR="002A2FDA" w:rsidRPr="00762F2D">
        <w:rPr>
          <w:rFonts w:cs="Arial"/>
          <w:szCs w:val="22"/>
        </w:rPr>
        <w:t xml:space="preserve"> </w:t>
      </w:r>
    </w:p>
    <w:p w:rsidR="00993745" w:rsidRDefault="004732FE" w:rsidP="00587446">
      <w:pPr>
        <w:pStyle w:val="ListParagraph"/>
        <w:numPr>
          <w:ilvl w:val="0"/>
          <w:numId w:val="12"/>
        </w:numPr>
        <w:spacing w:after="240"/>
        <w:ind w:left="567" w:hanging="425"/>
        <w:jc w:val="both"/>
        <w:rPr>
          <w:rFonts w:cs="Arial"/>
          <w:szCs w:val="22"/>
        </w:rPr>
      </w:pPr>
      <w:r w:rsidRPr="00762F2D">
        <w:rPr>
          <w:rFonts w:cs="Arial"/>
          <w:szCs w:val="22"/>
        </w:rPr>
        <w:t>The CIA advises that the</w:t>
      </w:r>
      <w:r w:rsidR="00993745" w:rsidRPr="00762F2D">
        <w:rPr>
          <w:rFonts w:cs="Arial"/>
          <w:szCs w:val="22"/>
        </w:rPr>
        <w:t xml:space="preserve"> venue has a </w:t>
      </w:r>
      <w:r w:rsidR="00993745" w:rsidRPr="004226A1">
        <w:rPr>
          <w:rFonts w:cs="Arial"/>
          <w:szCs w:val="22"/>
        </w:rPr>
        <w:t>“</w:t>
      </w:r>
      <w:r w:rsidR="00762F2D" w:rsidRPr="00762F2D">
        <w:rPr>
          <w:rFonts w:cs="Arial"/>
          <w:i/>
          <w:szCs w:val="22"/>
        </w:rPr>
        <w:t>diversified revenue split and does not rely strongly on gaming profits in order to run a profitable venue</w:t>
      </w:r>
      <w:r w:rsidR="004226A1">
        <w:rPr>
          <w:rFonts w:cs="Arial"/>
          <w:szCs w:val="22"/>
        </w:rPr>
        <w:t>”.</w:t>
      </w:r>
      <w:r w:rsidR="00762F2D" w:rsidRPr="00762F2D">
        <w:rPr>
          <w:rFonts w:cs="Arial"/>
          <w:i/>
          <w:szCs w:val="22"/>
        </w:rPr>
        <w:t xml:space="preserve">  </w:t>
      </w:r>
      <w:r w:rsidR="00762F2D" w:rsidRPr="00762F2D">
        <w:rPr>
          <w:rFonts w:cs="Arial"/>
          <w:szCs w:val="22"/>
        </w:rPr>
        <w:t>Additionally, the CIA states that an increase in gaming machines at the venue would allow it to grow its revenue stream however, it would still not have an over-reliance on gaming income.</w:t>
      </w:r>
    </w:p>
    <w:p w:rsidR="00762F2D" w:rsidRDefault="00762F2D" w:rsidP="00762F2D">
      <w:pPr>
        <w:pStyle w:val="ListParagraph"/>
        <w:numPr>
          <w:ilvl w:val="0"/>
          <w:numId w:val="12"/>
        </w:numPr>
        <w:spacing w:after="240"/>
        <w:ind w:left="567" w:hanging="425"/>
        <w:jc w:val="both"/>
        <w:rPr>
          <w:rFonts w:cs="Arial"/>
          <w:szCs w:val="22"/>
        </w:rPr>
      </w:pPr>
      <w:r>
        <w:rPr>
          <w:rFonts w:cs="Arial"/>
          <w:szCs w:val="22"/>
        </w:rPr>
        <w:t xml:space="preserve">It is also relevant to note that the income derived from accommodation, the bottle shop and wholesale beverage sales has not been included within the aforementioned revenue splits.  This further demonstrates that gaming is but one of many activities utilised to generate income by the venue. </w:t>
      </w:r>
    </w:p>
    <w:p w:rsidR="004732FE" w:rsidRPr="00B3067F" w:rsidRDefault="00B12589" w:rsidP="00587446">
      <w:pPr>
        <w:pStyle w:val="ListParagraph"/>
        <w:numPr>
          <w:ilvl w:val="0"/>
          <w:numId w:val="12"/>
        </w:numPr>
        <w:spacing w:after="240"/>
        <w:ind w:left="567" w:hanging="425"/>
        <w:jc w:val="both"/>
        <w:rPr>
          <w:rFonts w:cs="Arial"/>
          <w:szCs w:val="22"/>
        </w:rPr>
      </w:pPr>
      <w:r w:rsidRPr="00B3067F">
        <w:rPr>
          <w:rFonts w:cs="Arial"/>
          <w:szCs w:val="22"/>
        </w:rPr>
        <w:t>On the basis of the financial analysis provided</w:t>
      </w:r>
      <w:r w:rsidR="00993745">
        <w:rPr>
          <w:rFonts w:cs="Arial"/>
          <w:szCs w:val="22"/>
        </w:rPr>
        <w:t>,</w:t>
      </w:r>
      <w:r w:rsidRPr="00B3067F">
        <w:rPr>
          <w:rFonts w:cs="Arial"/>
          <w:szCs w:val="22"/>
        </w:rPr>
        <w:t xml:space="preserve"> it is app</w:t>
      </w:r>
      <w:r w:rsidR="00993745">
        <w:rPr>
          <w:rFonts w:cs="Arial"/>
          <w:szCs w:val="22"/>
        </w:rPr>
        <w:t>ears</w:t>
      </w:r>
      <w:r w:rsidRPr="00B3067F">
        <w:rPr>
          <w:rFonts w:cs="Arial"/>
          <w:szCs w:val="22"/>
        </w:rPr>
        <w:t xml:space="preserve"> that the vast majority of the venue’s revenue is generated by activity other than that generated by the gaming machines and as such I am satisfied that the primary activity of the venue is not that of its gaming machines.  </w:t>
      </w:r>
    </w:p>
    <w:p w:rsidR="00FB31AE" w:rsidRPr="00587446" w:rsidRDefault="00FB31AE" w:rsidP="004226A1">
      <w:pPr>
        <w:pStyle w:val="ListParagraph"/>
        <w:keepNext/>
        <w:spacing w:after="120"/>
        <w:ind w:left="0"/>
        <w:jc w:val="both"/>
        <w:rPr>
          <w:rStyle w:val="Emphasis"/>
          <w:b/>
          <w:i w:val="0"/>
        </w:rPr>
      </w:pPr>
      <w:r w:rsidRPr="00587446">
        <w:rPr>
          <w:rStyle w:val="Emphasis"/>
          <w:b/>
          <w:i w:val="0"/>
        </w:rPr>
        <w:lastRenderedPageBreak/>
        <w:t xml:space="preserve">Suitability of Location - population of local area, proximity to other gaming venues and proximity to sensitive areas </w:t>
      </w:r>
    </w:p>
    <w:p w:rsidR="003E045C" w:rsidRPr="00B3067F" w:rsidRDefault="003E045C" w:rsidP="00587446">
      <w:pPr>
        <w:pStyle w:val="ListParagraph"/>
        <w:numPr>
          <w:ilvl w:val="0"/>
          <w:numId w:val="12"/>
        </w:numPr>
        <w:spacing w:after="240"/>
        <w:ind w:left="567" w:hanging="425"/>
        <w:jc w:val="both"/>
        <w:rPr>
          <w:rFonts w:cs="Arial"/>
          <w:szCs w:val="22"/>
        </w:rPr>
      </w:pPr>
      <w:r w:rsidRPr="00B3067F">
        <w:rPr>
          <w:rFonts w:cs="Arial"/>
          <w:szCs w:val="22"/>
        </w:rPr>
        <w:t>The Local Community Area (</w:t>
      </w:r>
      <w:r w:rsidR="00E71A10">
        <w:rPr>
          <w:rFonts w:cs="Arial"/>
          <w:szCs w:val="22"/>
        </w:rPr>
        <w:t>“</w:t>
      </w:r>
      <w:r w:rsidRPr="00B3067F">
        <w:rPr>
          <w:rFonts w:cs="Arial"/>
          <w:szCs w:val="22"/>
        </w:rPr>
        <w:t>LCA</w:t>
      </w:r>
      <w:r w:rsidR="00E71A10">
        <w:rPr>
          <w:rFonts w:cs="Arial"/>
          <w:szCs w:val="22"/>
        </w:rPr>
        <w:t>”</w:t>
      </w:r>
      <w:r w:rsidRPr="00B3067F">
        <w:rPr>
          <w:rFonts w:cs="Arial"/>
          <w:szCs w:val="22"/>
        </w:rPr>
        <w:t xml:space="preserve">) agreed to with Licensing NT for use in the development of the CIA incorporates the suburbs of </w:t>
      </w:r>
      <w:r w:rsidR="00993745">
        <w:rPr>
          <w:rFonts w:cs="Arial"/>
          <w:szCs w:val="22"/>
        </w:rPr>
        <w:t>Darwin City, Fannie Bay, The Gardens, Larrakeyah</w:t>
      </w:r>
      <w:r w:rsidR="00F839EF">
        <w:rPr>
          <w:rFonts w:cs="Arial"/>
          <w:szCs w:val="22"/>
        </w:rPr>
        <w:t xml:space="preserve"> and</w:t>
      </w:r>
      <w:r w:rsidR="00993745">
        <w:rPr>
          <w:rFonts w:cs="Arial"/>
          <w:szCs w:val="22"/>
        </w:rPr>
        <w:t xml:space="preserve"> Stuart Park.</w:t>
      </w:r>
      <w:r w:rsidRPr="00B3067F">
        <w:rPr>
          <w:rFonts w:cs="Arial"/>
          <w:szCs w:val="22"/>
        </w:rPr>
        <w:t xml:space="preserve">  </w:t>
      </w:r>
    </w:p>
    <w:p w:rsidR="00D00BE2" w:rsidRDefault="008E5B10" w:rsidP="00587446">
      <w:pPr>
        <w:pStyle w:val="ListParagraph"/>
        <w:numPr>
          <w:ilvl w:val="0"/>
          <w:numId w:val="12"/>
        </w:numPr>
        <w:spacing w:after="240"/>
        <w:ind w:left="567" w:hanging="425"/>
        <w:jc w:val="both"/>
        <w:rPr>
          <w:rFonts w:cs="Arial"/>
          <w:szCs w:val="22"/>
        </w:rPr>
      </w:pPr>
      <w:r>
        <w:rPr>
          <w:rFonts w:cs="Arial"/>
          <w:szCs w:val="22"/>
        </w:rPr>
        <w:t xml:space="preserve">The </w:t>
      </w:r>
      <w:r w:rsidR="004975DD">
        <w:rPr>
          <w:rFonts w:cs="Arial"/>
          <w:szCs w:val="22"/>
        </w:rPr>
        <w:t>LCA</w:t>
      </w:r>
      <w:r>
        <w:rPr>
          <w:rFonts w:cs="Arial"/>
          <w:szCs w:val="22"/>
        </w:rPr>
        <w:t xml:space="preserve"> </w:t>
      </w:r>
      <w:r w:rsidR="004975DD">
        <w:rPr>
          <w:rFonts w:cs="Arial"/>
          <w:szCs w:val="22"/>
        </w:rPr>
        <w:t>has</w:t>
      </w:r>
      <w:r>
        <w:rPr>
          <w:rFonts w:cs="Arial"/>
          <w:szCs w:val="22"/>
        </w:rPr>
        <w:t xml:space="preserve"> a high population density which is expected for an inner city area and has a</w:t>
      </w:r>
      <w:r w:rsidR="003E045C" w:rsidRPr="00F1351E">
        <w:rPr>
          <w:rFonts w:cs="Arial"/>
          <w:szCs w:val="22"/>
        </w:rPr>
        <w:t xml:space="preserve"> population of </w:t>
      </w:r>
      <w:r>
        <w:rPr>
          <w:rFonts w:cs="Arial"/>
          <w:szCs w:val="22"/>
        </w:rPr>
        <w:t xml:space="preserve">just under </w:t>
      </w:r>
      <w:r w:rsidR="004975DD">
        <w:rPr>
          <w:rFonts w:cs="Arial"/>
          <w:szCs w:val="22"/>
        </w:rPr>
        <w:t>15</w:t>
      </w:r>
      <w:r>
        <w:rPr>
          <w:rFonts w:cs="Arial"/>
          <w:szCs w:val="22"/>
        </w:rPr>
        <w:t xml:space="preserve"> 000 </w:t>
      </w:r>
      <w:r w:rsidR="003E045C" w:rsidRPr="00F1351E">
        <w:rPr>
          <w:rFonts w:cs="Arial"/>
          <w:szCs w:val="22"/>
        </w:rPr>
        <w:t>consis</w:t>
      </w:r>
      <w:r w:rsidR="00B44012" w:rsidRPr="00F1351E">
        <w:rPr>
          <w:rFonts w:cs="Arial"/>
          <w:szCs w:val="22"/>
        </w:rPr>
        <w:t xml:space="preserve">ting of more than </w:t>
      </w:r>
      <w:r w:rsidR="004975DD">
        <w:rPr>
          <w:rFonts w:cs="Arial"/>
          <w:szCs w:val="22"/>
        </w:rPr>
        <w:t>12 500</w:t>
      </w:r>
      <w:r w:rsidR="00B44012" w:rsidRPr="00F1351E">
        <w:rPr>
          <w:rFonts w:cs="Arial"/>
          <w:szCs w:val="22"/>
        </w:rPr>
        <w:t xml:space="preserve"> adults of which </w:t>
      </w:r>
      <w:r w:rsidR="004F4447" w:rsidRPr="00F1351E">
        <w:rPr>
          <w:rFonts w:cs="Arial"/>
          <w:szCs w:val="22"/>
        </w:rPr>
        <w:t xml:space="preserve">the age distribution </w:t>
      </w:r>
      <w:r>
        <w:rPr>
          <w:rFonts w:cs="Arial"/>
          <w:szCs w:val="22"/>
        </w:rPr>
        <w:t xml:space="preserve">shows that there is a higher concentration of persons aged </w:t>
      </w:r>
      <w:r w:rsidR="00F839EF">
        <w:rPr>
          <w:rFonts w:cs="Arial"/>
          <w:szCs w:val="22"/>
        </w:rPr>
        <w:t>25-34</w:t>
      </w:r>
      <w:r>
        <w:rPr>
          <w:rFonts w:cs="Arial"/>
          <w:szCs w:val="22"/>
        </w:rPr>
        <w:t xml:space="preserve"> when compared to the rest of the Northern Territory.</w:t>
      </w:r>
      <w:r w:rsidR="004F4447" w:rsidRPr="008F70BE">
        <w:rPr>
          <w:rFonts w:cs="Arial"/>
          <w:szCs w:val="22"/>
        </w:rPr>
        <w:t xml:space="preserve">  Statistical information obtained through the Australian Bureau of Statistics</w:t>
      </w:r>
      <w:r w:rsidR="00E71A10">
        <w:rPr>
          <w:rFonts w:cs="Arial"/>
          <w:szCs w:val="22"/>
        </w:rPr>
        <w:t>’</w:t>
      </w:r>
      <w:r w:rsidR="004F4447" w:rsidRPr="008F70BE">
        <w:rPr>
          <w:rFonts w:cs="Arial"/>
          <w:szCs w:val="22"/>
        </w:rPr>
        <w:t xml:space="preserve"> 2011 Census Data shows that the LCA has a highly educated population with </w:t>
      </w:r>
      <w:r>
        <w:rPr>
          <w:rFonts w:cs="Arial"/>
          <w:szCs w:val="22"/>
        </w:rPr>
        <w:t>37</w:t>
      </w:r>
      <w:r w:rsidR="004F4447" w:rsidRPr="008F70BE">
        <w:rPr>
          <w:rFonts w:cs="Arial"/>
          <w:szCs w:val="22"/>
        </w:rPr>
        <w:t xml:space="preserve">% of the population having obtained a </w:t>
      </w:r>
      <w:r>
        <w:rPr>
          <w:rFonts w:cs="Arial"/>
          <w:szCs w:val="22"/>
        </w:rPr>
        <w:t>bachelor degree or higher qualification</w:t>
      </w:r>
      <w:r w:rsidR="004F4447" w:rsidRPr="008F70BE">
        <w:rPr>
          <w:rFonts w:cs="Arial"/>
          <w:szCs w:val="22"/>
        </w:rPr>
        <w:t xml:space="preserve">.  The CIA indicates that unemployment rates in the LCA are </w:t>
      </w:r>
      <w:r>
        <w:rPr>
          <w:rFonts w:cs="Arial"/>
          <w:szCs w:val="22"/>
        </w:rPr>
        <w:t>2.</w:t>
      </w:r>
      <w:r w:rsidR="004975DD">
        <w:rPr>
          <w:rFonts w:cs="Arial"/>
          <w:szCs w:val="22"/>
        </w:rPr>
        <w:t>2</w:t>
      </w:r>
      <w:r w:rsidR="004F4447" w:rsidRPr="008F70BE">
        <w:rPr>
          <w:rFonts w:cs="Arial"/>
          <w:szCs w:val="22"/>
        </w:rPr>
        <w:t xml:space="preserve">% in </w:t>
      </w:r>
      <w:r w:rsidR="004975DD">
        <w:rPr>
          <w:rFonts w:cs="Arial"/>
          <w:szCs w:val="22"/>
        </w:rPr>
        <w:t>March 2015</w:t>
      </w:r>
      <w:r w:rsidR="00F6202F">
        <w:rPr>
          <w:rFonts w:cs="Arial"/>
          <w:szCs w:val="22"/>
        </w:rPr>
        <w:t xml:space="preserve"> </w:t>
      </w:r>
      <w:r w:rsidR="004F4447" w:rsidRPr="008F70BE">
        <w:rPr>
          <w:rFonts w:cs="Arial"/>
          <w:szCs w:val="22"/>
        </w:rPr>
        <w:t xml:space="preserve">and that this rate has </w:t>
      </w:r>
      <w:r>
        <w:rPr>
          <w:rFonts w:cs="Arial"/>
          <w:szCs w:val="22"/>
        </w:rPr>
        <w:t>declined from 2.</w:t>
      </w:r>
      <w:r w:rsidR="00F6202F">
        <w:rPr>
          <w:rFonts w:cs="Arial"/>
          <w:szCs w:val="22"/>
        </w:rPr>
        <w:t>4</w:t>
      </w:r>
      <w:r>
        <w:rPr>
          <w:rFonts w:cs="Arial"/>
          <w:szCs w:val="22"/>
        </w:rPr>
        <w:t>% in 2013.</w:t>
      </w:r>
      <w:r w:rsidR="004F4447" w:rsidRPr="008F70BE">
        <w:rPr>
          <w:rFonts w:cs="Arial"/>
          <w:szCs w:val="22"/>
        </w:rPr>
        <w:t xml:space="preserve">  Further, that </w:t>
      </w:r>
      <w:r w:rsidR="00F6202F">
        <w:rPr>
          <w:rFonts w:cs="Arial"/>
          <w:szCs w:val="22"/>
        </w:rPr>
        <w:t>47</w:t>
      </w:r>
      <w:r>
        <w:rPr>
          <w:rFonts w:cs="Arial"/>
          <w:szCs w:val="22"/>
        </w:rPr>
        <w:t xml:space="preserve">% of residents have a weekly income of $1 250 or above.  </w:t>
      </w:r>
    </w:p>
    <w:p w:rsidR="00E41C2A" w:rsidRPr="008F70BE" w:rsidRDefault="005D72CE" w:rsidP="00587446">
      <w:pPr>
        <w:pStyle w:val="ListParagraph"/>
        <w:numPr>
          <w:ilvl w:val="0"/>
          <w:numId w:val="12"/>
        </w:numPr>
        <w:spacing w:after="240"/>
        <w:ind w:left="567" w:hanging="425"/>
        <w:jc w:val="both"/>
        <w:rPr>
          <w:rFonts w:cs="Arial"/>
          <w:szCs w:val="22"/>
        </w:rPr>
      </w:pPr>
      <w:r w:rsidRPr="008F70BE">
        <w:rPr>
          <w:rFonts w:cs="Arial"/>
          <w:szCs w:val="22"/>
        </w:rPr>
        <w:t xml:space="preserve">The CIA also contains information in relation to the </w:t>
      </w:r>
      <w:r w:rsidRPr="008F70BE">
        <w:rPr>
          <w:rFonts w:cs="Arial"/>
          <w:bCs/>
          <w:szCs w:val="22"/>
        </w:rPr>
        <w:t>Australian Bureau of Statistics’ Socio</w:t>
      </w:r>
      <w:r w:rsidR="00BA75DE">
        <w:rPr>
          <w:rFonts w:cs="Arial"/>
          <w:bCs/>
          <w:szCs w:val="22"/>
        </w:rPr>
        <w:noBreakHyphen/>
      </w:r>
      <w:r w:rsidRPr="008F70BE">
        <w:rPr>
          <w:rFonts w:cs="Arial"/>
          <w:bCs/>
          <w:szCs w:val="22"/>
        </w:rPr>
        <w:t>Economic Indexes for Areas (</w:t>
      </w:r>
      <w:r w:rsidR="00BA75DE">
        <w:rPr>
          <w:rFonts w:cs="Arial"/>
          <w:bCs/>
          <w:szCs w:val="22"/>
        </w:rPr>
        <w:t>“</w:t>
      </w:r>
      <w:r w:rsidRPr="008F70BE">
        <w:rPr>
          <w:rFonts w:cs="Arial"/>
          <w:bCs/>
          <w:szCs w:val="22"/>
        </w:rPr>
        <w:t>SEIFA</w:t>
      </w:r>
      <w:r w:rsidR="00BA75DE">
        <w:rPr>
          <w:rFonts w:cs="Arial"/>
          <w:bCs/>
          <w:szCs w:val="22"/>
        </w:rPr>
        <w:t>”</w:t>
      </w:r>
      <w:r w:rsidRPr="008F70BE">
        <w:rPr>
          <w:rFonts w:cs="Arial"/>
          <w:bCs/>
          <w:szCs w:val="22"/>
        </w:rPr>
        <w:t>)</w:t>
      </w:r>
      <w:r w:rsidR="00E41C2A" w:rsidRPr="008F70BE">
        <w:rPr>
          <w:rFonts w:cs="Arial"/>
          <w:bCs/>
          <w:szCs w:val="22"/>
        </w:rPr>
        <w:t xml:space="preserve"> which is a product that enables the assessment of the welfare of Australian communities based on census data relating to household income, education, employment, occupation, housing and other indicators of advantage and disadvantage.  The CIA states that the SEIFA analysis shows that the LCA is an area of relative social advantage.</w:t>
      </w:r>
    </w:p>
    <w:p w:rsidR="00630155" w:rsidRPr="008F70BE" w:rsidRDefault="00E41C2A" w:rsidP="00587446">
      <w:pPr>
        <w:pStyle w:val="ListParagraph"/>
        <w:numPr>
          <w:ilvl w:val="0"/>
          <w:numId w:val="12"/>
        </w:numPr>
        <w:spacing w:after="240"/>
        <w:ind w:left="567" w:hanging="425"/>
        <w:jc w:val="both"/>
        <w:rPr>
          <w:rFonts w:cs="Arial"/>
          <w:szCs w:val="22"/>
        </w:rPr>
      </w:pPr>
      <w:r w:rsidRPr="008F70BE">
        <w:rPr>
          <w:rFonts w:cs="Arial"/>
          <w:bCs/>
          <w:szCs w:val="22"/>
        </w:rPr>
        <w:t>There are a number of ways to view the scores from the SEIFA, with one being through the decile score system where a ranking is given from 1 to 10 with 1 indicating that an area is in the bottom 10% of areas or in other words, the most disadvantage</w:t>
      </w:r>
      <w:r w:rsidR="00630155" w:rsidRPr="008F70BE">
        <w:rPr>
          <w:rFonts w:cs="Arial"/>
          <w:bCs/>
          <w:szCs w:val="22"/>
        </w:rPr>
        <w:t>d</w:t>
      </w:r>
      <w:r w:rsidRPr="008F70BE">
        <w:rPr>
          <w:rFonts w:cs="Arial"/>
          <w:bCs/>
          <w:szCs w:val="22"/>
        </w:rPr>
        <w:t xml:space="preserve"> and 10 indicating </w:t>
      </w:r>
      <w:r w:rsidR="0038496D" w:rsidRPr="008F70BE">
        <w:rPr>
          <w:rFonts w:cs="Arial"/>
          <w:bCs/>
          <w:szCs w:val="22"/>
        </w:rPr>
        <w:t xml:space="preserve">that the area is in the top 10% of areas thus being the most advantaged.  </w:t>
      </w:r>
      <w:r w:rsidR="00F15C61" w:rsidRPr="008F70BE">
        <w:rPr>
          <w:rFonts w:cs="Arial"/>
          <w:bCs/>
          <w:szCs w:val="22"/>
        </w:rPr>
        <w:t xml:space="preserve">Of the suburbs incorporated within the LCA, the decile scores </w:t>
      </w:r>
      <w:r w:rsidR="007F096D">
        <w:rPr>
          <w:rFonts w:cs="Arial"/>
          <w:bCs/>
          <w:szCs w:val="22"/>
        </w:rPr>
        <w:t xml:space="preserve">range between 9 and 10 thereby indicating that </w:t>
      </w:r>
      <w:r w:rsidR="00630155" w:rsidRPr="008F70BE">
        <w:rPr>
          <w:rFonts w:cs="Arial"/>
          <w:bCs/>
          <w:szCs w:val="22"/>
        </w:rPr>
        <w:t>the vast majority of the population within the LCA have a relative</w:t>
      </w:r>
      <w:r w:rsidR="007F096D">
        <w:rPr>
          <w:rFonts w:cs="Arial"/>
          <w:bCs/>
          <w:szCs w:val="22"/>
        </w:rPr>
        <w:t>ly high</w:t>
      </w:r>
      <w:r w:rsidR="008E47CE" w:rsidRPr="008F70BE">
        <w:rPr>
          <w:rFonts w:cs="Arial"/>
          <w:bCs/>
          <w:szCs w:val="22"/>
        </w:rPr>
        <w:t xml:space="preserve"> </w:t>
      </w:r>
      <w:r w:rsidR="00630155" w:rsidRPr="008F70BE">
        <w:rPr>
          <w:rFonts w:cs="Arial"/>
          <w:bCs/>
          <w:szCs w:val="22"/>
        </w:rPr>
        <w:t xml:space="preserve">advantage in terms of </w:t>
      </w:r>
      <w:r w:rsidR="00630155" w:rsidRPr="008F70BE">
        <w:rPr>
          <w:rFonts w:cs="Arial"/>
          <w:szCs w:val="22"/>
        </w:rPr>
        <w:t xml:space="preserve">access to material </w:t>
      </w:r>
      <w:r w:rsidR="00BA75DE">
        <w:rPr>
          <w:rFonts w:cs="Arial"/>
          <w:szCs w:val="22"/>
        </w:rPr>
        <w:t>and</w:t>
      </w:r>
      <w:r w:rsidR="00BA75DE" w:rsidRPr="008F70BE">
        <w:rPr>
          <w:rFonts w:cs="Arial"/>
          <w:szCs w:val="22"/>
        </w:rPr>
        <w:t xml:space="preserve"> </w:t>
      </w:r>
      <w:r w:rsidR="00630155" w:rsidRPr="008F70BE">
        <w:rPr>
          <w:rFonts w:cs="Arial"/>
          <w:szCs w:val="22"/>
        </w:rPr>
        <w:t>social resources, and ability to participate in society</w:t>
      </w:r>
      <w:r w:rsidR="0068683B" w:rsidRPr="008F70BE">
        <w:rPr>
          <w:rFonts w:cs="Arial"/>
          <w:szCs w:val="22"/>
        </w:rPr>
        <w:t xml:space="preserve"> in comparison to the overall population of the Northern Territory.</w:t>
      </w:r>
    </w:p>
    <w:p w:rsidR="00D840DD" w:rsidRPr="00A72DE4" w:rsidRDefault="002F60ED" w:rsidP="006419C4">
      <w:pPr>
        <w:pStyle w:val="ListParagraph"/>
        <w:keepLines/>
        <w:numPr>
          <w:ilvl w:val="0"/>
          <w:numId w:val="12"/>
        </w:numPr>
        <w:spacing w:after="240"/>
        <w:ind w:left="567" w:hanging="425"/>
        <w:jc w:val="both"/>
        <w:rPr>
          <w:rFonts w:cs="Arial"/>
          <w:bCs/>
          <w:szCs w:val="22"/>
        </w:rPr>
      </w:pPr>
      <w:r w:rsidRPr="00A72DE4">
        <w:rPr>
          <w:rFonts w:cs="Arial"/>
          <w:bCs/>
          <w:szCs w:val="22"/>
        </w:rPr>
        <w:t xml:space="preserve">The CIA indicates that within the LCA there are </w:t>
      </w:r>
      <w:r w:rsidR="00001784" w:rsidRPr="00A72DE4">
        <w:rPr>
          <w:rFonts w:cs="Arial"/>
          <w:bCs/>
          <w:szCs w:val="22"/>
        </w:rPr>
        <w:t>a large number of</w:t>
      </w:r>
      <w:r w:rsidRPr="00A72DE4">
        <w:rPr>
          <w:rFonts w:cs="Arial"/>
          <w:bCs/>
          <w:szCs w:val="22"/>
        </w:rPr>
        <w:t xml:space="preserve"> venues </w:t>
      </w:r>
      <w:r w:rsidR="007F096D" w:rsidRPr="00A72DE4">
        <w:rPr>
          <w:rFonts w:cs="Arial"/>
          <w:bCs/>
          <w:szCs w:val="22"/>
        </w:rPr>
        <w:t xml:space="preserve">including the SkyCity Casino </w:t>
      </w:r>
      <w:r w:rsidRPr="00A72DE4">
        <w:rPr>
          <w:rFonts w:cs="Arial"/>
          <w:bCs/>
          <w:szCs w:val="22"/>
        </w:rPr>
        <w:t>that provide access to gaming machines.</w:t>
      </w:r>
      <w:r w:rsidR="007F096D" w:rsidRPr="00A72DE4">
        <w:rPr>
          <w:rFonts w:cs="Arial"/>
          <w:bCs/>
          <w:szCs w:val="22"/>
        </w:rPr>
        <w:t xml:space="preserve">  This is not surprising given that the venue is located within Darwin city.</w:t>
      </w:r>
      <w:r w:rsidR="00A72DE4" w:rsidRPr="00A72DE4">
        <w:rPr>
          <w:rFonts w:cs="Arial"/>
          <w:bCs/>
          <w:szCs w:val="22"/>
        </w:rPr>
        <w:t xml:space="preserve">  </w:t>
      </w:r>
      <w:r w:rsidR="003C2211" w:rsidRPr="00A72DE4">
        <w:rPr>
          <w:rFonts w:cs="Arial"/>
          <w:bCs/>
          <w:szCs w:val="22"/>
        </w:rPr>
        <w:t xml:space="preserve">Also of note is that </w:t>
      </w:r>
      <w:r w:rsidR="001D7DAB" w:rsidRPr="00A72DE4">
        <w:rPr>
          <w:rFonts w:cs="Arial"/>
          <w:bCs/>
          <w:szCs w:val="22"/>
        </w:rPr>
        <w:t xml:space="preserve">four </w:t>
      </w:r>
      <w:r w:rsidR="00F36A6C" w:rsidRPr="00A72DE4">
        <w:rPr>
          <w:rFonts w:cs="Arial"/>
          <w:bCs/>
          <w:szCs w:val="22"/>
        </w:rPr>
        <w:t xml:space="preserve">of the </w:t>
      </w:r>
      <w:r w:rsidR="003C2211" w:rsidRPr="00A72DE4">
        <w:rPr>
          <w:rFonts w:cs="Arial"/>
          <w:bCs/>
          <w:szCs w:val="22"/>
        </w:rPr>
        <w:t xml:space="preserve">venues also within the LCA </w:t>
      </w:r>
      <w:r w:rsidR="001D7DAB" w:rsidRPr="00A72DE4">
        <w:rPr>
          <w:rFonts w:cs="Arial"/>
          <w:bCs/>
          <w:szCs w:val="22"/>
        </w:rPr>
        <w:t xml:space="preserve">(excluding the casino) </w:t>
      </w:r>
      <w:r w:rsidR="003C2211" w:rsidRPr="00A72DE4">
        <w:rPr>
          <w:rFonts w:cs="Arial"/>
          <w:bCs/>
          <w:szCs w:val="22"/>
        </w:rPr>
        <w:t>have active applications with the Director-General for an</w:t>
      </w:r>
      <w:r w:rsidRPr="00A72DE4">
        <w:rPr>
          <w:rFonts w:cs="Arial"/>
          <w:bCs/>
          <w:szCs w:val="22"/>
        </w:rPr>
        <w:t xml:space="preserve"> </w:t>
      </w:r>
      <w:r w:rsidR="00D840DD" w:rsidRPr="00A72DE4">
        <w:rPr>
          <w:rFonts w:cs="Arial"/>
          <w:szCs w:val="24"/>
        </w:rPr>
        <w:t>increase in the number of gaming machines authorised for use</w:t>
      </w:r>
      <w:r w:rsidR="00A72DE4" w:rsidRPr="00A72DE4">
        <w:rPr>
          <w:rFonts w:cs="Arial"/>
          <w:szCs w:val="24"/>
        </w:rPr>
        <w:t xml:space="preserve"> </w:t>
      </w:r>
      <w:r w:rsidR="001D7DAB" w:rsidRPr="00A72DE4">
        <w:rPr>
          <w:rFonts w:cs="Arial"/>
          <w:szCs w:val="24"/>
        </w:rPr>
        <w:t xml:space="preserve">as does a newly established venue that currently does not have any gaming machines </w:t>
      </w:r>
      <w:r w:rsidR="003C2211" w:rsidRPr="00A72DE4">
        <w:rPr>
          <w:rFonts w:cs="Arial"/>
          <w:szCs w:val="24"/>
        </w:rPr>
        <w:t xml:space="preserve">and should </w:t>
      </w:r>
      <w:r w:rsidR="001D7DAB" w:rsidRPr="00A72DE4">
        <w:rPr>
          <w:rFonts w:cs="Arial"/>
          <w:szCs w:val="24"/>
        </w:rPr>
        <w:t xml:space="preserve">all of </w:t>
      </w:r>
      <w:r w:rsidR="003C2211" w:rsidRPr="00A72DE4">
        <w:rPr>
          <w:rFonts w:cs="Arial"/>
          <w:szCs w:val="24"/>
        </w:rPr>
        <w:t>these applications also be approved, the gaming machine density would increase.</w:t>
      </w:r>
    </w:p>
    <w:p w:rsidR="006538C0" w:rsidRDefault="001D7DAB" w:rsidP="006419C4">
      <w:pPr>
        <w:pStyle w:val="ListParagraph"/>
        <w:numPr>
          <w:ilvl w:val="0"/>
          <w:numId w:val="12"/>
        </w:numPr>
        <w:spacing w:after="240"/>
        <w:ind w:left="567" w:hanging="425"/>
        <w:jc w:val="both"/>
        <w:rPr>
          <w:rFonts w:cs="Arial"/>
          <w:bCs/>
          <w:szCs w:val="22"/>
        </w:rPr>
      </w:pPr>
      <w:r>
        <w:rPr>
          <w:rFonts w:cs="Arial"/>
          <w:bCs/>
          <w:szCs w:val="22"/>
        </w:rPr>
        <w:t>I</w:t>
      </w:r>
      <w:r w:rsidR="00A234B1" w:rsidRPr="008F70BE">
        <w:rPr>
          <w:rFonts w:cs="Arial"/>
          <w:bCs/>
          <w:szCs w:val="22"/>
        </w:rPr>
        <w:t xml:space="preserve">t is evident that the accessibility to gaming machines </w:t>
      </w:r>
      <w:r w:rsidR="00CA6DDE" w:rsidRPr="008F70BE">
        <w:rPr>
          <w:rFonts w:cs="Arial"/>
          <w:bCs/>
          <w:szCs w:val="22"/>
        </w:rPr>
        <w:t xml:space="preserve">by those people residing in the </w:t>
      </w:r>
      <w:r w:rsidR="001C5037">
        <w:rPr>
          <w:rFonts w:cs="Arial"/>
          <w:bCs/>
          <w:szCs w:val="22"/>
        </w:rPr>
        <w:t>LCA</w:t>
      </w:r>
      <w:r w:rsidR="00CA6DDE" w:rsidRPr="008F70BE">
        <w:rPr>
          <w:rFonts w:cs="Arial"/>
          <w:bCs/>
          <w:szCs w:val="22"/>
        </w:rPr>
        <w:t xml:space="preserve"> </w:t>
      </w:r>
      <w:r w:rsidR="00A234B1" w:rsidRPr="008F70BE">
        <w:rPr>
          <w:rFonts w:cs="Arial"/>
          <w:bCs/>
          <w:szCs w:val="22"/>
        </w:rPr>
        <w:t>will increase should th</w:t>
      </w:r>
      <w:r>
        <w:rPr>
          <w:rFonts w:cs="Arial"/>
          <w:bCs/>
          <w:szCs w:val="22"/>
        </w:rPr>
        <w:t xml:space="preserve">is and other similar </w:t>
      </w:r>
      <w:r w:rsidR="00A234B1" w:rsidRPr="008F70BE">
        <w:rPr>
          <w:rFonts w:cs="Arial"/>
          <w:bCs/>
          <w:szCs w:val="22"/>
        </w:rPr>
        <w:t>application</w:t>
      </w:r>
      <w:r>
        <w:rPr>
          <w:rFonts w:cs="Arial"/>
          <w:bCs/>
          <w:szCs w:val="22"/>
        </w:rPr>
        <w:t>s</w:t>
      </w:r>
      <w:r w:rsidR="00A234B1" w:rsidRPr="008F70BE">
        <w:rPr>
          <w:rFonts w:cs="Arial"/>
          <w:bCs/>
          <w:szCs w:val="22"/>
        </w:rPr>
        <w:t xml:space="preserve"> be approved.</w:t>
      </w:r>
      <w:r w:rsidR="00CA6DDE" w:rsidRPr="008F70BE">
        <w:rPr>
          <w:rFonts w:cs="Arial"/>
          <w:bCs/>
          <w:szCs w:val="22"/>
        </w:rPr>
        <w:t xml:space="preserve">  </w:t>
      </w:r>
      <w:r w:rsidR="001C5037">
        <w:rPr>
          <w:rFonts w:cs="Arial"/>
          <w:bCs/>
          <w:szCs w:val="22"/>
        </w:rPr>
        <w:t>However, t</w:t>
      </w:r>
      <w:r w:rsidR="00CA6DDE" w:rsidRPr="008F70BE">
        <w:rPr>
          <w:rFonts w:cs="Arial"/>
          <w:bCs/>
          <w:szCs w:val="22"/>
        </w:rPr>
        <w:t>he SEIFA decile scores which identify that the LCA area is not regarded as a</w:t>
      </w:r>
      <w:r w:rsidR="001C5037">
        <w:rPr>
          <w:rFonts w:cs="Arial"/>
          <w:bCs/>
          <w:szCs w:val="22"/>
        </w:rPr>
        <w:t xml:space="preserve">n area of </w:t>
      </w:r>
      <w:r w:rsidR="00CA6DDE" w:rsidRPr="008F70BE">
        <w:rPr>
          <w:rFonts w:cs="Arial"/>
          <w:bCs/>
          <w:szCs w:val="22"/>
        </w:rPr>
        <w:t xml:space="preserve">socio-economic </w:t>
      </w:r>
      <w:r w:rsidR="001C5037">
        <w:rPr>
          <w:rFonts w:cs="Arial"/>
          <w:bCs/>
          <w:szCs w:val="22"/>
        </w:rPr>
        <w:t xml:space="preserve">deprivation </w:t>
      </w:r>
      <w:r w:rsidR="00CA6DDE" w:rsidRPr="008F70BE">
        <w:rPr>
          <w:rFonts w:cs="Arial"/>
          <w:bCs/>
          <w:szCs w:val="22"/>
        </w:rPr>
        <w:t>also need</w:t>
      </w:r>
      <w:r w:rsidR="001C5037">
        <w:rPr>
          <w:rFonts w:cs="Arial"/>
          <w:bCs/>
          <w:szCs w:val="22"/>
        </w:rPr>
        <w:t>s</w:t>
      </w:r>
      <w:r w:rsidR="00CA6DDE" w:rsidRPr="008F70BE">
        <w:rPr>
          <w:rFonts w:cs="Arial"/>
          <w:bCs/>
          <w:szCs w:val="22"/>
        </w:rPr>
        <w:t xml:space="preserve"> to be taken into consideration in determining whether an increase in accessibility to gaming machines within the LCA will lead to greater harm</w:t>
      </w:r>
      <w:r w:rsidR="001C5037">
        <w:rPr>
          <w:rFonts w:cs="Arial"/>
          <w:bCs/>
          <w:szCs w:val="22"/>
        </w:rPr>
        <w:t xml:space="preserve">.  It would appear that the profile of the resident population living in the LCA does not mirror the profile of those most at-risk of experiencing harm from gambling.  </w:t>
      </w:r>
    </w:p>
    <w:p w:rsidR="00A234B1" w:rsidRDefault="001C5037" w:rsidP="004226A1">
      <w:pPr>
        <w:pStyle w:val="ListParagraph"/>
        <w:keepLines/>
        <w:numPr>
          <w:ilvl w:val="0"/>
          <w:numId w:val="12"/>
        </w:numPr>
        <w:spacing w:after="240"/>
        <w:ind w:left="567" w:hanging="425"/>
        <w:jc w:val="both"/>
        <w:rPr>
          <w:rFonts w:cs="Arial"/>
          <w:bCs/>
          <w:szCs w:val="22"/>
        </w:rPr>
      </w:pPr>
      <w:r>
        <w:rPr>
          <w:rFonts w:cs="Arial"/>
          <w:bCs/>
          <w:szCs w:val="22"/>
        </w:rPr>
        <w:lastRenderedPageBreak/>
        <w:t xml:space="preserve">Another consideration to take into account is that whilst the gaming machine density would increase should this and other similar applications be approved, the patron source for this venue and others </w:t>
      </w:r>
      <w:r w:rsidR="005E3BA5">
        <w:rPr>
          <w:rFonts w:cs="Arial"/>
          <w:bCs/>
          <w:szCs w:val="22"/>
        </w:rPr>
        <w:t xml:space="preserve">in the Darwin city area is not restricted to </w:t>
      </w:r>
      <w:r w:rsidR="006538C0">
        <w:rPr>
          <w:rFonts w:cs="Arial"/>
          <w:bCs/>
          <w:szCs w:val="22"/>
        </w:rPr>
        <w:t xml:space="preserve">just </w:t>
      </w:r>
      <w:r w:rsidR="005E3BA5">
        <w:rPr>
          <w:rFonts w:cs="Arial"/>
          <w:bCs/>
          <w:szCs w:val="22"/>
        </w:rPr>
        <w:t xml:space="preserve">residents of the LCA.  By its very nature, the Darwin city area </w:t>
      </w:r>
      <w:r w:rsidR="006538C0">
        <w:rPr>
          <w:rFonts w:cs="Arial"/>
          <w:bCs/>
          <w:szCs w:val="22"/>
        </w:rPr>
        <w:t>attracts residents from the greater Darwin region as well as a high numbers of tourists and given these numbers are difficult to quantify, the actual gaming machine density may in fact be lower than current and projected figures if these additional persons were taken into account in gaming machine density calculations.  C</w:t>
      </w:r>
      <w:r w:rsidR="00CA6DDE" w:rsidRPr="008F70BE">
        <w:rPr>
          <w:rFonts w:cs="Arial"/>
          <w:bCs/>
          <w:szCs w:val="22"/>
        </w:rPr>
        <w:t xml:space="preserve">onsiderations around problem gambling risk management and responsible gambling </w:t>
      </w:r>
      <w:r w:rsidR="00CA6DDE" w:rsidRPr="008F70BE">
        <w:rPr>
          <w:rFonts w:cs="Arial"/>
          <w:szCs w:val="24"/>
        </w:rPr>
        <w:t>strategies</w:t>
      </w:r>
      <w:r w:rsidR="006538C0">
        <w:rPr>
          <w:rFonts w:cs="Arial"/>
          <w:szCs w:val="24"/>
        </w:rPr>
        <w:t xml:space="preserve"> implemented by the venue must also be taken into account.</w:t>
      </w:r>
      <w:r w:rsidR="00CA6DDE" w:rsidRPr="008F70BE">
        <w:rPr>
          <w:rFonts w:cs="Arial"/>
          <w:bCs/>
          <w:szCs w:val="22"/>
        </w:rPr>
        <w:t xml:space="preserve"> </w:t>
      </w:r>
    </w:p>
    <w:p w:rsidR="00E357FE" w:rsidRDefault="00692285" w:rsidP="006419C4">
      <w:pPr>
        <w:pStyle w:val="ListParagraph"/>
        <w:numPr>
          <w:ilvl w:val="0"/>
          <w:numId w:val="12"/>
        </w:numPr>
        <w:spacing w:after="240"/>
        <w:ind w:left="567" w:hanging="425"/>
        <w:jc w:val="both"/>
        <w:rPr>
          <w:rFonts w:cs="Arial"/>
          <w:bCs/>
          <w:szCs w:val="22"/>
        </w:rPr>
      </w:pPr>
      <w:r w:rsidRPr="008F70BE">
        <w:rPr>
          <w:rFonts w:cs="Arial"/>
          <w:bCs/>
          <w:szCs w:val="22"/>
        </w:rPr>
        <w:t>Pursuant to 41A</w:t>
      </w:r>
      <w:r w:rsidR="00BA75DE">
        <w:rPr>
          <w:rFonts w:cs="Arial"/>
          <w:bCs/>
          <w:szCs w:val="22"/>
        </w:rPr>
        <w:t>(</w:t>
      </w:r>
      <w:r w:rsidRPr="008F70BE">
        <w:rPr>
          <w:rFonts w:cs="Arial"/>
          <w:bCs/>
          <w:szCs w:val="22"/>
        </w:rPr>
        <w:t>2</w:t>
      </w:r>
      <w:r w:rsidR="00BA75DE">
        <w:rPr>
          <w:rFonts w:cs="Arial"/>
          <w:bCs/>
          <w:szCs w:val="22"/>
        </w:rPr>
        <w:t>)</w:t>
      </w:r>
      <w:r w:rsidRPr="008F70BE">
        <w:rPr>
          <w:rFonts w:cs="Arial"/>
          <w:bCs/>
          <w:szCs w:val="22"/>
        </w:rPr>
        <w:t>(c)</w:t>
      </w:r>
      <w:r w:rsidR="00FD1042" w:rsidRPr="008F70BE">
        <w:rPr>
          <w:rFonts w:cs="Arial"/>
          <w:bCs/>
          <w:szCs w:val="22"/>
        </w:rPr>
        <w:t xml:space="preserve"> of the Act</w:t>
      </w:r>
      <w:r w:rsidRPr="008F70BE">
        <w:rPr>
          <w:rFonts w:cs="Arial"/>
          <w:bCs/>
          <w:szCs w:val="22"/>
        </w:rPr>
        <w:t xml:space="preserve">, the CIA must provide details with respect to the proximity of the premises to sensitive areas such as schools, shopping centres, other community congregation facilities, welfare agencies, banks and pawn brokers.  </w:t>
      </w:r>
      <w:r w:rsidR="00E81309" w:rsidRPr="008F70BE">
        <w:rPr>
          <w:rFonts w:cs="Arial"/>
          <w:bCs/>
          <w:szCs w:val="22"/>
        </w:rPr>
        <w:t xml:space="preserve">In doing so, the CIA accompanying this application has identified a number of sites including </w:t>
      </w:r>
      <w:r w:rsidR="00E357FE">
        <w:rPr>
          <w:rFonts w:cs="Arial"/>
          <w:bCs/>
          <w:szCs w:val="22"/>
        </w:rPr>
        <w:t>schools, churches, the Darwin Police station</w:t>
      </w:r>
      <w:r w:rsidR="00BA1565">
        <w:rPr>
          <w:rFonts w:cs="Arial"/>
          <w:bCs/>
          <w:szCs w:val="22"/>
        </w:rPr>
        <w:t xml:space="preserve"> and sev</w:t>
      </w:r>
      <w:r w:rsidR="00E357FE">
        <w:rPr>
          <w:rFonts w:cs="Arial"/>
          <w:bCs/>
          <w:szCs w:val="22"/>
        </w:rPr>
        <w:t>eral counselling</w:t>
      </w:r>
      <w:r w:rsidR="00BA1565">
        <w:rPr>
          <w:rFonts w:cs="Arial"/>
          <w:bCs/>
          <w:szCs w:val="22"/>
        </w:rPr>
        <w:t xml:space="preserve"> and community</w:t>
      </w:r>
      <w:r w:rsidR="00E357FE">
        <w:rPr>
          <w:rFonts w:cs="Arial"/>
          <w:bCs/>
          <w:szCs w:val="22"/>
        </w:rPr>
        <w:t xml:space="preserve"> services.  </w:t>
      </w:r>
      <w:r w:rsidR="000D331C" w:rsidRPr="008F70BE">
        <w:rPr>
          <w:rFonts w:cs="Arial"/>
          <w:bCs/>
          <w:szCs w:val="22"/>
        </w:rPr>
        <w:t xml:space="preserve">The CIA advises that </w:t>
      </w:r>
      <w:r w:rsidR="00E357FE">
        <w:rPr>
          <w:rFonts w:cs="Arial"/>
          <w:bCs/>
          <w:szCs w:val="22"/>
        </w:rPr>
        <w:t>with respect to the counselling services, none of them are dedicated to providing counselling in relation to gambling addiction.</w:t>
      </w:r>
    </w:p>
    <w:p w:rsidR="00881E1B" w:rsidRDefault="00881E1B" w:rsidP="006419C4">
      <w:pPr>
        <w:pStyle w:val="ListParagraph"/>
        <w:numPr>
          <w:ilvl w:val="0"/>
          <w:numId w:val="12"/>
        </w:numPr>
        <w:spacing w:after="240"/>
        <w:ind w:left="567" w:hanging="425"/>
        <w:jc w:val="both"/>
        <w:rPr>
          <w:rFonts w:cs="Arial"/>
          <w:bCs/>
          <w:szCs w:val="22"/>
        </w:rPr>
      </w:pPr>
      <w:r>
        <w:rPr>
          <w:rFonts w:cs="Arial"/>
          <w:szCs w:val="22"/>
        </w:rPr>
        <w:t>The venue currently holds a gaming machine licence and o</w:t>
      </w:r>
      <w:r w:rsidRPr="00B3067F">
        <w:rPr>
          <w:rFonts w:cs="Arial"/>
          <w:szCs w:val="22"/>
        </w:rPr>
        <w:t xml:space="preserve">n the basis of the </w:t>
      </w:r>
      <w:r>
        <w:rPr>
          <w:rFonts w:cs="Arial"/>
          <w:szCs w:val="22"/>
        </w:rPr>
        <w:t>information available above,</w:t>
      </w:r>
      <w:r w:rsidRPr="00B3067F">
        <w:rPr>
          <w:rFonts w:cs="Arial"/>
          <w:szCs w:val="22"/>
        </w:rPr>
        <w:t xml:space="preserve"> I am satisfied that the </w:t>
      </w:r>
      <w:r>
        <w:rPr>
          <w:rFonts w:cs="Arial"/>
          <w:szCs w:val="22"/>
        </w:rPr>
        <w:t>venue’s location continues to be suitable for the operation of gaming machines.</w:t>
      </w:r>
    </w:p>
    <w:p w:rsidR="000D331C" w:rsidRPr="006419C4" w:rsidRDefault="000D331C" w:rsidP="006419C4">
      <w:pPr>
        <w:pStyle w:val="ListParagraph"/>
        <w:spacing w:after="120"/>
        <w:ind w:left="0"/>
        <w:jc w:val="both"/>
        <w:rPr>
          <w:rStyle w:val="Emphasis"/>
          <w:b/>
          <w:i w:val="0"/>
        </w:rPr>
      </w:pPr>
      <w:r w:rsidRPr="006419C4">
        <w:rPr>
          <w:rStyle w:val="Emphasis"/>
          <w:b/>
          <w:i w:val="0"/>
        </w:rPr>
        <w:t>Appropriateness of problem gambling risk management and responsible gambling strategies</w:t>
      </w:r>
    </w:p>
    <w:p w:rsidR="00051BA0" w:rsidRDefault="00A704E6" w:rsidP="006419C4">
      <w:pPr>
        <w:pStyle w:val="ListParagraph"/>
        <w:numPr>
          <w:ilvl w:val="0"/>
          <w:numId w:val="12"/>
        </w:numPr>
        <w:spacing w:after="240"/>
        <w:ind w:left="567" w:hanging="425"/>
        <w:jc w:val="both"/>
        <w:rPr>
          <w:rFonts w:cs="Arial"/>
          <w:bCs/>
          <w:szCs w:val="22"/>
        </w:rPr>
      </w:pPr>
      <w:r w:rsidRPr="00F1351E">
        <w:rPr>
          <w:rFonts w:cs="Arial"/>
          <w:bCs/>
          <w:szCs w:val="22"/>
        </w:rPr>
        <w:t xml:space="preserve">The CIA states that according to the 2014 report ‘Gambling Harm in the Northern Territory: An Atlas of Venue Catchments’ </w:t>
      </w:r>
      <w:r w:rsidR="0046387B" w:rsidRPr="00F1351E">
        <w:rPr>
          <w:rFonts w:cs="Arial"/>
          <w:bCs/>
          <w:szCs w:val="22"/>
        </w:rPr>
        <w:t xml:space="preserve">which was a report prepared for the Community Benefit Committee through the Department of Business in May 2014, </w:t>
      </w:r>
      <w:r w:rsidRPr="008F70BE">
        <w:rPr>
          <w:rFonts w:cs="Arial"/>
          <w:bCs/>
          <w:szCs w:val="22"/>
        </w:rPr>
        <w:t xml:space="preserve">that </w:t>
      </w:r>
      <w:r w:rsidRPr="008F70BE">
        <w:rPr>
          <w:rFonts w:cs="Arial"/>
          <w:bCs/>
          <w:i/>
          <w:szCs w:val="22"/>
        </w:rPr>
        <w:t>“</w:t>
      </w:r>
      <w:r w:rsidR="00051BA0">
        <w:rPr>
          <w:rFonts w:cs="Arial"/>
          <w:bCs/>
          <w:i/>
          <w:szCs w:val="22"/>
        </w:rPr>
        <w:t>62.8</w:t>
      </w:r>
      <w:r w:rsidRPr="008F70BE">
        <w:rPr>
          <w:rFonts w:cs="Arial"/>
          <w:bCs/>
          <w:i/>
          <w:szCs w:val="22"/>
        </w:rPr>
        <w:t xml:space="preserve">% of </w:t>
      </w:r>
      <w:r w:rsidR="00051BA0">
        <w:rPr>
          <w:rFonts w:cs="Arial"/>
          <w:bCs/>
          <w:i/>
          <w:szCs w:val="22"/>
        </w:rPr>
        <w:t>TCH</w:t>
      </w:r>
      <w:r w:rsidRPr="008F70BE">
        <w:rPr>
          <w:rFonts w:cs="Arial"/>
          <w:bCs/>
          <w:i/>
          <w:szCs w:val="22"/>
        </w:rPr>
        <w:t xml:space="preserve"> visitors are non-problem gamblers, </w:t>
      </w:r>
      <w:r w:rsidR="00051BA0">
        <w:rPr>
          <w:rFonts w:cs="Arial"/>
          <w:bCs/>
          <w:i/>
          <w:szCs w:val="22"/>
        </w:rPr>
        <w:t>with 8.5% falling into a medium to high gambling risk category, and a further 28.7% were categorised as low problem gamblers</w:t>
      </w:r>
      <w:r w:rsidR="00881E1B">
        <w:rPr>
          <w:rFonts w:cs="Arial"/>
          <w:bCs/>
          <w:i/>
          <w:szCs w:val="22"/>
        </w:rPr>
        <w:t xml:space="preserve">.”  </w:t>
      </w:r>
      <w:r w:rsidR="002B7D23">
        <w:rPr>
          <w:rFonts w:cs="Arial"/>
          <w:bCs/>
          <w:szCs w:val="22"/>
        </w:rPr>
        <w:t>T</w:t>
      </w:r>
      <w:r w:rsidR="0046387B" w:rsidRPr="008F70BE">
        <w:rPr>
          <w:rFonts w:cs="Arial"/>
          <w:bCs/>
          <w:szCs w:val="22"/>
        </w:rPr>
        <w:t>he</w:t>
      </w:r>
      <w:r w:rsidRPr="008F70BE">
        <w:rPr>
          <w:rFonts w:cs="Arial"/>
          <w:bCs/>
          <w:szCs w:val="22"/>
        </w:rPr>
        <w:t xml:space="preserve"> CIA </w:t>
      </w:r>
      <w:r w:rsidR="002B7D23">
        <w:rPr>
          <w:rFonts w:cs="Arial"/>
          <w:bCs/>
          <w:szCs w:val="22"/>
        </w:rPr>
        <w:t xml:space="preserve">also </w:t>
      </w:r>
      <w:r w:rsidRPr="008F70BE">
        <w:rPr>
          <w:rFonts w:cs="Arial"/>
          <w:bCs/>
          <w:szCs w:val="22"/>
        </w:rPr>
        <w:t>advises caution in relying on these statistics however</w:t>
      </w:r>
      <w:r w:rsidR="00051BA0">
        <w:rPr>
          <w:rFonts w:cs="Arial"/>
          <w:bCs/>
          <w:szCs w:val="22"/>
        </w:rPr>
        <w:t>,</w:t>
      </w:r>
      <w:r w:rsidRPr="008F70BE">
        <w:rPr>
          <w:rFonts w:cs="Arial"/>
          <w:bCs/>
          <w:szCs w:val="22"/>
        </w:rPr>
        <w:t xml:space="preserve"> as the number of respondents to the survey used in formulating these figures was </w:t>
      </w:r>
      <w:r w:rsidR="00503996" w:rsidRPr="008F70BE">
        <w:rPr>
          <w:rFonts w:cs="Arial"/>
          <w:bCs/>
          <w:szCs w:val="22"/>
        </w:rPr>
        <w:t xml:space="preserve">only </w:t>
      </w:r>
      <w:r w:rsidR="00051BA0">
        <w:rPr>
          <w:rFonts w:cs="Arial"/>
          <w:bCs/>
          <w:szCs w:val="22"/>
        </w:rPr>
        <w:t>28</w:t>
      </w:r>
      <w:r w:rsidR="0046387B" w:rsidRPr="008F70BE">
        <w:rPr>
          <w:rFonts w:cs="Arial"/>
          <w:bCs/>
          <w:szCs w:val="22"/>
        </w:rPr>
        <w:t xml:space="preserve"> people</w:t>
      </w:r>
      <w:r w:rsidR="00051BA0">
        <w:rPr>
          <w:rFonts w:cs="Arial"/>
          <w:bCs/>
          <w:szCs w:val="22"/>
        </w:rPr>
        <w:t xml:space="preserve">.  Given the extremely small survey sample size, these statistics cannot, in my view be afforded sufficient weight to persuade me to reject the application on these statistics alone. </w:t>
      </w:r>
    </w:p>
    <w:p w:rsidR="005C47C1" w:rsidRPr="008F70BE" w:rsidRDefault="00051BA0" w:rsidP="006419C4">
      <w:pPr>
        <w:pStyle w:val="ListParagraph"/>
        <w:numPr>
          <w:ilvl w:val="0"/>
          <w:numId w:val="12"/>
        </w:numPr>
        <w:spacing w:after="240"/>
        <w:ind w:left="567" w:hanging="425"/>
        <w:jc w:val="both"/>
        <w:rPr>
          <w:rFonts w:cs="Arial"/>
          <w:bCs/>
          <w:szCs w:val="22"/>
        </w:rPr>
      </w:pPr>
      <w:r w:rsidRPr="008F70BE">
        <w:rPr>
          <w:rFonts w:cs="Arial"/>
          <w:bCs/>
          <w:szCs w:val="22"/>
        </w:rPr>
        <w:t xml:space="preserve"> </w:t>
      </w:r>
      <w:r w:rsidR="00503996" w:rsidRPr="008F70BE">
        <w:rPr>
          <w:rFonts w:cs="Arial"/>
          <w:bCs/>
          <w:szCs w:val="22"/>
        </w:rPr>
        <w:t xml:space="preserve">The CIA </w:t>
      </w:r>
      <w:r w:rsidR="005C47C1" w:rsidRPr="008F70BE">
        <w:rPr>
          <w:rFonts w:cs="Arial"/>
          <w:bCs/>
          <w:szCs w:val="22"/>
        </w:rPr>
        <w:t xml:space="preserve">also </w:t>
      </w:r>
      <w:r w:rsidR="00503996" w:rsidRPr="008F70BE">
        <w:rPr>
          <w:rFonts w:cs="Arial"/>
          <w:bCs/>
          <w:szCs w:val="22"/>
        </w:rPr>
        <w:t>sets out the policy and procedures underpinning the responsible delivery of gaming services relevant to the venue in some detail.  Harm minimisation strategies and measures including exclusion provisions, cash limits, restrictions on cheque cashing and the location of Automatic Teller Machines away from the gaming room</w:t>
      </w:r>
      <w:r w:rsidR="005C47C1" w:rsidRPr="008F70BE">
        <w:rPr>
          <w:rFonts w:cs="Arial"/>
          <w:bCs/>
          <w:szCs w:val="22"/>
        </w:rPr>
        <w:t xml:space="preserve"> are </w:t>
      </w:r>
      <w:r w:rsidR="0046387B" w:rsidRPr="008F70BE">
        <w:rPr>
          <w:rFonts w:cs="Arial"/>
          <w:bCs/>
          <w:szCs w:val="22"/>
        </w:rPr>
        <w:t xml:space="preserve">stated to be </w:t>
      </w:r>
      <w:r w:rsidR="005C47C1" w:rsidRPr="008F70BE">
        <w:rPr>
          <w:rFonts w:cs="Arial"/>
          <w:bCs/>
          <w:szCs w:val="22"/>
        </w:rPr>
        <w:t xml:space="preserve">in </w:t>
      </w:r>
      <w:r w:rsidR="005C47C1" w:rsidRPr="008F70BE">
        <w:rPr>
          <w:rFonts w:cs="Arial"/>
          <w:szCs w:val="24"/>
        </w:rPr>
        <w:t>existence</w:t>
      </w:r>
      <w:r w:rsidR="005C47C1" w:rsidRPr="008F70BE">
        <w:rPr>
          <w:rFonts w:cs="Arial"/>
          <w:bCs/>
          <w:szCs w:val="22"/>
        </w:rPr>
        <w:t xml:space="preserve"> at the venue</w:t>
      </w:r>
      <w:r w:rsidR="00503996" w:rsidRPr="008F70BE">
        <w:rPr>
          <w:rFonts w:cs="Arial"/>
          <w:bCs/>
          <w:szCs w:val="22"/>
        </w:rPr>
        <w:t xml:space="preserve">. </w:t>
      </w:r>
    </w:p>
    <w:p w:rsidR="005C47C1" w:rsidRPr="008F70BE" w:rsidRDefault="005C47C1" w:rsidP="00587446">
      <w:pPr>
        <w:pStyle w:val="ListParagraph"/>
        <w:numPr>
          <w:ilvl w:val="0"/>
          <w:numId w:val="12"/>
        </w:numPr>
        <w:spacing w:after="240"/>
        <w:ind w:left="567" w:hanging="425"/>
        <w:jc w:val="both"/>
        <w:rPr>
          <w:rFonts w:cs="Arial"/>
          <w:bCs/>
          <w:szCs w:val="22"/>
        </w:rPr>
      </w:pPr>
      <w:r w:rsidRPr="008F70BE">
        <w:rPr>
          <w:rFonts w:cs="Arial"/>
          <w:bCs/>
          <w:szCs w:val="22"/>
        </w:rPr>
        <w:t>The policies in place at the</w:t>
      </w:r>
      <w:r w:rsidR="002B7D23">
        <w:rPr>
          <w:rFonts w:cs="Arial"/>
          <w:bCs/>
          <w:szCs w:val="22"/>
        </w:rPr>
        <w:t xml:space="preserve"> venue</w:t>
      </w:r>
      <w:r w:rsidRPr="008F70BE">
        <w:rPr>
          <w:rFonts w:cs="Arial"/>
          <w:bCs/>
          <w:szCs w:val="22"/>
        </w:rPr>
        <w:t xml:space="preserve"> at present are compliant with the current Code of Practice for Responsible Gambling in the Northern Territory and there is no indication that an </w:t>
      </w:r>
      <w:r w:rsidRPr="008F70BE">
        <w:rPr>
          <w:rFonts w:cs="Arial"/>
          <w:szCs w:val="24"/>
        </w:rPr>
        <w:t>increase</w:t>
      </w:r>
      <w:r w:rsidRPr="008F70BE">
        <w:rPr>
          <w:rFonts w:cs="Arial"/>
          <w:bCs/>
          <w:szCs w:val="22"/>
        </w:rPr>
        <w:t xml:space="preserve"> in the number of gaming machines at the venue would require any amendment or addition to those policies or existing procedures relating to the management and monitoring of gaming. </w:t>
      </w:r>
    </w:p>
    <w:p w:rsidR="00C96786" w:rsidRPr="00587446" w:rsidRDefault="00D17A30" w:rsidP="00587446">
      <w:pPr>
        <w:pStyle w:val="ListParagraph"/>
        <w:spacing w:after="120"/>
        <w:ind w:left="0"/>
        <w:jc w:val="both"/>
        <w:rPr>
          <w:rStyle w:val="Emphasis"/>
          <w:b/>
          <w:i w:val="0"/>
        </w:rPr>
      </w:pPr>
      <w:r w:rsidRPr="00587446">
        <w:rPr>
          <w:rStyle w:val="Emphasis"/>
          <w:b/>
          <w:i w:val="0"/>
        </w:rPr>
        <w:t>Economic impact - contribution to the community, employment creation and significance/reliance of the venue to or on tourism</w:t>
      </w:r>
    </w:p>
    <w:p w:rsidR="00455983" w:rsidRDefault="00DD0C69" w:rsidP="00587446">
      <w:pPr>
        <w:pStyle w:val="ListParagraph"/>
        <w:numPr>
          <w:ilvl w:val="0"/>
          <w:numId w:val="12"/>
        </w:numPr>
        <w:spacing w:after="240"/>
        <w:ind w:left="567" w:hanging="425"/>
        <w:jc w:val="both"/>
        <w:rPr>
          <w:rFonts w:cs="Arial"/>
          <w:bCs/>
          <w:szCs w:val="22"/>
        </w:rPr>
      </w:pPr>
      <w:r w:rsidRPr="00455983">
        <w:rPr>
          <w:rFonts w:cs="Arial"/>
          <w:bCs/>
          <w:szCs w:val="22"/>
        </w:rPr>
        <w:t>With respect to the economic impact of the venue, the CIA states that the venue has</w:t>
      </w:r>
      <w:r w:rsidR="00C72C91">
        <w:rPr>
          <w:rFonts w:cs="Arial"/>
          <w:bCs/>
          <w:szCs w:val="22"/>
        </w:rPr>
        <w:t xml:space="preserve"> made voluntary contributions to the community over the past 11 months of </w:t>
      </w:r>
      <w:r w:rsidR="00455983" w:rsidRPr="00455983">
        <w:rPr>
          <w:rFonts w:cs="Arial"/>
          <w:bCs/>
          <w:szCs w:val="22"/>
        </w:rPr>
        <w:t>approximately $</w:t>
      </w:r>
      <w:r w:rsidR="00C72C91">
        <w:rPr>
          <w:rFonts w:cs="Arial"/>
          <w:bCs/>
          <w:szCs w:val="22"/>
        </w:rPr>
        <w:t>28</w:t>
      </w:r>
      <w:r w:rsidR="00455983" w:rsidRPr="00455983">
        <w:rPr>
          <w:rFonts w:cs="Arial"/>
          <w:bCs/>
          <w:szCs w:val="22"/>
        </w:rPr>
        <w:t xml:space="preserve"> 000 to organisations such as the </w:t>
      </w:r>
      <w:r w:rsidR="00C72C91">
        <w:rPr>
          <w:rFonts w:cs="Arial"/>
          <w:bCs/>
          <w:szCs w:val="22"/>
        </w:rPr>
        <w:t>Starlight Children’s Foundation, Alzheimer’s Association, International Women’s Day and the Tiwi Bombers Football Club.</w:t>
      </w:r>
      <w:r w:rsidR="00455983" w:rsidRPr="00455983">
        <w:rPr>
          <w:rFonts w:cs="Arial"/>
          <w:bCs/>
          <w:szCs w:val="22"/>
        </w:rPr>
        <w:t xml:space="preserve">  </w:t>
      </w:r>
      <w:r w:rsidR="00455983">
        <w:rPr>
          <w:rFonts w:cs="Arial"/>
          <w:bCs/>
          <w:szCs w:val="22"/>
        </w:rPr>
        <w:t xml:space="preserve">These contributions are in addition to the 10% of the gross monthly profit of the licenced premises paid by the Applicant to the Gaming Machine Community Benefit Fund. </w:t>
      </w:r>
    </w:p>
    <w:p w:rsidR="005E4072" w:rsidRDefault="000D2696" w:rsidP="00587446">
      <w:pPr>
        <w:pStyle w:val="ListParagraph"/>
        <w:numPr>
          <w:ilvl w:val="0"/>
          <w:numId w:val="12"/>
        </w:numPr>
        <w:spacing w:after="240"/>
        <w:ind w:left="567" w:hanging="425"/>
        <w:jc w:val="both"/>
        <w:rPr>
          <w:rFonts w:cs="Arial"/>
          <w:bCs/>
          <w:szCs w:val="22"/>
        </w:rPr>
      </w:pPr>
      <w:r w:rsidRPr="005E4072">
        <w:rPr>
          <w:rFonts w:cs="Arial"/>
          <w:bCs/>
          <w:szCs w:val="22"/>
        </w:rPr>
        <w:lastRenderedPageBreak/>
        <w:t xml:space="preserve">The CIA states that the venue currently employs </w:t>
      </w:r>
      <w:r w:rsidR="0014581F">
        <w:rPr>
          <w:rFonts w:cs="Arial"/>
          <w:bCs/>
          <w:szCs w:val="22"/>
        </w:rPr>
        <w:t>56</w:t>
      </w:r>
      <w:r w:rsidRPr="005E4072">
        <w:rPr>
          <w:rFonts w:cs="Arial"/>
          <w:bCs/>
          <w:szCs w:val="22"/>
        </w:rPr>
        <w:t xml:space="preserve"> </w:t>
      </w:r>
      <w:r w:rsidR="00455983" w:rsidRPr="005E4072">
        <w:rPr>
          <w:rFonts w:cs="Arial"/>
          <w:bCs/>
          <w:szCs w:val="22"/>
        </w:rPr>
        <w:t xml:space="preserve">local </w:t>
      </w:r>
      <w:r w:rsidRPr="005E4072">
        <w:rPr>
          <w:rFonts w:cs="Arial"/>
          <w:bCs/>
          <w:szCs w:val="22"/>
        </w:rPr>
        <w:t xml:space="preserve">staff </w:t>
      </w:r>
      <w:r w:rsidR="0014581F">
        <w:rPr>
          <w:rFonts w:cs="Arial"/>
          <w:bCs/>
          <w:szCs w:val="22"/>
        </w:rPr>
        <w:t xml:space="preserve">of which 22 are full-time employees.  The venue </w:t>
      </w:r>
      <w:r w:rsidRPr="005E4072">
        <w:rPr>
          <w:rFonts w:cs="Arial"/>
          <w:bCs/>
          <w:szCs w:val="22"/>
        </w:rPr>
        <w:t xml:space="preserve">anticipate that </w:t>
      </w:r>
      <w:r w:rsidR="00455983" w:rsidRPr="005E4072">
        <w:rPr>
          <w:rFonts w:cs="Arial"/>
          <w:bCs/>
          <w:szCs w:val="22"/>
        </w:rPr>
        <w:t xml:space="preserve">3 </w:t>
      </w:r>
      <w:r w:rsidRPr="005E4072">
        <w:rPr>
          <w:rFonts w:cs="Arial"/>
          <w:bCs/>
          <w:szCs w:val="22"/>
        </w:rPr>
        <w:t xml:space="preserve">additional </w:t>
      </w:r>
      <w:r w:rsidR="00455983" w:rsidRPr="005E4072">
        <w:rPr>
          <w:rFonts w:cs="Arial"/>
          <w:bCs/>
          <w:szCs w:val="22"/>
        </w:rPr>
        <w:t xml:space="preserve">full time employees </w:t>
      </w:r>
      <w:r w:rsidRPr="005E4072">
        <w:rPr>
          <w:rFonts w:cs="Arial"/>
          <w:bCs/>
          <w:szCs w:val="22"/>
        </w:rPr>
        <w:t xml:space="preserve">staff </w:t>
      </w:r>
      <w:r w:rsidR="005E4072" w:rsidRPr="005E4072">
        <w:rPr>
          <w:rFonts w:cs="Arial"/>
          <w:bCs/>
          <w:szCs w:val="22"/>
        </w:rPr>
        <w:t xml:space="preserve">will </w:t>
      </w:r>
      <w:r w:rsidRPr="005E4072">
        <w:rPr>
          <w:rFonts w:cs="Arial"/>
          <w:bCs/>
          <w:szCs w:val="22"/>
        </w:rPr>
        <w:t>be required should the application be approved</w:t>
      </w:r>
      <w:r w:rsidR="005E4072" w:rsidRPr="005E4072">
        <w:rPr>
          <w:rFonts w:cs="Arial"/>
          <w:bCs/>
          <w:szCs w:val="22"/>
        </w:rPr>
        <w:t xml:space="preserve">.  </w:t>
      </w:r>
    </w:p>
    <w:p w:rsidR="005E4072" w:rsidRPr="005E4072" w:rsidRDefault="00D17A30" w:rsidP="00587446">
      <w:pPr>
        <w:pStyle w:val="ListParagraph"/>
        <w:numPr>
          <w:ilvl w:val="0"/>
          <w:numId w:val="12"/>
        </w:numPr>
        <w:spacing w:after="240"/>
        <w:ind w:left="567" w:hanging="425"/>
        <w:jc w:val="both"/>
        <w:rPr>
          <w:rFonts w:cs="Arial"/>
          <w:szCs w:val="24"/>
        </w:rPr>
      </w:pPr>
      <w:r w:rsidRPr="005E4072">
        <w:rPr>
          <w:rFonts w:cs="Arial"/>
          <w:bCs/>
          <w:szCs w:val="22"/>
        </w:rPr>
        <w:t xml:space="preserve">The CIA presents a large amount of data pertaining to tourism </w:t>
      </w:r>
      <w:r w:rsidR="005E4072">
        <w:rPr>
          <w:rFonts w:cs="Arial"/>
          <w:bCs/>
          <w:szCs w:val="22"/>
        </w:rPr>
        <w:t>with these statistics showing that the LCA continues to attract both the business traveller and the leisure traveller alike.</w:t>
      </w:r>
    </w:p>
    <w:p w:rsidR="001A3DEE" w:rsidRPr="008F70BE" w:rsidRDefault="000D2696" w:rsidP="001A3DEE">
      <w:pPr>
        <w:pStyle w:val="ListParagraph"/>
        <w:keepLines/>
        <w:numPr>
          <w:ilvl w:val="0"/>
          <w:numId w:val="12"/>
        </w:numPr>
        <w:spacing w:after="120"/>
        <w:ind w:left="567" w:hanging="425"/>
        <w:jc w:val="both"/>
        <w:rPr>
          <w:rFonts w:cs="Arial"/>
          <w:szCs w:val="24"/>
        </w:rPr>
      </w:pPr>
      <w:r w:rsidRPr="008F70BE">
        <w:rPr>
          <w:rFonts w:cs="Arial"/>
          <w:bCs/>
          <w:szCs w:val="22"/>
        </w:rPr>
        <w:t xml:space="preserve">The CIA </w:t>
      </w:r>
      <w:r w:rsidR="0021413A" w:rsidRPr="008F70BE">
        <w:rPr>
          <w:rFonts w:cs="Arial"/>
          <w:bCs/>
          <w:szCs w:val="22"/>
        </w:rPr>
        <w:t xml:space="preserve">reports that </w:t>
      </w:r>
      <w:r w:rsidRPr="008F70BE">
        <w:rPr>
          <w:rFonts w:cs="Arial"/>
          <w:bCs/>
          <w:szCs w:val="22"/>
        </w:rPr>
        <w:t xml:space="preserve">contact </w:t>
      </w:r>
      <w:r w:rsidR="0021413A" w:rsidRPr="008F70BE">
        <w:rPr>
          <w:rFonts w:cs="Arial"/>
          <w:bCs/>
          <w:szCs w:val="22"/>
        </w:rPr>
        <w:t xml:space="preserve">was made </w:t>
      </w:r>
      <w:r w:rsidR="00F40AD7">
        <w:rPr>
          <w:rFonts w:cs="Arial"/>
          <w:bCs/>
          <w:szCs w:val="22"/>
        </w:rPr>
        <w:t xml:space="preserve">with 21 organisations, </w:t>
      </w:r>
      <w:r w:rsidR="0021413A" w:rsidRPr="008F70BE">
        <w:rPr>
          <w:rFonts w:cs="Arial"/>
          <w:bCs/>
          <w:szCs w:val="22"/>
        </w:rPr>
        <w:t xml:space="preserve">with </w:t>
      </w:r>
      <w:r w:rsidR="005E4072">
        <w:rPr>
          <w:rFonts w:cs="Arial"/>
          <w:bCs/>
          <w:szCs w:val="22"/>
        </w:rPr>
        <w:t>eight o</w:t>
      </w:r>
      <w:r w:rsidRPr="008F70BE">
        <w:rPr>
          <w:rFonts w:cs="Arial"/>
          <w:bCs/>
          <w:szCs w:val="22"/>
        </w:rPr>
        <w:t xml:space="preserve">rganisations </w:t>
      </w:r>
      <w:r w:rsidR="00F40AD7">
        <w:rPr>
          <w:rFonts w:cs="Arial"/>
          <w:bCs/>
          <w:szCs w:val="22"/>
        </w:rPr>
        <w:t xml:space="preserve">responding in July </w:t>
      </w:r>
      <w:r w:rsidR="0021413A" w:rsidRPr="008F70BE">
        <w:rPr>
          <w:rFonts w:cs="Arial"/>
          <w:bCs/>
          <w:szCs w:val="22"/>
        </w:rPr>
        <w:t xml:space="preserve">2015 to establish the </w:t>
      </w:r>
      <w:r w:rsidR="0021413A" w:rsidRPr="008F70BE">
        <w:rPr>
          <w:rFonts w:cs="Arial"/>
          <w:szCs w:val="24"/>
        </w:rPr>
        <w:t>community’s</w:t>
      </w:r>
      <w:r w:rsidR="0021413A" w:rsidRPr="008F70BE">
        <w:rPr>
          <w:rFonts w:cs="Arial"/>
          <w:bCs/>
          <w:szCs w:val="22"/>
        </w:rPr>
        <w:t xml:space="preserve"> perceptions to the proposed increase in gaming machines</w:t>
      </w:r>
      <w:r w:rsidR="005E4072">
        <w:rPr>
          <w:rFonts w:cs="Arial"/>
          <w:bCs/>
          <w:szCs w:val="22"/>
        </w:rPr>
        <w:t xml:space="preserve">.   These organisations included the </w:t>
      </w:r>
      <w:r w:rsidR="00F40AD7">
        <w:rPr>
          <w:rFonts w:cs="Arial"/>
          <w:bCs/>
          <w:szCs w:val="22"/>
        </w:rPr>
        <w:t>Aboriginal Employment Strategy, the North Australian Aboriginal Justice Agency, the NT Shelter Inc and the Uniting Church in Australia.</w:t>
      </w:r>
      <w:r w:rsidR="005E4072">
        <w:rPr>
          <w:rFonts w:cs="Arial"/>
          <w:bCs/>
          <w:szCs w:val="22"/>
        </w:rPr>
        <w:t xml:space="preserve">  Of those who participated, </w:t>
      </w:r>
      <w:r w:rsidR="00F40AD7">
        <w:rPr>
          <w:rFonts w:cs="Arial"/>
          <w:bCs/>
          <w:szCs w:val="22"/>
        </w:rPr>
        <w:t xml:space="preserve">three believed </w:t>
      </w:r>
      <w:r w:rsidR="005E4072">
        <w:rPr>
          <w:rFonts w:cs="Arial"/>
          <w:bCs/>
          <w:szCs w:val="22"/>
        </w:rPr>
        <w:t xml:space="preserve">that the application </w:t>
      </w:r>
      <w:r w:rsidR="00F40AD7">
        <w:rPr>
          <w:rFonts w:cs="Arial"/>
          <w:bCs/>
          <w:szCs w:val="22"/>
        </w:rPr>
        <w:t xml:space="preserve">if approved, </w:t>
      </w:r>
      <w:r w:rsidR="005E4072">
        <w:rPr>
          <w:rFonts w:cs="Arial"/>
          <w:bCs/>
          <w:szCs w:val="22"/>
        </w:rPr>
        <w:t xml:space="preserve">would have </w:t>
      </w:r>
      <w:r w:rsidR="00F40AD7">
        <w:rPr>
          <w:rFonts w:cs="Arial"/>
          <w:bCs/>
          <w:szCs w:val="22"/>
        </w:rPr>
        <w:t>no</w:t>
      </w:r>
      <w:r w:rsidR="005E4072">
        <w:rPr>
          <w:rFonts w:cs="Arial"/>
          <w:bCs/>
          <w:szCs w:val="22"/>
        </w:rPr>
        <w:t xml:space="preserve"> impact whereas f</w:t>
      </w:r>
      <w:r w:rsidR="00F40AD7">
        <w:rPr>
          <w:rFonts w:cs="Arial"/>
          <w:bCs/>
          <w:szCs w:val="22"/>
        </w:rPr>
        <w:t xml:space="preserve">ive </w:t>
      </w:r>
      <w:r w:rsidRPr="008F70BE">
        <w:rPr>
          <w:rFonts w:cs="Arial"/>
          <w:szCs w:val="24"/>
        </w:rPr>
        <w:t xml:space="preserve">believed </w:t>
      </w:r>
      <w:r w:rsidR="005E4072">
        <w:rPr>
          <w:rFonts w:cs="Arial"/>
          <w:szCs w:val="24"/>
        </w:rPr>
        <w:t xml:space="preserve">that </w:t>
      </w:r>
      <w:r w:rsidRPr="008F70BE">
        <w:rPr>
          <w:rFonts w:cs="Arial"/>
          <w:szCs w:val="24"/>
        </w:rPr>
        <w:t>there would be a negative effect on the community</w:t>
      </w:r>
      <w:r w:rsidR="001A3DEE" w:rsidRPr="008F70BE">
        <w:rPr>
          <w:rFonts w:cs="Arial"/>
          <w:szCs w:val="24"/>
        </w:rPr>
        <w:t xml:space="preserve">.  </w:t>
      </w:r>
      <w:r w:rsidR="00F40AD7">
        <w:rPr>
          <w:rFonts w:cs="Arial"/>
          <w:szCs w:val="24"/>
        </w:rPr>
        <w:t>Of those who did not support the application, many comments were about the negative impacts of gambling generally as opposed to concerns about the venue in particular.</w:t>
      </w:r>
    </w:p>
    <w:p w:rsidR="001A3DEE" w:rsidRPr="008F70BE" w:rsidRDefault="001A3DEE" w:rsidP="001A3DEE">
      <w:pPr>
        <w:pStyle w:val="ListParagraph"/>
        <w:numPr>
          <w:ilvl w:val="0"/>
          <w:numId w:val="12"/>
        </w:numPr>
        <w:spacing w:after="240"/>
        <w:ind w:left="567" w:hanging="425"/>
        <w:jc w:val="both"/>
        <w:rPr>
          <w:rFonts w:cs="Arial"/>
          <w:szCs w:val="24"/>
        </w:rPr>
      </w:pPr>
      <w:r w:rsidRPr="008F70BE">
        <w:rPr>
          <w:rFonts w:cs="Arial"/>
          <w:szCs w:val="24"/>
        </w:rPr>
        <w:t>Whilst the concerns expressed by th</w:t>
      </w:r>
      <w:r>
        <w:rPr>
          <w:rFonts w:cs="Arial"/>
          <w:szCs w:val="24"/>
        </w:rPr>
        <w:t xml:space="preserve">ose organisations </w:t>
      </w:r>
      <w:r w:rsidRPr="008F70BE">
        <w:rPr>
          <w:rFonts w:cs="Arial"/>
          <w:szCs w:val="24"/>
        </w:rPr>
        <w:t xml:space="preserve">that did complete the </w:t>
      </w:r>
      <w:r>
        <w:rPr>
          <w:rFonts w:cs="Arial"/>
          <w:szCs w:val="24"/>
        </w:rPr>
        <w:t xml:space="preserve">Community Representative Feedback survey </w:t>
      </w:r>
      <w:r w:rsidRPr="008F70BE">
        <w:rPr>
          <w:rFonts w:cs="Arial"/>
          <w:szCs w:val="24"/>
        </w:rPr>
        <w:t>are noted and taken into account they cannot, in my view be afforded sufficient weight to persuade me to reject the application on these responses alone.</w:t>
      </w:r>
    </w:p>
    <w:p w:rsidR="00E30907" w:rsidRPr="00587446" w:rsidRDefault="00E30907" w:rsidP="00587446">
      <w:pPr>
        <w:pStyle w:val="Heading3"/>
      </w:pPr>
      <w:r w:rsidRPr="00587446">
        <w:t>Written submissions in response to the application</w:t>
      </w:r>
    </w:p>
    <w:p w:rsidR="00637978" w:rsidRDefault="00E30907" w:rsidP="007C1882">
      <w:pPr>
        <w:pStyle w:val="ListParagraph"/>
        <w:numPr>
          <w:ilvl w:val="0"/>
          <w:numId w:val="12"/>
        </w:numPr>
        <w:spacing w:after="240"/>
        <w:ind w:left="567" w:hanging="425"/>
        <w:jc w:val="both"/>
        <w:rPr>
          <w:rFonts w:cs="Arial"/>
          <w:szCs w:val="24"/>
        </w:rPr>
      </w:pPr>
      <w:r w:rsidRPr="007847A4">
        <w:rPr>
          <w:rFonts w:cs="Arial"/>
          <w:szCs w:val="24"/>
        </w:rPr>
        <w:t xml:space="preserve">As required by section 41B of the Act, </w:t>
      </w:r>
      <w:r w:rsidR="007B6A96" w:rsidRPr="007847A4">
        <w:rPr>
          <w:rFonts w:cs="Arial"/>
          <w:szCs w:val="24"/>
        </w:rPr>
        <w:t xml:space="preserve">notification of </w:t>
      </w:r>
      <w:r w:rsidRPr="007847A4">
        <w:rPr>
          <w:rFonts w:cs="Arial"/>
          <w:szCs w:val="24"/>
        </w:rPr>
        <w:t xml:space="preserve">the application was advertised in the Northern Territory News </w:t>
      </w:r>
      <w:r w:rsidRPr="00637978">
        <w:rPr>
          <w:rFonts w:cs="Arial"/>
          <w:szCs w:val="24"/>
        </w:rPr>
        <w:t xml:space="preserve">on </w:t>
      </w:r>
      <w:r w:rsidR="00637978" w:rsidRPr="00637978">
        <w:rPr>
          <w:rFonts w:cs="Arial"/>
          <w:szCs w:val="24"/>
        </w:rPr>
        <w:t>7</w:t>
      </w:r>
      <w:r w:rsidRPr="004226A1">
        <w:rPr>
          <w:rFonts w:cs="Arial"/>
          <w:szCs w:val="24"/>
        </w:rPr>
        <w:t xml:space="preserve"> August 2015.  </w:t>
      </w:r>
      <w:r w:rsidR="007B6A96" w:rsidRPr="00637978">
        <w:rPr>
          <w:rFonts w:cs="Arial"/>
          <w:szCs w:val="24"/>
        </w:rPr>
        <w:t xml:space="preserve">Pursuant to the Act, a written submission may be made to </w:t>
      </w:r>
      <w:r w:rsidRPr="00637978">
        <w:rPr>
          <w:rFonts w:cs="Arial"/>
          <w:szCs w:val="24"/>
        </w:rPr>
        <w:t xml:space="preserve">the Director-General </w:t>
      </w:r>
      <w:r w:rsidR="007B6A96" w:rsidRPr="00637978">
        <w:rPr>
          <w:rFonts w:cs="Arial"/>
          <w:szCs w:val="24"/>
        </w:rPr>
        <w:t>within 30 days of the</w:t>
      </w:r>
      <w:r w:rsidR="007B6A96" w:rsidRPr="007847A4">
        <w:rPr>
          <w:rFonts w:cs="Arial"/>
          <w:szCs w:val="24"/>
        </w:rPr>
        <w:t xml:space="preserve"> notification.  </w:t>
      </w:r>
    </w:p>
    <w:p w:rsidR="00637978" w:rsidRDefault="00637978" w:rsidP="007C1882">
      <w:pPr>
        <w:pStyle w:val="ListParagraph"/>
        <w:numPr>
          <w:ilvl w:val="0"/>
          <w:numId w:val="12"/>
        </w:numPr>
        <w:spacing w:after="240"/>
        <w:ind w:left="567" w:hanging="425"/>
        <w:jc w:val="both"/>
        <w:rPr>
          <w:rFonts w:cs="Arial"/>
          <w:szCs w:val="24"/>
        </w:rPr>
      </w:pPr>
      <w:r>
        <w:rPr>
          <w:rFonts w:cs="Arial"/>
          <w:szCs w:val="24"/>
        </w:rPr>
        <w:t xml:space="preserve">On 11 September 2015, a </w:t>
      </w:r>
      <w:r w:rsidR="007C1882" w:rsidRPr="007C1882">
        <w:rPr>
          <w:rFonts w:cs="Arial"/>
          <w:szCs w:val="24"/>
        </w:rPr>
        <w:t xml:space="preserve">submission was </w:t>
      </w:r>
      <w:r w:rsidR="007C1882" w:rsidRPr="004226A1">
        <w:rPr>
          <w:rFonts w:cs="Arial"/>
          <w:szCs w:val="24"/>
        </w:rPr>
        <w:t>received from Amity Community Services Inc, (“Amity”)</w:t>
      </w:r>
      <w:r>
        <w:rPr>
          <w:rFonts w:cs="Arial"/>
          <w:szCs w:val="24"/>
        </w:rPr>
        <w:t>, however this falls outside of the allowable 30 day period within which to make a submission to the Director-General,</w:t>
      </w:r>
      <w:r w:rsidR="00B76211">
        <w:rPr>
          <w:rFonts w:cs="Arial"/>
          <w:szCs w:val="24"/>
        </w:rPr>
        <w:t xml:space="preserve"> under the Act.  I have no discretion to extend the time in which a written submission may be accepted and as such</w:t>
      </w:r>
      <w:r>
        <w:rPr>
          <w:rFonts w:cs="Arial"/>
          <w:szCs w:val="24"/>
        </w:rPr>
        <w:t xml:space="preserve"> I have not considered the content of that submission in determining this application. </w:t>
      </w:r>
    </w:p>
    <w:p w:rsidR="000C07CC" w:rsidRPr="00587446" w:rsidRDefault="000C07CC" w:rsidP="00587446">
      <w:pPr>
        <w:pStyle w:val="Heading3"/>
      </w:pPr>
      <w:r w:rsidRPr="00587446">
        <w:t>Gross monthly profit of existing gaming machines operated on the premises</w:t>
      </w:r>
    </w:p>
    <w:p w:rsidR="004B1D98" w:rsidRPr="004B1D98" w:rsidRDefault="002D203F" w:rsidP="002D203F">
      <w:pPr>
        <w:pStyle w:val="ListParagraph"/>
        <w:numPr>
          <w:ilvl w:val="0"/>
          <w:numId w:val="12"/>
        </w:numPr>
        <w:spacing w:after="240"/>
        <w:ind w:left="567" w:hanging="425"/>
        <w:jc w:val="both"/>
        <w:rPr>
          <w:rFonts w:cs="Arial"/>
          <w:szCs w:val="22"/>
        </w:rPr>
      </w:pPr>
      <w:r w:rsidRPr="004B1D98">
        <w:rPr>
          <w:rFonts w:cs="Arial"/>
          <w:bCs/>
          <w:szCs w:val="22"/>
        </w:rPr>
        <w:t xml:space="preserve">Statistical information held by Licensing NT indicates that for </w:t>
      </w:r>
      <w:r w:rsidRPr="004B1D98">
        <w:rPr>
          <w:rFonts w:cs="Arial"/>
          <w:szCs w:val="24"/>
        </w:rPr>
        <w:t xml:space="preserve">the majority of venues with gaming machines in the Northern Territory for the 2014/15 financial year, the </w:t>
      </w:r>
      <w:r w:rsidRPr="004B1D98">
        <w:rPr>
          <w:rFonts w:cs="Arial"/>
          <w:bCs/>
          <w:szCs w:val="22"/>
        </w:rPr>
        <w:t xml:space="preserve">average gross monthly profit is less than $6 000 per machine.  </w:t>
      </w:r>
      <w:r w:rsidRPr="004B1D98">
        <w:rPr>
          <w:rFonts w:cs="Arial"/>
          <w:szCs w:val="24"/>
        </w:rPr>
        <w:t>For</w:t>
      </w:r>
      <w:r w:rsidRPr="004B1D98">
        <w:rPr>
          <w:rFonts w:cs="Arial"/>
          <w:bCs/>
          <w:szCs w:val="22"/>
        </w:rPr>
        <w:t xml:space="preserve"> this venue, the CIA records that </w:t>
      </w:r>
      <w:r w:rsidRPr="004B1D98">
        <w:rPr>
          <w:rFonts w:cs="Arial"/>
          <w:szCs w:val="24"/>
        </w:rPr>
        <w:t xml:space="preserve">the average gross monthly profit per machine is just </w:t>
      </w:r>
      <w:r w:rsidR="007847A4">
        <w:rPr>
          <w:rFonts w:cs="Arial"/>
          <w:szCs w:val="24"/>
        </w:rPr>
        <w:t>over</w:t>
      </w:r>
      <w:r w:rsidRPr="004B1D98">
        <w:rPr>
          <w:rFonts w:cs="Arial"/>
          <w:szCs w:val="24"/>
        </w:rPr>
        <w:t xml:space="preserve"> $</w:t>
      </w:r>
      <w:r w:rsidR="007847A4">
        <w:rPr>
          <w:rFonts w:cs="Arial"/>
          <w:szCs w:val="24"/>
        </w:rPr>
        <w:t>5 000</w:t>
      </w:r>
      <w:r w:rsidR="00C816B9" w:rsidRPr="004B1D98">
        <w:rPr>
          <w:rFonts w:cs="Arial"/>
          <w:szCs w:val="24"/>
        </w:rPr>
        <w:t>.  If this application is approved, the outer projections for 2016</w:t>
      </w:r>
      <w:r w:rsidR="007847A4">
        <w:rPr>
          <w:rFonts w:cs="Arial"/>
          <w:szCs w:val="24"/>
        </w:rPr>
        <w:t xml:space="preserve"> are that the </w:t>
      </w:r>
      <w:r w:rsidR="00C816B9" w:rsidRPr="004B1D98">
        <w:rPr>
          <w:rFonts w:cs="Arial"/>
          <w:szCs w:val="24"/>
        </w:rPr>
        <w:t xml:space="preserve">gross monthly profit </w:t>
      </w:r>
      <w:r w:rsidR="007847A4">
        <w:rPr>
          <w:rFonts w:cs="Arial"/>
          <w:szCs w:val="24"/>
        </w:rPr>
        <w:t>will decrease to just under $4</w:t>
      </w:r>
      <w:r w:rsidR="004226A1">
        <w:rPr>
          <w:rFonts w:cs="Arial"/>
          <w:szCs w:val="24"/>
        </w:rPr>
        <w:t> </w:t>
      </w:r>
      <w:r w:rsidR="007847A4">
        <w:rPr>
          <w:rFonts w:cs="Arial"/>
          <w:szCs w:val="24"/>
        </w:rPr>
        <w:t xml:space="preserve">000 but by </w:t>
      </w:r>
      <w:r w:rsidR="004B1D98" w:rsidRPr="004B1D98">
        <w:rPr>
          <w:rFonts w:cs="Arial"/>
          <w:szCs w:val="24"/>
        </w:rPr>
        <w:t xml:space="preserve">2019 </w:t>
      </w:r>
      <w:r w:rsidR="007847A4">
        <w:rPr>
          <w:rFonts w:cs="Arial"/>
          <w:szCs w:val="24"/>
        </w:rPr>
        <w:t>will have risen to just over $4 000</w:t>
      </w:r>
      <w:r w:rsidR="004B1D98" w:rsidRPr="004B1D98">
        <w:rPr>
          <w:rFonts w:cs="Arial"/>
          <w:szCs w:val="24"/>
        </w:rPr>
        <w:t>.</w:t>
      </w:r>
    </w:p>
    <w:p w:rsidR="002D203F" w:rsidRDefault="002D203F" w:rsidP="002D203F">
      <w:pPr>
        <w:pStyle w:val="ListParagraph"/>
        <w:numPr>
          <w:ilvl w:val="0"/>
          <w:numId w:val="12"/>
        </w:numPr>
        <w:spacing w:after="240"/>
        <w:ind w:left="567" w:hanging="425"/>
        <w:jc w:val="both"/>
        <w:rPr>
          <w:rFonts w:cs="Arial"/>
          <w:szCs w:val="22"/>
        </w:rPr>
      </w:pPr>
      <w:r w:rsidRPr="00B3067F">
        <w:rPr>
          <w:rFonts w:cs="Arial"/>
          <w:szCs w:val="22"/>
        </w:rPr>
        <w:t xml:space="preserve">As explored earlier in this decision, on the basis of the financial analysis provided and Licensing NT data it is apparent that the majority of the venue’s revenue is generated by activity other than that generated by the gaming machines.  </w:t>
      </w:r>
      <w:r>
        <w:rPr>
          <w:rFonts w:cs="Arial"/>
          <w:szCs w:val="22"/>
        </w:rPr>
        <w:t xml:space="preserve">The revenue generated from gaming is </w:t>
      </w:r>
      <w:r w:rsidR="007847A4">
        <w:rPr>
          <w:rFonts w:cs="Arial"/>
          <w:szCs w:val="22"/>
        </w:rPr>
        <w:t>6</w:t>
      </w:r>
      <w:r>
        <w:rPr>
          <w:rFonts w:cs="Arial"/>
          <w:szCs w:val="22"/>
        </w:rPr>
        <w:t xml:space="preserve">% of total revenue with the combined liquor and food revenue being </w:t>
      </w:r>
      <w:r w:rsidR="007847A4">
        <w:rPr>
          <w:rFonts w:cs="Arial"/>
          <w:szCs w:val="22"/>
        </w:rPr>
        <w:t>94</w:t>
      </w:r>
      <w:r w:rsidR="004B1D98">
        <w:rPr>
          <w:rFonts w:cs="Arial"/>
          <w:szCs w:val="22"/>
        </w:rPr>
        <w:t>%</w:t>
      </w:r>
      <w:r>
        <w:rPr>
          <w:rFonts w:cs="Arial"/>
          <w:szCs w:val="22"/>
        </w:rPr>
        <w:t xml:space="preserve"> which indicate</w:t>
      </w:r>
      <w:r w:rsidR="004B1D98">
        <w:rPr>
          <w:rFonts w:cs="Arial"/>
          <w:szCs w:val="22"/>
        </w:rPr>
        <w:t>s</w:t>
      </w:r>
      <w:r>
        <w:rPr>
          <w:rFonts w:cs="Arial"/>
          <w:szCs w:val="22"/>
        </w:rPr>
        <w:t xml:space="preserve"> that the </w:t>
      </w:r>
      <w:r w:rsidR="004B1D98">
        <w:rPr>
          <w:rFonts w:cs="Arial"/>
          <w:szCs w:val="22"/>
        </w:rPr>
        <w:t xml:space="preserve">venue </w:t>
      </w:r>
      <w:r w:rsidRPr="00B3067F">
        <w:rPr>
          <w:rFonts w:cs="Arial"/>
          <w:szCs w:val="22"/>
        </w:rPr>
        <w:t xml:space="preserve">is not solely reliant on the </w:t>
      </w:r>
      <w:r>
        <w:rPr>
          <w:rFonts w:cs="Arial"/>
          <w:szCs w:val="22"/>
        </w:rPr>
        <w:t xml:space="preserve">revenue raised through the </w:t>
      </w:r>
      <w:r w:rsidRPr="00B3067F">
        <w:rPr>
          <w:rFonts w:cs="Arial"/>
          <w:szCs w:val="22"/>
        </w:rPr>
        <w:t>gaming component of its operations.</w:t>
      </w:r>
    </w:p>
    <w:p w:rsidR="002D203F" w:rsidRPr="00B3067F" w:rsidRDefault="002D203F" w:rsidP="002D203F">
      <w:pPr>
        <w:pStyle w:val="ListParagraph"/>
        <w:numPr>
          <w:ilvl w:val="0"/>
          <w:numId w:val="12"/>
        </w:numPr>
        <w:spacing w:after="240"/>
        <w:ind w:left="567" w:hanging="425"/>
        <w:jc w:val="both"/>
        <w:rPr>
          <w:rFonts w:cs="Arial"/>
          <w:szCs w:val="24"/>
        </w:rPr>
      </w:pPr>
      <w:r w:rsidRPr="00B3067F">
        <w:rPr>
          <w:rFonts w:cs="Arial"/>
          <w:szCs w:val="24"/>
        </w:rPr>
        <w:t>Should the application be approved, the cost to the Applicant of installing ten additional gaming machines will be in the order of $7</w:t>
      </w:r>
      <w:r w:rsidR="007847A4">
        <w:rPr>
          <w:rFonts w:cs="Arial"/>
          <w:szCs w:val="24"/>
        </w:rPr>
        <w:t>68</w:t>
      </w:r>
      <w:r>
        <w:rPr>
          <w:rFonts w:cs="Arial"/>
          <w:szCs w:val="24"/>
        </w:rPr>
        <w:t xml:space="preserve"> </w:t>
      </w:r>
      <w:r w:rsidRPr="00B3067F">
        <w:rPr>
          <w:rFonts w:cs="Arial"/>
          <w:szCs w:val="24"/>
        </w:rPr>
        <w:t>000 comprising the application fee and prescribed levy costs together with the costs of purchasing ten additional gaming machines.</w:t>
      </w:r>
    </w:p>
    <w:p w:rsidR="002D203F" w:rsidRPr="00B3067F" w:rsidRDefault="002D203F" w:rsidP="00B76211">
      <w:pPr>
        <w:pStyle w:val="ListParagraph"/>
        <w:keepLines/>
        <w:numPr>
          <w:ilvl w:val="0"/>
          <w:numId w:val="12"/>
        </w:numPr>
        <w:spacing w:after="240"/>
        <w:ind w:left="567" w:hanging="425"/>
        <w:jc w:val="both"/>
        <w:rPr>
          <w:rFonts w:cs="Arial"/>
          <w:szCs w:val="24"/>
        </w:rPr>
      </w:pPr>
      <w:r w:rsidRPr="00B3067F">
        <w:rPr>
          <w:rFonts w:cs="Arial"/>
          <w:szCs w:val="24"/>
        </w:rPr>
        <w:lastRenderedPageBreak/>
        <w:t xml:space="preserve">Outer projections for the venue contained within the CIA indicate that with additional machines, gaming revenue is anticipated to increase to </w:t>
      </w:r>
      <w:r w:rsidR="007847A4">
        <w:rPr>
          <w:rFonts w:cs="Arial"/>
          <w:szCs w:val="24"/>
        </w:rPr>
        <w:t>16</w:t>
      </w:r>
      <w:r>
        <w:rPr>
          <w:rFonts w:cs="Arial"/>
          <w:szCs w:val="24"/>
        </w:rPr>
        <w:t>%</w:t>
      </w:r>
      <w:r w:rsidRPr="00B3067F">
        <w:rPr>
          <w:rFonts w:cs="Arial"/>
          <w:szCs w:val="24"/>
        </w:rPr>
        <w:t xml:space="preserve"> of total revenue in 2019.  The Financial Analysis provided within the CIA indicates that the venue is currently profitable and would still be a profitable enterprise even without any gaming machines.</w:t>
      </w:r>
    </w:p>
    <w:p w:rsidR="00DD7F4C" w:rsidRPr="00587446" w:rsidRDefault="00DD7F4C" w:rsidP="00587446">
      <w:pPr>
        <w:pStyle w:val="Heading3"/>
      </w:pPr>
      <w:r w:rsidRPr="00587446">
        <w:t>Hours and days when the premises are open for the sale of liquor</w:t>
      </w:r>
    </w:p>
    <w:p w:rsidR="004B1D98" w:rsidRDefault="004B1D98" w:rsidP="004B1D98">
      <w:pPr>
        <w:pStyle w:val="ListParagraph"/>
        <w:keepLines/>
        <w:numPr>
          <w:ilvl w:val="0"/>
          <w:numId w:val="12"/>
        </w:numPr>
        <w:spacing w:after="240"/>
        <w:ind w:left="567" w:hanging="425"/>
        <w:jc w:val="both"/>
        <w:rPr>
          <w:rFonts w:cs="Arial"/>
          <w:bCs/>
          <w:szCs w:val="22"/>
        </w:rPr>
      </w:pPr>
      <w:r>
        <w:rPr>
          <w:rFonts w:cs="Arial"/>
          <w:bCs/>
          <w:szCs w:val="22"/>
        </w:rPr>
        <w:t>T</w:t>
      </w:r>
      <w:r w:rsidRPr="00655618">
        <w:rPr>
          <w:rFonts w:cs="Arial"/>
          <w:bCs/>
          <w:szCs w:val="22"/>
        </w:rPr>
        <w:t>he trading hours</w:t>
      </w:r>
      <w:r>
        <w:rPr>
          <w:rFonts w:cs="Arial"/>
          <w:bCs/>
          <w:szCs w:val="22"/>
        </w:rPr>
        <w:t xml:space="preserve"> for the Tavern are </w:t>
      </w:r>
      <w:r w:rsidR="004226A1">
        <w:rPr>
          <w:rFonts w:cs="Arial"/>
          <w:bCs/>
          <w:szCs w:val="22"/>
        </w:rPr>
        <w:t>from 10.00</w:t>
      </w:r>
      <w:r w:rsidRPr="00655618">
        <w:rPr>
          <w:rFonts w:cs="Arial"/>
          <w:bCs/>
          <w:szCs w:val="22"/>
        </w:rPr>
        <w:t xml:space="preserve">am to </w:t>
      </w:r>
      <w:r>
        <w:rPr>
          <w:rFonts w:cs="Arial"/>
          <w:bCs/>
          <w:szCs w:val="22"/>
        </w:rPr>
        <w:t>2.00am the following day for each day of the week.</w:t>
      </w:r>
      <w:r w:rsidRPr="00655618">
        <w:rPr>
          <w:rFonts w:cs="Arial"/>
          <w:bCs/>
          <w:szCs w:val="22"/>
        </w:rPr>
        <w:t xml:space="preserve">  No trading is permitted on Good </w:t>
      </w:r>
      <w:r w:rsidRPr="00B3067F">
        <w:rPr>
          <w:rFonts w:cs="Arial"/>
          <w:szCs w:val="24"/>
        </w:rPr>
        <w:t>Friday</w:t>
      </w:r>
      <w:r w:rsidRPr="00655618">
        <w:rPr>
          <w:rFonts w:cs="Arial"/>
          <w:bCs/>
          <w:szCs w:val="22"/>
        </w:rPr>
        <w:t xml:space="preserve"> and Christmas </w:t>
      </w:r>
      <w:r>
        <w:rPr>
          <w:rFonts w:cs="Arial"/>
          <w:bCs/>
          <w:szCs w:val="22"/>
        </w:rPr>
        <w:t>D</w:t>
      </w:r>
      <w:r w:rsidRPr="00655618">
        <w:rPr>
          <w:rFonts w:cs="Arial"/>
          <w:bCs/>
          <w:szCs w:val="22"/>
        </w:rPr>
        <w:t>ay.</w:t>
      </w:r>
    </w:p>
    <w:p w:rsidR="004B1D98" w:rsidRPr="00B3067F" w:rsidRDefault="007847A4" w:rsidP="004B1D98">
      <w:pPr>
        <w:pStyle w:val="ListParagraph"/>
        <w:keepLines/>
        <w:numPr>
          <w:ilvl w:val="0"/>
          <w:numId w:val="12"/>
        </w:numPr>
        <w:spacing w:after="240"/>
        <w:ind w:left="567" w:hanging="425"/>
        <w:jc w:val="both"/>
        <w:rPr>
          <w:rFonts w:cs="Arial"/>
          <w:bCs/>
          <w:szCs w:val="22"/>
        </w:rPr>
      </w:pPr>
      <w:r>
        <w:rPr>
          <w:rFonts w:cs="Arial"/>
          <w:bCs/>
          <w:szCs w:val="22"/>
        </w:rPr>
        <w:t>These trading hours are consistent with other venues operating within the Darwin city area.</w:t>
      </w:r>
    </w:p>
    <w:p w:rsidR="00DD7F4C" w:rsidRPr="00587446" w:rsidRDefault="00DD7F4C" w:rsidP="00587446">
      <w:pPr>
        <w:pStyle w:val="Heading3"/>
      </w:pPr>
      <w:r w:rsidRPr="00587446">
        <w:t>Size, layout and facilities of the premises</w:t>
      </w:r>
    </w:p>
    <w:p w:rsidR="0007569C" w:rsidRDefault="0007569C" w:rsidP="00587446">
      <w:pPr>
        <w:pStyle w:val="ListParagraph"/>
        <w:keepLines/>
        <w:numPr>
          <w:ilvl w:val="0"/>
          <w:numId w:val="12"/>
        </w:numPr>
        <w:spacing w:after="240"/>
        <w:ind w:left="567" w:hanging="425"/>
        <w:jc w:val="both"/>
        <w:rPr>
          <w:rFonts w:cs="Arial"/>
          <w:bCs/>
          <w:szCs w:val="22"/>
        </w:rPr>
      </w:pPr>
      <w:r w:rsidRPr="00655618">
        <w:rPr>
          <w:rFonts w:cs="Arial"/>
          <w:bCs/>
          <w:szCs w:val="22"/>
        </w:rPr>
        <w:t xml:space="preserve">As discussed earlier in this decision, information contained throughout the CIA indicates that </w:t>
      </w:r>
      <w:r w:rsidR="00E2023F">
        <w:rPr>
          <w:rFonts w:cs="Arial"/>
          <w:bCs/>
          <w:szCs w:val="22"/>
        </w:rPr>
        <w:t>5</w:t>
      </w:r>
      <w:r w:rsidRPr="00655618">
        <w:rPr>
          <w:rFonts w:cs="Arial"/>
          <w:bCs/>
          <w:szCs w:val="22"/>
        </w:rPr>
        <w:t xml:space="preserve">% of the </w:t>
      </w:r>
      <w:r w:rsidR="00CC768C" w:rsidRPr="00655618">
        <w:rPr>
          <w:rFonts w:cs="Arial"/>
          <w:bCs/>
          <w:szCs w:val="22"/>
        </w:rPr>
        <w:t>current floor space</w:t>
      </w:r>
      <w:r w:rsidRPr="00B3067F">
        <w:rPr>
          <w:rFonts w:cs="Arial"/>
          <w:bCs/>
          <w:szCs w:val="22"/>
        </w:rPr>
        <w:t xml:space="preserve"> is used for </w:t>
      </w:r>
      <w:r w:rsidR="00E2023F">
        <w:rPr>
          <w:rFonts w:cs="Arial"/>
          <w:bCs/>
          <w:szCs w:val="22"/>
        </w:rPr>
        <w:t>gaming</w:t>
      </w:r>
      <w:r w:rsidR="007847A4">
        <w:rPr>
          <w:rFonts w:cs="Arial"/>
          <w:bCs/>
          <w:szCs w:val="22"/>
        </w:rPr>
        <w:t xml:space="preserve"> and</w:t>
      </w:r>
      <w:r w:rsidR="00E2023F">
        <w:rPr>
          <w:rFonts w:cs="Arial"/>
          <w:bCs/>
          <w:szCs w:val="22"/>
        </w:rPr>
        <w:t xml:space="preserve"> if authorisation for the additio</w:t>
      </w:r>
      <w:r w:rsidR="007847A4">
        <w:rPr>
          <w:rFonts w:cs="Arial"/>
          <w:bCs/>
          <w:szCs w:val="22"/>
        </w:rPr>
        <w:t>nal gaming machines is approved, this will increase to 8%.</w:t>
      </w:r>
    </w:p>
    <w:p w:rsidR="00E2023F" w:rsidRPr="00B3067F" w:rsidRDefault="00E2023F" w:rsidP="00587446">
      <w:pPr>
        <w:pStyle w:val="ListParagraph"/>
        <w:keepLines/>
        <w:numPr>
          <w:ilvl w:val="0"/>
          <w:numId w:val="12"/>
        </w:numPr>
        <w:spacing w:after="240"/>
        <w:ind w:left="567" w:hanging="425"/>
        <w:jc w:val="both"/>
        <w:rPr>
          <w:rFonts w:cs="Arial"/>
          <w:bCs/>
          <w:szCs w:val="22"/>
        </w:rPr>
      </w:pPr>
      <w:r>
        <w:rPr>
          <w:rFonts w:cs="Arial"/>
          <w:bCs/>
          <w:szCs w:val="22"/>
        </w:rPr>
        <w:t>The Applicant advises that gaming area will continue to remain a discrete area within the venue and the focus of the venue will not change.</w:t>
      </w:r>
    </w:p>
    <w:p w:rsidR="00DD7F4C" w:rsidRPr="00587446" w:rsidRDefault="00DD7F4C" w:rsidP="00587446">
      <w:pPr>
        <w:pStyle w:val="Heading3"/>
      </w:pPr>
      <w:r w:rsidRPr="00587446">
        <w:t>Other matters the Director-Gen</w:t>
      </w:r>
      <w:r w:rsidR="0007569C" w:rsidRPr="00587446">
        <w:t>e</w:t>
      </w:r>
      <w:r w:rsidRPr="00587446">
        <w:t>r</w:t>
      </w:r>
      <w:r w:rsidR="0007569C" w:rsidRPr="00587446">
        <w:t>a</w:t>
      </w:r>
      <w:r w:rsidRPr="00587446">
        <w:t>l</w:t>
      </w:r>
      <w:r w:rsidR="0007569C" w:rsidRPr="00587446">
        <w:t xml:space="preserve"> </w:t>
      </w:r>
      <w:r w:rsidRPr="00587446">
        <w:t>considers relevant</w:t>
      </w:r>
    </w:p>
    <w:p w:rsidR="00DD7F4C" w:rsidRPr="00B3067F" w:rsidRDefault="00DD7F4C" w:rsidP="00587446">
      <w:pPr>
        <w:pStyle w:val="ListParagraph"/>
        <w:numPr>
          <w:ilvl w:val="0"/>
          <w:numId w:val="12"/>
        </w:numPr>
        <w:spacing w:after="240"/>
        <w:ind w:left="567" w:hanging="425"/>
        <w:jc w:val="both"/>
        <w:rPr>
          <w:rFonts w:cs="Arial"/>
          <w:bCs/>
          <w:szCs w:val="22"/>
        </w:rPr>
      </w:pPr>
      <w:r w:rsidRPr="00655618">
        <w:rPr>
          <w:rFonts w:cs="Arial"/>
          <w:bCs/>
          <w:szCs w:val="22"/>
        </w:rPr>
        <w:t>The Gaming and Liquor Amendment Bill of 2015 amended the Act to effectively lift the previously imposed cap on authorisations of</w:t>
      </w:r>
      <w:r w:rsidR="0007569C" w:rsidRPr="00655618">
        <w:rPr>
          <w:rFonts w:cs="Arial"/>
          <w:bCs/>
          <w:szCs w:val="22"/>
        </w:rPr>
        <w:t xml:space="preserve"> gaming machines </w:t>
      </w:r>
      <w:r w:rsidRPr="00655618">
        <w:rPr>
          <w:rFonts w:cs="Arial"/>
          <w:bCs/>
          <w:szCs w:val="22"/>
        </w:rPr>
        <w:t>in licensed hotels, taverns and clubs in the Northern Territory.  As well as lifting the overall cap, the amendments also provided for an increase of the number of</w:t>
      </w:r>
      <w:r w:rsidRPr="00B3067F">
        <w:rPr>
          <w:rFonts w:cs="Arial"/>
          <w:bCs/>
          <w:szCs w:val="22"/>
        </w:rPr>
        <w:t xml:space="preserve"> gaming machines for hotels and taverns with existing </w:t>
      </w:r>
      <w:r w:rsidR="0007569C" w:rsidRPr="00B3067F">
        <w:rPr>
          <w:rFonts w:cs="Arial"/>
          <w:szCs w:val="24"/>
        </w:rPr>
        <w:t>gaming</w:t>
      </w:r>
      <w:r w:rsidR="0007569C" w:rsidRPr="00B3067F">
        <w:rPr>
          <w:rFonts w:cs="Arial"/>
          <w:bCs/>
          <w:szCs w:val="22"/>
        </w:rPr>
        <w:t xml:space="preserve"> machines </w:t>
      </w:r>
      <w:r w:rsidRPr="00B3067F">
        <w:rPr>
          <w:rFonts w:cs="Arial"/>
          <w:bCs/>
          <w:szCs w:val="22"/>
        </w:rPr>
        <w:t xml:space="preserve">from ten to a maximum of 20 </w:t>
      </w:r>
      <w:r w:rsidR="0007569C" w:rsidRPr="00B3067F">
        <w:rPr>
          <w:rFonts w:cs="Arial"/>
          <w:bCs/>
          <w:szCs w:val="22"/>
        </w:rPr>
        <w:t>gaming machines</w:t>
      </w:r>
      <w:r w:rsidRPr="00B3067F">
        <w:rPr>
          <w:rFonts w:cs="Arial"/>
          <w:bCs/>
          <w:szCs w:val="22"/>
        </w:rPr>
        <w:t>.  At the time of introducing the amendments</w:t>
      </w:r>
      <w:r w:rsidR="0007569C" w:rsidRPr="00B3067F">
        <w:rPr>
          <w:rFonts w:cs="Arial"/>
          <w:bCs/>
          <w:szCs w:val="22"/>
        </w:rPr>
        <w:t>,</w:t>
      </w:r>
      <w:r w:rsidRPr="00B3067F">
        <w:rPr>
          <w:rFonts w:cs="Arial"/>
          <w:bCs/>
          <w:szCs w:val="22"/>
        </w:rPr>
        <w:t xml:space="preserve"> the Minister for </w:t>
      </w:r>
      <w:r w:rsidR="0007569C" w:rsidRPr="00B3067F">
        <w:rPr>
          <w:rFonts w:cs="Arial"/>
          <w:bCs/>
          <w:szCs w:val="22"/>
        </w:rPr>
        <w:t>Racing, Gaming and Licen</w:t>
      </w:r>
      <w:r w:rsidR="0000460D" w:rsidRPr="00B3067F">
        <w:rPr>
          <w:rFonts w:cs="Arial"/>
          <w:bCs/>
          <w:szCs w:val="22"/>
        </w:rPr>
        <w:t>s</w:t>
      </w:r>
      <w:r w:rsidR="0007569C" w:rsidRPr="00B3067F">
        <w:rPr>
          <w:rFonts w:cs="Arial"/>
          <w:bCs/>
          <w:szCs w:val="22"/>
        </w:rPr>
        <w:t>ing</w:t>
      </w:r>
      <w:r w:rsidRPr="00B3067F">
        <w:rPr>
          <w:rFonts w:cs="Arial"/>
          <w:bCs/>
          <w:szCs w:val="22"/>
        </w:rPr>
        <w:t xml:space="preserve"> noted that the arbitrary Territory-wide cap was abolished in favour of a rigorous community impact assessment process for new applications and for applications seeking additional </w:t>
      </w:r>
      <w:r w:rsidR="0000460D" w:rsidRPr="00B3067F">
        <w:rPr>
          <w:rFonts w:cs="Arial"/>
          <w:bCs/>
          <w:szCs w:val="22"/>
        </w:rPr>
        <w:t>gaming machines</w:t>
      </w:r>
      <w:r w:rsidRPr="00B3067F">
        <w:rPr>
          <w:rFonts w:cs="Arial"/>
          <w:bCs/>
          <w:szCs w:val="22"/>
        </w:rPr>
        <w:t xml:space="preserve">.  </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Against that background the Applicant the subject of this decision has presented a well prepared application with strong supporting evidence indicating that this application meets the </w:t>
      </w:r>
      <w:r w:rsidRPr="00B3067F">
        <w:rPr>
          <w:rFonts w:cs="Arial"/>
          <w:szCs w:val="24"/>
        </w:rPr>
        <w:t>requirements</w:t>
      </w:r>
      <w:r w:rsidRPr="00B3067F">
        <w:rPr>
          <w:rFonts w:cs="Arial"/>
          <w:bCs/>
          <w:szCs w:val="22"/>
        </w:rPr>
        <w:t xml:space="preserve"> of the Act </w:t>
      </w:r>
      <w:r w:rsidR="00674E97" w:rsidRPr="00B3067F">
        <w:rPr>
          <w:rFonts w:cs="Arial"/>
          <w:bCs/>
          <w:szCs w:val="22"/>
        </w:rPr>
        <w:t>in relation to</w:t>
      </w:r>
      <w:r w:rsidRPr="00B3067F">
        <w:rPr>
          <w:rFonts w:cs="Arial"/>
          <w:bCs/>
          <w:szCs w:val="22"/>
        </w:rPr>
        <w:t xml:space="preserve"> an increase in the authorised number of </w:t>
      </w:r>
      <w:r w:rsidR="00674E97" w:rsidRPr="00B3067F">
        <w:rPr>
          <w:rFonts w:cs="Arial"/>
          <w:bCs/>
          <w:szCs w:val="22"/>
        </w:rPr>
        <w:t>gaming machines</w:t>
      </w:r>
      <w:r w:rsidRPr="00B3067F">
        <w:rPr>
          <w:rFonts w:cs="Arial"/>
          <w:bCs/>
          <w:szCs w:val="22"/>
        </w:rPr>
        <w:t>.</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comprehensive CIA prepared for the purpose of this application is analysed in some considerable </w:t>
      </w:r>
      <w:r w:rsidRPr="00B3067F">
        <w:rPr>
          <w:rFonts w:cs="Arial"/>
          <w:szCs w:val="24"/>
        </w:rPr>
        <w:t>detail</w:t>
      </w:r>
      <w:r w:rsidRPr="00B3067F">
        <w:rPr>
          <w:rFonts w:cs="Arial"/>
          <w:bCs/>
          <w:szCs w:val="22"/>
        </w:rPr>
        <w:t xml:space="preserve"> above and raises no issues specific to </w:t>
      </w:r>
      <w:r w:rsidR="007847A4">
        <w:rPr>
          <w:rFonts w:cs="Arial"/>
          <w:bCs/>
          <w:szCs w:val="22"/>
        </w:rPr>
        <w:t>The Cavenagh that w</w:t>
      </w:r>
      <w:r w:rsidRPr="00B3067F">
        <w:rPr>
          <w:rFonts w:cs="Arial"/>
          <w:bCs/>
          <w:szCs w:val="22"/>
        </w:rPr>
        <w:t>ould persuade me to reject the application.</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harms associated with </w:t>
      </w:r>
      <w:r w:rsidR="00674E97" w:rsidRPr="00B3067F">
        <w:rPr>
          <w:rFonts w:cs="Arial"/>
          <w:bCs/>
          <w:szCs w:val="22"/>
        </w:rPr>
        <w:t>gaming machines</w:t>
      </w:r>
      <w:r w:rsidRPr="00B3067F">
        <w:rPr>
          <w:rFonts w:cs="Arial"/>
          <w:bCs/>
          <w:szCs w:val="22"/>
        </w:rPr>
        <w:t xml:space="preserve"> and problem gambling are well documented and well known within the general community.  I am satisfied that the Applicant in this instance has in place policies and procedures that will have the effect of minimising the harms </w:t>
      </w:r>
      <w:r w:rsidRPr="00B3067F">
        <w:rPr>
          <w:rFonts w:cs="Arial"/>
          <w:szCs w:val="24"/>
        </w:rPr>
        <w:t>associated</w:t>
      </w:r>
      <w:r w:rsidRPr="00B3067F">
        <w:rPr>
          <w:rFonts w:cs="Arial"/>
          <w:bCs/>
          <w:szCs w:val="22"/>
        </w:rPr>
        <w:t xml:space="preserve"> with gambling generally and the use </w:t>
      </w:r>
      <w:r w:rsidR="00674E97" w:rsidRPr="00B3067F">
        <w:rPr>
          <w:rFonts w:cs="Arial"/>
          <w:bCs/>
          <w:szCs w:val="22"/>
        </w:rPr>
        <w:t>of gaming machines</w:t>
      </w:r>
      <w:r w:rsidRPr="00B3067F">
        <w:rPr>
          <w:rFonts w:cs="Arial"/>
          <w:bCs/>
          <w:szCs w:val="22"/>
        </w:rPr>
        <w:t xml:space="preserve"> specifically at the venue under consideration.</w:t>
      </w:r>
    </w:p>
    <w:p w:rsidR="00DD7F4C" w:rsidRPr="008F70BE"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CIA suggests </w:t>
      </w:r>
      <w:r w:rsidR="006021D5">
        <w:rPr>
          <w:rFonts w:cs="Arial"/>
          <w:bCs/>
          <w:szCs w:val="22"/>
        </w:rPr>
        <w:t xml:space="preserve">that the organisations </w:t>
      </w:r>
      <w:r w:rsidRPr="00B3067F">
        <w:rPr>
          <w:rFonts w:cs="Arial"/>
          <w:bCs/>
          <w:szCs w:val="22"/>
        </w:rPr>
        <w:t>who responded via the C</w:t>
      </w:r>
      <w:r w:rsidRPr="00F1351E">
        <w:rPr>
          <w:rFonts w:cs="Arial"/>
          <w:bCs/>
          <w:szCs w:val="22"/>
        </w:rPr>
        <w:t xml:space="preserve">ommunity </w:t>
      </w:r>
      <w:r w:rsidRPr="00F1351E">
        <w:rPr>
          <w:rFonts w:cs="Arial"/>
          <w:szCs w:val="24"/>
        </w:rPr>
        <w:t>Representative</w:t>
      </w:r>
      <w:r w:rsidRPr="00F1351E">
        <w:rPr>
          <w:rFonts w:cs="Arial"/>
          <w:bCs/>
          <w:szCs w:val="22"/>
        </w:rPr>
        <w:t xml:space="preserve"> survey have concerns with the application believing the increase in </w:t>
      </w:r>
      <w:r w:rsidR="00674E97" w:rsidRPr="00F1351E">
        <w:rPr>
          <w:rFonts w:cs="Arial"/>
          <w:bCs/>
          <w:szCs w:val="22"/>
        </w:rPr>
        <w:t>gaming machines</w:t>
      </w:r>
      <w:r w:rsidRPr="008F70BE">
        <w:rPr>
          <w:rFonts w:cs="Arial"/>
          <w:bCs/>
          <w:szCs w:val="22"/>
        </w:rPr>
        <w:t xml:space="preserve"> will have a negative effect on the community and, as a result, the majority of those organisations do not support the application.</w:t>
      </w:r>
    </w:p>
    <w:p w:rsidR="00DD7F4C" w:rsidRPr="008F70BE" w:rsidRDefault="00DD7F4C" w:rsidP="00587446">
      <w:pPr>
        <w:pStyle w:val="ListParagraph"/>
        <w:numPr>
          <w:ilvl w:val="0"/>
          <w:numId w:val="12"/>
        </w:numPr>
        <w:spacing w:after="240"/>
        <w:ind w:left="567" w:hanging="425"/>
        <w:jc w:val="both"/>
        <w:rPr>
          <w:rFonts w:cs="Arial"/>
          <w:bCs/>
          <w:szCs w:val="22"/>
        </w:rPr>
      </w:pPr>
      <w:r w:rsidRPr="008F70BE">
        <w:rPr>
          <w:rFonts w:cs="Arial"/>
          <w:bCs/>
          <w:szCs w:val="22"/>
        </w:rPr>
        <w:t xml:space="preserve">Whilst those comments and submissions are properly made and no doubt indicative of the views </w:t>
      </w:r>
      <w:r w:rsidRPr="008F70BE">
        <w:rPr>
          <w:rFonts w:cs="Arial"/>
          <w:szCs w:val="24"/>
        </w:rPr>
        <w:t>of</w:t>
      </w:r>
      <w:r w:rsidRPr="008F70BE">
        <w:rPr>
          <w:rFonts w:cs="Arial"/>
          <w:bCs/>
          <w:szCs w:val="22"/>
        </w:rPr>
        <w:t xml:space="preserve"> the organisations represented, they do not provide any specific details of prospective harms or potential adverse community outcomes directly related to the </w:t>
      </w:r>
      <w:r w:rsidR="006641ED">
        <w:rPr>
          <w:rFonts w:cs="Arial"/>
          <w:bCs/>
          <w:szCs w:val="22"/>
        </w:rPr>
        <w:t>venue</w:t>
      </w:r>
      <w:r w:rsidRPr="008F70BE">
        <w:rPr>
          <w:rFonts w:cs="Arial"/>
          <w:bCs/>
          <w:szCs w:val="22"/>
        </w:rPr>
        <w:t>.</w:t>
      </w:r>
    </w:p>
    <w:p w:rsidR="00DD7F4C" w:rsidRPr="008F70BE" w:rsidRDefault="006641ED" w:rsidP="004226A1">
      <w:pPr>
        <w:pStyle w:val="ListParagraph"/>
        <w:numPr>
          <w:ilvl w:val="0"/>
          <w:numId w:val="12"/>
        </w:numPr>
        <w:spacing w:after="240"/>
        <w:ind w:left="567" w:hanging="425"/>
        <w:jc w:val="both"/>
        <w:rPr>
          <w:rFonts w:cs="Arial"/>
          <w:bCs/>
          <w:szCs w:val="22"/>
        </w:rPr>
      </w:pPr>
      <w:r>
        <w:rPr>
          <w:rFonts w:cs="Arial"/>
          <w:bCs/>
          <w:szCs w:val="22"/>
        </w:rPr>
        <w:lastRenderedPageBreak/>
        <w:t>In addition, the Applicant and a</w:t>
      </w:r>
      <w:r w:rsidR="00DD7F4C" w:rsidRPr="008F70BE">
        <w:rPr>
          <w:rFonts w:cs="Arial"/>
          <w:bCs/>
          <w:szCs w:val="22"/>
        </w:rPr>
        <w:t>s evidenced by the Applicant’s submissions in support of the application, including the content of the CIA, the Applicant intends to incorporate strategies aimed at reducing gaming-related harm if the application is approved.</w:t>
      </w:r>
    </w:p>
    <w:p w:rsidR="00DD7F4C" w:rsidRPr="00587446" w:rsidRDefault="00DD7F4C" w:rsidP="00F6779E">
      <w:pPr>
        <w:pStyle w:val="Heading2"/>
      </w:pPr>
      <w:r w:rsidRPr="00587446">
        <w:t>Decision</w:t>
      </w:r>
    </w:p>
    <w:p w:rsidR="00DD7F4C" w:rsidRDefault="00DD7F4C"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r w:rsidR="006021D5">
        <w:rPr>
          <w:rFonts w:cs="Arial"/>
          <w:bCs/>
          <w:szCs w:val="22"/>
        </w:rPr>
        <w:t>Salsa Holdings (NT)</w:t>
      </w:r>
      <w:r w:rsidR="006641ED">
        <w:rPr>
          <w:rFonts w:cs="Arial"/>
          <w:bCs/>
          <w:szCs w:val="22"/>
        </w:rPr>
        <w:t xml:space="preserve"> Pty Ltd</w:t>
      </w:r>
      <w:r w:rsidRPr="00655618">
        <w:rPr>
          <w:rFonts w:cs="Arial"/>
          <w:bCs/>
          <w:szCs w:val="22"/>
        </w:rPr>
        <w:t xml:space="preserve"> and authorise the increase of the number of </w:t>
      </w:r>
      <w:r w:rsidR="00AA16B6" w:rsidRPr="00655618">
        <w:rPr>
          <w:rFonts w:cs="Arial"/>
          <w:bCs/>
          <w:szCs w:val="22"/>
        </w:rPr>
        <w:t xml:space="preserve">gaming machines </w:t>
      </w:r>
      <w:r w:rsidRPr="00655618">
        <w:rPr>
          <w:rFonts w:cs="Arial"/>
          <w:bCs/>
          <w:szCs w:val="22"/>
        </w:rPr>
        <w:t xml:space="preserve">located at </w:t>
      </w:r>
      <w:r w:rsidR="006021D5">
        <w:rPr>
          <w:rFonts w:cs="Arial"/>
          <w:bCs/>
          <w:szCs w:val="22"/>
        </w:rPr>
        <w:t>The Cavenagh f</w:t>
      </w:r>
      <w:r w:rsidR="004226A1">
        <w:rPr>
          <w:rFonts w:cs="Arial"/>
          <w:bCs/>
          <w:szCs w:val="22"/>
        </w:rPr>
        <w:t>r</w:t>
      </w:r>
      <w:r w:rsidRPr="00655618">
        <w:rPr>
          <w:rFonts w:cs="Arial"/>
          <w:bCs/>
          <w:szCs w:val="22"/>
        </w:rPr>
        <w:t xml:space="preserve">om the current limit of ten </w:t>
      </w:r>
      <w:r w:rsidR="00AA16B6" w:rsidRPr="00655618">
        <w:rPr>
          <w:rFonts w:cs="Arial"/>
          <w:bCs/>
          <w:szCs w:val="22"/>
        </w:rPr>
        <w:t xml:space="preserve">gaming machines </w:t>
      </w:r>
      <w:r w:rsidRPr="00655618">
        <w:rPr>
          <w:rFonts w:cs="Arial"/>
          <w:bCs/>
          <w:szCs w:val="22"/>
        </w:rPr>
        <w:t xml:space="preserve">to the maximum allowable for the holder of a </w:t>
      </w:r>
      <w:r w:rsidR="000F6B25">
        <w:rPr>
          <w:rFonts w:cs="Arial"/>
          <w:bCs/>
          <w:szCs w:val="22"/>
        </w:rPr>
        <w:t>public hotel</w:t>
      </w:r>
      <w:r w:rsidR="000F6B25" w:rsidRPr="00655618">
        <w:rPr>
          <w:rFonts w:cs="Arial"/>
          <w:bCs/>
          <w:szCs w:val="22"/>
        </w:rPr>
        <w:t xml:space="preserve"> </w:t>
      </w:r>
      <w:r w:rsidRPr="00655618">
        <w:rPr>
          <w:rFonts w:cs="Arial"/>
          <w:bCs/>
          <w:szCs w:val="22"/>
        </w:rPr>
        <w:t xml:space="preserve">liquor licence, namely a maximum of 20 </w:t>
      </w:r>
      <w:r w:rsidR="00AA16B6" w:rsidRPr="00B3067F">
        <w:rPr>
          <w:rFonts w:cs="Arial"/>
          <w:bCs/>
          <w:szCs w:val="22"/>
        </w:rPr>
        <w:t>gaming machines</w:t>
      </w:r>
      <w:r w:rsidRPr="00B3067F">
        <w:rPr>
          <w:rFonts w:cs="Arial"/>
          <w:bCs/>
          <w:szCs w:val="22"/>
        </w:rPr>
        <w:t>.</w:t>
      </w:r>
    </w:p>
    <w:p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t xml:space="preserve"> approved ten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p>
    <w:p w:rsidR="00DD7F4C" w:rsidRPr="00F1351E" w:rsidRDefault="00DD7F4C" w:rsidP="00F6779E">
      <w:pPr>
        <w:pStyle w:val="Heading2"/>
      </w:pPr>
      <w:r w:rsidRPr="00F1351E">
        <w:t>Review of Decision</w:t>
      </w:r>
    </w:p>
    <w:p w:rsidR="00637978" w:rsidRPr="00637978" w:rsidRDefault="00DD7F4C" w:rsidP="004226A1">
      <w:pPr>
        <w:pStyle w:val="ListParagraph"/>
        <w:numPr>
          <w:ilvl w:val="0"/>
          <w:numId w:val="12"/>
        </w:numPr>
        <w:spacing w:after="240"/>
        <w:ind w:left="567" w:hanging="425"/>
        <w:jc w:val="both"/>
        <w:rPr>
          <w:rFonts w:cs="Arial"/>
          <w:bCs/>
          <w:szCs w:val="22"/>
        </w:rPr>
      </w:pPr>
      <w:r w:rsidRPr="00637978">
        <w:rPr>
          <w:rFonts w:cs="Arial"/>
          <w:bCs/>
          <w:szCs w:val="22"/>
        </w:rPr>
        <w:t>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w:t>
      </w:r>
      <w:r w:rsidR="00637978">
        <w:rPr>
          <w:rFonts w:cs="Arial"/>
          <w:bCs/>
          <w:szCs w:val="22"/>
        </w:rPr>
        <w:t xml:space="preserve"> (NTCAT)</w:t>
      </w:r>
      <w:r w:rsidRPr="00637978">
        <w:rPr>
          <w:rFonts w:cs="Arial"/>
          <w:bCs/>
          <w:szCs w:val="22"/>
        </w:rPr>
        <w:t xml:space="preserve">.  Any application for review of this decision must be lodged within 28 days of the date of this decision.  </w:t>
      </w:r>
      <w:r w:rsidR="00637978" w:rsidRPr="00637978">
        <w:rPr>
          <w:rFonts w:cs="Arial"/>
          <w:bCs/>
          <w:szCs w:val="22"/>
        </w:rPr>
        <w:t xml:space="preserve">No </w:t>
      </w:r>
      <w:r w:rsidR="00637978">
        <w:rPr>
          <w:rFonts w:cs="Arial"/>
          <w:bCs/>
          <w:szCs w:val="22"/>
        </w:rPr>
        <w:t xml:space="preserve">valid </w:t>
      </w:r>
      <w:r w:rsidR="00637978" w:rsidRPr="00637978">
        <w:rPr>
          <w:rFonts w:cs="Arial"/>
          <w:bCs/>
          <w:szCs w:val="22"/>
        </w:rPr>
        <w:t>submissions were received in response to the advertising of this application</w:t>
      </w:r>
      <w:r w:rsidR="00637978">
        <w:rPr>
          <w:rFonts w:cs="Arial"/>
          <w:bCs/>
          <w:szCs w:val="22"/>
        </w:rPr>
        <w:t xml:space="preserve"> and a</w:t>
      </w:r>
      <w:r w:rsidR="00637978" w:rsidRPr="00637978">
        <w:rPr>
          <w:rFonts w:cs="Arial"/>
          <w:bCs/>
          <w:szCs w:val="22"/>
        </w:rPr>
        <w:t>s a result there are no persons eligible under the relevant legislation to seek a review before NTCAT, apart from the Applicant.</w:t>
      </w: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6038D3" w:rsidRPr="00655618" w:rsidRDefault="006641ED" w:rsidP="006038D3">
      <w:pPr>
        <w:spacing w:after="120"/>
        <w:jc w:val="both"/>
        <w:rPr>
          <w:rFonts w:cs="Arial"/>
          <w:bCs/>
          <w:szCs w:val="22"/>
        </w:rPr>
      </w:pPr>
      <w:r>
        <w:rPr>
          <w:rFonts w:cs="Arial"/>
          <w:sz w:val="24"/>
          <w:szCs w:val="24"/>
        </w:rPr>
        <w:t>2</w:t>
      </w:r>
      <w:r w:rsidR="004226A1">
        <w:rPr>
          <w:rFonts w:cs="Arial"/>
          <w:sz w:val="24"/>
          <w:szCs w:val="24"/>
        </w:rPr>
        <w:t>4</w:t>
      </w:r>
      <w:r w:rsidR="000251D6">
        <w:rPr>
          <w:rFonts w:cs="Arial"/>
          <w:sz w:val="24"/>
          <w:szCs w:val="24"/>
        </w:rPr>
        <w:t xml:space="preserve"> November 2015</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0D5" w:rsidRDefault="00DB00D5" w:rsidP="00293A72">
      <w:r>
        <w:separator/>
      </w:r>
    </w:p>
  </w:endnote>
  <w:endnote w:type="continuationSeparator" w:id="0">
    <w:p w:rsidR="00DB00D5" w:rsidRDefault="00DB00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 xml:space="preserve">Application for increase in Gaming Machines – </w:t>
        </w:r>
        <w:r w:rsidR="000C61D6">
          <w:rPr>
            <w:color w:val="A6A6A6" w:themeColor="background1" w:themeShade="A6"/>
            <w:sz w:val="16"/>
            <w:szCs w:val="20"/>
          </w:rPr>
          <w:t>The Cavenagh</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7C1882">
          <w:rPr>
            <w:color w:val="A6A6A6" w:themeColor="background1" w:themeShade="A6"/>
            <w:sz w:val="16"/>
            <w:szCs w:val="20"/>
          </w:rPr>
          <w:t>2</w:t>
        </w:r>
        <w:r w:rsidR="004226A1">
          <w:rPr>
            <w:color w:val="A6A6A6" w:themeColor="background1" w:themeShade="A6"/>
            <w:sz w:val="16"/>
            <w:szCs w:val="20"/>
          </w:rPr>
          <w:t>4</w:t>
        </w:r>
        <w:r w:rsidR="000251D6">
          <w:rPr>
            <w:color w:val="A6A6A6" w:themeColor="background1" w:themeShade="A6"/>
            <w:sz w:val="16"/>
            <w:szCs w:val="20"/>
          </w:rPr>
          <w:t xml:space="preserve"> November 2015</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DOB2015/00486-00</w:t>
        </w:r>
        <w:r w:rsidR="007C1882">
          <w:rPr>
            <w:color w:val="A6A6A6" w:themeColor="background1" w:themeShade="A6"/>
            <w:sz w:val="16"/>
            <w:szCs w:val="20"/>
          </w:rPr>
          <w:t>1</w:t>
        </w:r>
        <w:r w:rsidR="004226A1">
          <w:rPr>
            <w:color w:val="A6A6A6" w:themeColor="background1" w:themeShade="A6"/>
            <w:sz w:val="16"/>
            <w:szCs w:val="20"/>
          </w:rPr>
          <w:t>2</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157050">
          <w:rPr>
            <w:noProof/>
          </w:rPr>
          <w:t>8</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4226A1">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rPr>
        <w:id w:val="-1722365141"/>
      </w:sdtPr>
      <w:sdtEndPr/>
      <w:sdtContent>
        <w:r>
          <w:rPr>
            <w:color w:val="A6A6A6" w:themeColor="background1" w:themeShade="A6"/>
            <w:sz w:val="16"/>
            <w:szCs w:val="20"/>
          </w:rPr>
          <w:t xml:space="preserve">Application for increase in Gaming Machines – </w:t>
        </w:r>
        <w:r w:rsidR="007C1882">
          <w:rPr>
            <w:color w:val="A6A6A6" w:themeColor="background1" w:themeShade="A6"/>
            <w:sz w:val="16"/>
            <w:szCs w:val="20"/>
          </w:rPr>
          <w:t>The Cavenagh</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7C1882">
          <w:rPr>
            <w:color w:val="A6A6A6" w:themeColor="background1" w:themeShade="A6"/>
            <w:sz w:val="16"/>
            <w:szCs w:val="20"/>
          </w:rPr>
          <w:t>2</w:t>
        </w:r>
        <w:r w:rsidR="004226A1">
          <w:rPr>
            <w:color w:val="A6A6A6" w:themeColor="background1" w:themeShade="A6"/>
            <w:sz w:val="16"/>
            <w:szCs w:val="20"/>
          </w:rPr>
          <w:t>4</w:t>
        </w:r>
        <w:r>
          <w:rPr>
            <w:color w:val="A6A6A6" w:themeColor="background1" w:themeShade="A6"/>
            <w:sz w:val="16"/>
            <w:szCs w:val="20"/>
          </w:rPr>
          <w:t xml:space="preserve"> November 2015</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w:t>
        </w:r>
        <w:r w:rsidR="004226A1">
          <w:rPr>
            <w:color w:val="A6A6A6" w:themeColor="background1" w:themeShade="A6"/>
            <w:sz w:val="16"/>
            <w:szCs w:val="20"/>
          </w:rPr>
          <w:t>0012</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157050">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0D5" w:rsidRDefault="00DB00D5" w:rsidP="00293A72">
      <w:r>
        <w:separator/>
      </w:r>
    </w:p>
  </w:footnote>
  <w:footnote w:type="continuationSeparator" w:id="0">
    <w:p w:rsidR="00DB00D5" w:rsidRDefault="00DB00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9"/>
  </w:num>
  <w:num w:numId="2">
    <w:abstractNumId w:val="9"/>
  </w:num>
  <w:num w:numId="3">
    <w:abstractNumId w:val="9"/>
  </w:num>
  <w:num w:numId="4">
    <w:abstractNumId w:val="9"/>
  </w:num>
  <w:num w:numId="5">
    <w:abstractNumId w:val="0"/>
  </w:num>
  <w:num w:numId="6">
    <w:abstractNumId w:val="4"/>
  </w:num>
  <w:num w:numId="7">
    <w:abstractNumId w:val="5"/>
  </w:num>
  <w:num w:numId="8">
    <w:abstractNumId w:val="7"/>
  </w:num>
  <w:num w:numId="9">
    <w:abstractNumId w:val="17"/>
  </w:num>
  <w:num w:numId="10">
    <w:abstractNumId w:val="8"/>
  </w:num>
  <w:num w:numId="11">
    <w:abstractNumId w:val="15"/>
  </w:num>
  <w:num w:numId="12">
    <w:abstractNumId w:val="3"/>
  </w:num>
  <w:num w:numId="13">
    <w:abstractNumId w:val="14"/>
  </w:num>
  <w:num w:numId="14">
    <w:abstractNumId w:val="6"/>
  </w:num>
  <w:num w:numId="15">
    <w:abstractNumId w:val="12"/>
  </w:num>
  <w:num w:numId="16">
    <w:abstractNumId w:val="2"/>
  </w:num>
  <w:num w:numId="17">
    <w:abstractNumId w:val="10"/>
  </w:num>
  <w:num w:numId="18">
    <w:abstractNumId w:val="16"/>
  </w:num>
  <w:num w:numId="19">
    <w:abstractNumId w:val="11"/>
  </w:num>
  <w:num w:numId="20">
    <w:abstractNumId w:val="18"/>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1784"/>
    <w:rsid w:val="0000460D"/>
    <w:rsid w:val="000055BE"/>
    <w:rsid w:val="00012577"/>
    <w:rsid w:val="000251D6"/>
    <w:rsid w:val="00037217"/>
    <w:rsid w:val="000519A2"/>
    <w:rsid w:val="00051BA0"/>
    <w:rsid w:val="00065C4C"/>
    <w:rsid w:val="0007259C"/>
    <w:rsid w:val="0007569C"/>
    <w:rsid w:val="00090245"/>
    <w:rsid w:val="000A5093"/>
    <w:rsid w:val="000B090B"/>
    <w:rsid w:val="000B5975"/>
    <w:rsid w:val="000C07CC"/>
    <w:rsid w:val="000C61D6"/>
    <w:rsid w:val="000D0C27"/>
    <w:rsid w:val="000D2696"/>
    <w:rsid w:val="000D331C"/>
    <w:rsid w:val="000F0431"/>
    <w:rsid w:val="000F40A9"/>
    <w:rsid w:val="000F4207"/>
    <w:rsid w:val="000F6B25"/>
    <w:rsid w:val="001041C0"/>
    <w:rsid w:val="00107C87"/>
    <w:rsid w:val="00117743"/>
    <w:rsid w:val="00117F5B"/>
    <w:rsid w:val="001250E7"/>
    <w:rsid w:val="00127D50"/>
    <w:rsid w:val="00140FDD"/>
    <w:rsid w:val="00141560"/>
    <w:rsid w:val="0014385B"/>
    <w:rsid w:val="0014581F"/>
    <w:rsid w:val="001505FB"/>
    <w:rsid w:val="001552A6"/>
    <w:rsid w:val="00155F1C"/>
    <w:rsid w:val="00157050"/>
    <w:rsid w:val="001620E9"/>
    <w:rsid w:val="00170AE4"/>
    <w:rsid w:val="0017294F"/>
    <w:rsid w:val="00173210"/>
    <w:rsid w:val="00175621"/>
    <w:rsid w:val="00184EFE"/>
    <w:rsid w:val="00194D7F"/>
    <w:rsid w:val="001A2B7F"/>
    <w:rsid w:val="001A3DEE"/>
    <w:rsid w:val="001C5037"/>
    <w:rsid w:val="001D7DAB"/>
    <w:rsid w:val="001E0F80"/>
    <w:rsid w:val="001F76BC"/>
    <w:rsid w:val="00206E08"/>
    <w:rsid w:val="002073A4"/>
    <w:rsid w:val="00210093"/>
    <w:rsid w:val="0021413A"/>
    <w:rsid w:val="00220937"/>
    <w:rsid w:val="00244FF0"/>
    <w:rsid w:val="00245650"/>
    <w:rsid w:val="00284A86"/>
    <w:rsid w:val="002935BE"/>
    <w:rsid w:val="00293A72"/>
    <w:rsid w:val="002A2FDA"/>
    <w:rsid w:val="002A548A"/>
    <w:rsid w:val="002B0DEC"/>
    <w:rsid w:val="002B7D23"/>
    <w:rsid w:val="002D203F"/>
    <w:rsid w:val="002E6443"/>
    <w:rsid w:val="002F2885"/>
    <w:rsid w:val="002F60ED"/>
    <w:rsid w:val="0030703F"/>
    <w:rsid w:val="00315827"/>
    <w:rsid w:val="00322F46"/>
    <w:rsid w:val="00341248"/>
    <w:rsid w:val="00342283"/>
    <w:rsid w:val="00347B47"/>
    <w:rsid w:val="003630C7"/>
    <w:rsid w:val="0038496D"/>
    <w:rsid w:val="00394AAF"/>
    <w:rsid w:val="003A21D9"/>
    <w:rsid w:val="003A5D36"/>
    <w:rsid w:val="003B7A67"/>
    <w:rsid w:val="003C2211"/>
    <w:rsid w:val="003C234E"/>
    <w:rsid w:val="003C7905"/>
    <w:rsid w:val="003D2157"/>
    <w:rsid w:val="003E045C"/>
    <w:rsid w:val="003E7505"/>
    <w:rsid w:val="003F790A"/>
    <w:rsid w:val="0040222A"/>
    <w:rsid w:val="0040316A"/>
    <w:rsid w:val="004047BC"/>
    <w:rsid w:val="00411E9B"/>
    <w:rsid w:val="00416535"/>
    <w:rsid w:val="004226A1"/>
    <w:rsid w:val="00426E25"/>
    <w:rsid w:val="0042790A"/>
    <w:rsid w:val="004423E6"/>
    <w:rsid w:val="00455983"/>
    <w:rsid w:val="0046387B"/>
    <w:rsid w:val="004732FE"/>
    <w:rsid w:val="004873C6"/>
    <w:rsid w:val="004975DD"/>
    <w:rsid w:val="004A37BA"/>
    <w:rsid w:val="004A601B"/>
    <w:rsid w:val="004B1D98"/>
    <w:rsid w:val="004E2627"/>
    <w:rsid w:val="004F4447"/>
    <w:rsid w:val="00503996"/>
    <w:rsid w:val="00512F0E"/>
    <w:rsid w:val="005257EC"/>
    <w:rsid w:val="005303FC"/>
    <w:rsid w:val="00530A50"/>
    <w:rsid w:val="00532F5C"/>
    <w:rsid w:val="00543A1E"/>
    <w:rsid w:val="00554FD1"/>
    <w:rsid w:val="005654B8"/>
    <w:rsid w:val="00570BC3"/>
    <w:rsid w:val="00587446"/>
    <w:rsid w:val="00591B49"/>
    <w:rsid w:val="005A6D6D"/>
    <w:rsid w:val="005B0250"/>
    <w:rsid w:val="005B5AC2"/>
    <w:rsid w:val="005C47C1"/>
    <w:rsid w:val="005D1EE0"/>
    <w:rsid w:val="005D72CE"/>
    <w:rsid w:val="005D786F"/>
    <w:rsid w:val="005E24DC"/>
    <w:rsid w:val="005E3BA5"/>
    <w:rsid w:val="005E4072"/>
    <w:rsid w:val="005E4681"/>
    <w:rsid w:val="006021D5"/>
    <w:rsid w:val="006038D3"/>
    <w:rsid w:val="006163AB"/>
    <w:rsid w:val="00630155"/>
    <w:rsid w:val="00637978"/>
    <w:rsid w:val="006400D3"/>
    <w:rsid w:val="006419C4"/>
    <w:rsid w:val="00650F5B"/>
    <w:rsid w:val="006538C0"/>
    <w:rsid w:val="00655618"/>
    <w:rsid w:val="006627E4"/>
    <w:rsid w:val="00662DAD"/>
    <w:rsid w:val="006641ED"/>
    <w:rsid w:val="006719EA"/>
    <w:rsid w:val="00674E97"/>
    <w:rsid w:val="006770F2"/>
    <w:rsid w:val="00681CE0"/>
    <w:rsid w:val="0068683B"/>
    <w:rsid w:val="00692285"/>
    <w:rsid w:val="006A2598"/>
    <w:rsid w:val="006A2710"/>
    <w:rsid w:val="006B4310"/>
    <w:rsid w:val="006C07A1"/>
    <w:rsid w:val="006C668D"/>
    <w:rsid w:val="006D5246"/>
    <w:rsid w:val="007023AB"/>
    <w:rsid w:val="00722DDB"/>
    <w:rsid w:val="007408F5"/>
    <w:rsid w:val="00762F2D"/>
    <w:rsid w:val="00770807"/>
    <w:rsid w:val="007847A4"/>
    <w:rsid w:val="00787D74"/>
    <w:rsid w:val="007B6A96"/>
    <w:rsid w:val="007C1882"/>
    <w:rsid w:val="007E01C6"/>
    <w:rsid w:val="007F096D"/>
    <w:rsid w:val="0080624F"/>
    <w:rsid w:val="0081143D"/>
    <w:rsid w:val="00817AF1"/>
    <w:rsid w:val="008313C4"/>
    <w:rsid w:val="008516CC"/>
    <w:rsid w:val="0085544C"/>
    <w:rsid w:val="0086109D"/>
    <w:rsid w:val="00861DC3"/>
    <w:rsid w:val="00864151"/>
    <w:rsid w:val="0086745F"/>
    <w:rsid w:val="0087091E"/>
    <w:rsid w:val="00873CDE"/>
    <w:rsid w:val="00881E1B"/>
    <w:rsid w:val="0088588D"/>
    <w:rsid w:val="008A27E4"/>
    <w:rsid w:val="008A32EB"/>
    <w:rsid w:val="008E22F8"/>
    <w:rsid w:val="008E47CE"/>
    <w:rsid w:val="008E5B10"/>
    <w:rsid w:val="008E63B1"/>
    <w:rsid w:val="008F70BE"/>
    <w:rsid w:val="00930D60"/>
    <w:rsid w:val="00936A77"/>
    <w:rsid w:val="009616DF"/>
    <w:rsid w:val="009641E3"/>
    <w:rsid w:val="0098759C"/>
    <w:rsid w:val="00993745"/>
    <w:rsid w:val="009A73E5"/>
    <w:rsid w:val="009B5150"/>
    <w:rsid w:val="009D153B"/>
    <w:rsid w:val="009D65D7"/>
    <w:rsid w:val="009E1752"/>
    <w:rsid w:val="00A04BDC"/>
    <w:rsid w:val="00A234B1"/>
    <w:rsid w:val="00A24D7D"/>
    <w:rsid w:val="00A37DDA"/>
    <w:rsid w:val="00A704E6"/>
    <w:rsid w:val="00A72DE4"/>
    <w:rsid w:val="00AA16B6"/>
    <w:rsid w:val="00AA7967"/>
    <w:rsid w:val="00AD06A3"/>
    <w:rsid w:val="00AD0B03"/>
    <w:rsid w:val="00AD55A8"/>
    <w:rsid w:val="00AE7B5D"/>
    <w:rsid w:val="00B12589"/>
    <w:rsid w:val="00B3067F"/>
    <w:rsid w:val="00B44012"/>
    <w:rsid w:val="00B61B26"/>
    <w:rsid w:val="00B76211"/>
    <w:rsid w:val="00B8518A"/>
    <w:rsid w:val="00B924D3"/>
    <w:rsid w:val="00B96BD8"/>
    <w:rsid w:val="00BA1565"/>
    <w:rsid w:val="00BA75DE"/>
    <w:rsid w:val="00BB0A00"/>
    <w:rsid w:val="00BB4846"/>
    <w:rsid w:val="00BC1372"/>
    <w:rsid w:val="00BC1846"/>
    <w:rsid w:val="00BC4320"/>
    <w:rsid w:val="00BC7928"/>
    <w:rsid w:val="00BE75A5"/>
    <w:rsid w:val="00BF158B"/>
    <w:rsid w:val="00C00907"/>
    <w:rsid w:val="00C04D9C"/>
    <w:rsid w:val="00C1505C"/>
    <w:rsid w:val="00C26CCD"/>
    <w:rsid w:val="00C36B82"/>
    <w:rsid w:val="00C579D3"/>
    <w:rsid w:val="00C62099"/>
    <w:rsid w:val="00C72999"/>
    <w:rsid w:val="00C72C91"/>
    <w:rsid w:val="00C75E81"/>
    <w:rsid w:val="00C816B9"/>
    <w:rsid w:val="00C81E12"/>
    <w:rsid w:val="00C82D5A"/>
    <w:rsid w:val="00C9363A"/>
    <w:rsid w:val="00C96786"/>
    <w:rsid w:val="00CA6DDE"/>
    <w:rsid w:val="00CB7DC0"/>
    <w:rsid w:val="00CC3330"/>
    <w:rsid w:val="00CC5AF5"/>
    <w:rsid w:val="00CC768C"/>
    <w:rsid w:val="00CD1BE0"/>
    <w:rsid w:val="00CD451C"/>
    <w:rsid w:val="00CE5E50"/>
    <w:rsid w:val="00D00BE2"/>
    <w:rsid w:val="00D02AA7"/>
    <w:rsid w:val="00D044AA"/>
    <w:rsid w:val="00D17A30"/>
    <w:rsid w:val="00D25638"/>
    <w:rsid w:val="00D265AE"/>
    <w:rsid w:val="00D27945"/>
    <w:rsid w:val="00D33764"/>
    <w:rsid w:val="00D42C89"/>
    <w:rsid w:val="00D470F0"/>
    <w:rsid w:val="00D55BBF"/>
    <w:rsid w:val="00D80A15"/>
    <w:rsid w:val="00D829E9"/>
    <w:rsid w:val="00D840DD"/>
    <w:rsid w:val="00D92D3F"/>
    <w:rsid w:val="00D975C0"/>
    <w:rsid w:val="00DB00D5"/>
    <w:rsid w:val="00DB0EEC"/>
    <w:rsid w:val="00DC5DD9"/>
    <w:rsid w:val="00DD0C69"/>
    <w:rsid w:val="00DD5638"/>
    <w:rsid w:val="00DD7F4C"/>
    <w:rsid w:val="00DE7143"/>
    <w:rsid w:val="00DE71E4"/>
    <w:rsid w:val="00DF0487"/>
    <w:rsid w:val="00E07444"/>
    <w:rsid w:val="00E1681A"/>
    <w:rsid w:val="00E2023F"/>
    <w:rsid w:val="00E30907"/>
    <w:rsid w:val="00E34E0A"/>
    <w:rsid w:val="00E357FE"/>
    <w:rsid w:val="00E41C2A"/>
    <w:rsid w:val="00E619FF"/>
    <w:rsid w:val="00E62781"/>
    <w:rsid w:val="00E6625A"/>
    <w:rsid w:val="00E71A10"/>
    <w:rsid w:val="00E76967"/>
    <w:rsid w:val="00E81309"/>
    <w:rsid w:val="00E823AF"/>
    <w:rsid w:val="00E85526"/>
    <w:rsid w:val="00E85A3E"/>
    <w:rsid w:val="00EA1A20"/>
    <w:rsid w:val="00EE7F0E"/>
    <w:rsid w:val="00F1351E"/>
    <w:rsid w:val="00F15C61"/>
    <w:rsid w:val="00F15ED0"/>
    <w:rsid w:val="00F2125B"/>
    <w:rsid w:val="00F25CB1"/>
    <w:rsid w:val="00F31EE1"/>
    <w:rsid w:val="00F36A6C"/>
    <w:rsid w:val="00F37CFA"/>
    <w:rsid w:val="00F40AD7"/>
    <w:rsid w:val="00F41832"/>
    <w:rsid w:val="00F51BDB"/>
    <w:rsid w:val="00F534F3"/>
    <w:rsid w:val="00F54FC0"/>
    <w:rsid w:val="00F60BBA"/>
    <w:rsid w:val="00F60C05"/>
    <w:rsid w:val="00F6202F"/>
    <w:rsid w:val="00F6779E"/>
    <w:rsid w:val="00F76467"/>
    <w:rsid w:val="00F839EF"/>
    <w:rsid w:val="00F92910"/>
    <w:rsid w:val="00FB31AE"/>
    <w:rsid w:val="00FC32C1"/>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4E3041"/>
    <w:rsid w:val="00941C01"/>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2015-11-23T14:30:00+00:00</Hearing_x0020_Date>
    <Decision_x0020_Category xmlns="28e3188d-fccf-4e87-a6b6-2e446be4517c">Policy</Decision_x0020_Category>
    <_dlc_DocId xmlns="28e3188d-fccf-4e87-a6b6-2e446be4517c">2AXQX2YYQNYC-628-20</_dlc_DocId>
    <_dlc_DocIdUrl xmlns="28e3188d-fccf-4e87-a6b6-2e446be4517c">
      <Url>http://www.dob.nt.gov.au/gambling-licensing/decisions/dg-decisions/_layouts/DocIdRedir.aspx?ID=2AXQX2YYQNYC-628-20</Url>
      <Description>2AXQX2YYQNYC-628-20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42C8C-A25E-4185-B590-3F822F48233B}"/>
</file>

<file path=customXml/itemProps2.xml><?xml version="1.0" encoding="utf-8"?>
<ds:datastoreItem xmlns:ds="http://schemas.openxmlformats.org/officeDocument/2006/customXml" ds:itemID="{39050A98-AFEF-4438-A5D2-8E36117E82EF}"/>
</file>

<file path=customXml/itemProps3.xml><?xml version="1.0" encoding="utf-8"?>
<ds:datastoreItem xmlns:ds="http://schemas.openxmlformats.org/officeDocument/2006/customXml" ds:itemID="{077DE370-632B-40AA-ABEE-FE39B548E8A3}"/>
</file>

<file path=customXml/itemProps4.xml><?xml version="1.0" encoding="utf-8"?>
<ds:datastoreItem xmlns:ds="http://schemas.openxmlformats.org/officeDocument/2006/customXml" ds:itemID="{A72148F1-7C93-419D-B940-BBAB17F1E48E}"/>
</file>

<file path=customXml/itemProps5.xml><?xml version="1.0" encoding="utf-8"?>
<ds:datastoreItem xmlns:ds="http://schemas.openxmlformats.org/officeDocument/2006/customXml" ds:itemID="{0513BDD3-B838-4879-A4BA-C35036C60EE2}"/>
</file>

<file path=docProps/app.xml><?xml version="1.0" encoding="utf-8"?>
<Properties xmlns="http://schemas.openxmlformats.org/officeDocument/2006/extended-properties" xmlns:vt="http://schemas.openxmlformats.org/officeDocument/2006/docPropsVTypes">
  <Template>Normal.dotm</Template>
  <TotalTime>57</TotalTime>
  <Pages>8</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Cavenagh - Increase in Gaming Machines</dc:title>
  <dc:creator>Cindy Bravos</dc:creator>
  <cp:lastModifiedBy>Marlene Woods</cp:lastModifiedBy>
  <cp:revision>8</cp:revision>
  <cp:lastPrinted>2015-11-24T02:38:00Z</cp:lastPrinted>
  <dcterms:created xsi:type="dcterms:W3CDTF">2015-11-24T00:29:00Z</dcterms:created>
  <dcterms:modified xsi:type="dcterms:W3CDTF">2015-12-23T22:11:00Z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9213fc7c-0856-497e-bf86-102ecf11b249</vt:lpwstr>
  </property>
</Properties>
</file>