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C5" w:rsidRPr="00953343" w:rsidRDefault="00E43C72" w:rsidP="006867ED">
      <w:pPr>
        <w:pStyle w:val="Heading1"/>
        <w:keepNext/>
        <w:widowControl/>
        <w:pBdr>
          <w:bottom w:val="single" w:sz="12" w:space="6" w:color="auto"/>
        </w:pBdr>
        <w:spacing w:after="120"/>
        <w:ind w:left="0"/>
        <w:jc w:val="center"/>
        <w:rPr>
          <w:rFonts w:eastAsiaTheme="majorEastAsia" w:cs="Arial"/>
          <w:kern w:val="32"/>
          <w:sz w:val="32"/>
          <w:szCs w:val="32"/>
          <w:lang w:val="en-AU" w:eastAsia="en-AU"/>
        </w:rPr>
      </w:pPr>
      <w:r w:rsidRPr="00953343">
        <w:rPr>
          <w:rFonts w:eastAsiaTheme="majorEastAsia" w:cs="Arial"/>
          <w:kern w:val="32"/>
          <w:sz w:val="32"/>
          <w:szCs w:val="32"/>
          <w:lang w:val="en-AU" w:eastAsia="en-AU"/>
        </w:rPr>
        <w:t>Decision Notice</w:t>
      </w:r>
    </w:p>
    <w:p w:rsidR="00DA2BC5" w:rsidRDefault="00E43C72" w:rsidP="00203F88">
      <w:pPr>
        <w:pStyle w:val="Tabformatting"/>
        <w:spacing w:after="120"/>
      </w:pPr>
      <w:r w:rsidRPr="00953343">
        <w:rPr>
          <w:rFonts w:cs="Arial"/>
          <w:b/>
        </w:rPr>
        <w:t>Matter</w:t>
      </w:r>
      <w:r w:rsidRPr="00E209FB">
        <w:rPr>
          <w:rFonts w:cs="Arial"/>
          <w:b/>
        </w:rPr>
        <w:t>:</w:t>
      </w:r>
      <w:r>
        <w:rPr>
          <w:color w:val="0F0F0F"/>
        </w:rPr>
        <w:tab/>
        <w:t>Application for</w:t>
      </w:r>
      <w:r>
        <w:rPr>
          <w:color w:val="0F0F0F"/>
          <w:spacing w:val="-3"/>
        </w:rPr>
        <w:t xml:space="preserve"> </w:t>
      </w:r>
      <w:r>
        <w:rPr>
          <w:color w:val="0F0F0F"/>
        </w:rPr>
        <w:t>Increase</w:t>
      </w:r>
      <w:r>
        <w:rPr>
          <w:color w:val="0F0F0F"/>
          <w:spacing w:val="-9"/>
        </w:rPr>
        <w:t xml:space="preserve"> </w:t>
      </w:r>
      <w:r>
        <w:rPr>
          <w:color w:val="0F0F0F"/>
        </w:rPr>
        <w:t>in</w:t>
      </w:r>
      <w:r>
        <w:rPr>
          <w:color w:val="0F0F0F"/>
          <w:spacing w:val="-18"/>
        </w:rPr>
        <w:t xml:space="preserve"> </w:t>
      </w:r>
      <w:r>
        <w:rPr>
          <w:color w:val="0F0F0F"/>
        </w:rPr>
        <w:t>Gaming</w:t>
      </w:r>
      <w:r>
        <w:rPr>
          <w:color w:val="0F0F0F"/>
          <w:spacing w:val="-1"/>
        </w:rPr>
        <w:t xml:space="preserve"> </w:t>
      </w:r>
      <w:r>
        <w:rPr>
          <w:color w:val="0F0F0F"/>
        </w:rPr>
        <w:t>Machines</w:t>
      </w:r>
    </w:p>
    <w:p w:rsidR="00E43C72" w:rsidRDefault="00E43C72" w:rsidP="00CA4648">
      <w:pPr>
        <w:pStyle w:val="BodyText"/>
        <w:ind w:left="2835" w:hanging="2835"/>
        <w:rPr>
          <w:color w:val="0F0F0F"/>
        </w:rPr>
      </w:pPr>
      <w:r w:rsidRPr="00E209FB">
        <w:rPr>
          <w:rFonts w:eastAsia="Times New Roman" w:cs="Arial"/>
          <w:b/>
          <w:szCs w:val="20"/>
          <w:lang w:val="en-AU" w:eastAsia="en-AU"/>
        </w:rPr>
        <w:t>Premises:</w:t>
      </w:r>
      <w:r>
        <w:rPr>
          <w:rFonts w:cs="Arial"/>
        </w:rPr>
        <w:tab/>
      </w:r>
      <w:r w:rsidRPr="004B21BA">
        <w:rPr>
          <w:color w:val="0F0F0F"/>
          <w:lang w:val="en-AU"/>
        </w:rPr>
        <w:t>Pa</w:t>
      </w:r>
      <w:r w:rsidR="0039520F">
        <w:rPr>
          <w:color w:val="0F0F0F"/>
          <w:lang w:val="en-AU"/>
        </w:rPr>
        <w:t>lmerston</w:t>
      </w:r>
      <w:r>
        <w:rPr>
          <w:color w:val="0F0F0F"/>
          <w:spacing w:val="-29"/>
        </w:rPr>
        <w:t xml:space="preserve"> </w:t>
      </w:r>
      <w:r>
        <w:rPr>
          <w:color w:val="0F0F0F"/>
        </w:rPr>
        <w:t>Tavern</w:t>
      </w:r>
    </w:p>
    <w:p w:rsidR="0039520F" w:rsidRPr="0039520F" w:rsidRDefault="0039520F" w:rsidP="0039520F">
      <w:pPr>
        <w:ind w:left="2291" w:right="-704" w:firstLine="544"/>
        <w:rPr>
          <w:rFonts w:ascii="Arial" w:hAnsi="Arial"/>
        </w:rPr>
      </w:pPr>
      <w:r w:rsidRPr="0039520F">
        <w:rPr>
          <w:rFonts w:ascii="Arial" w:hAnsi="Arial"/>
        </w:rPr>
        <w:t>Lot 1110 Chung Wah Terrace</w:t>
      </w:r>
    </w:p>
    <w:p w:rsidR="0039520F" w:rsidRPr="0039520F" w:rsidRDefault="0039520F" w:rsidP="0039520F">
      <w:pPr>
        <w:pStyle w:val="Tabformatting"/>
        <w:spacing w:after="120"/>
        <w:ind w:firstLine="0"/>
        <w:rPr>
          <w:szCs w:val="22"/>
          <w:lang w:eastAsia="en-US"/>
        </w:rPr>
      </w:pPr>
      <w:r w:rsidRPr="0039520F">
        <w:rPr>
          <w:szCs w:val="22"/>
          <w:lang w:eastAsia="en-US"/>
        </w:rPr>
        <w:t>PALMERSTON  NT  0830</w:t>
      </w:r>
    </w:p>
    <w:p w:rsidR="00DA2BC5" w:rsidRDefault="00E43C72" w:rsidP="0039520F">
      <w:pPr>
        <w:pStyle w:val="Tabformatting"/>
        <w:spacing w:after="120"/>
      </w:pPr>
      <w:r w:rsidRPr="0039520F">
        <w:rPr>
          <w:rFonts w:cs="Arial"/>
          <w:b/>
          <w:szCs w:val="22"/>
        </w:rPr>
        <w:t>Applicant:</w:t>
      </w:r>
      <w:r>
        <w:rPr>
          <w:color w:val="0F0F0F"/>
        </w:rPr>
        <w:tab/>
      </w:r>
      <w:r w:rsidR="00CA4648">
        <w:rPr>
          <w:color w:val="0F0F0F"/>
        </w:rPr>
        <w:t>Australian</w:t>
      </w:r>
      <w:r w:rsidR="00CA4648">
        <w:rPr>
          <w:color w:val="0F0F0F"/>
          <w:spacing w:val="17"/>
        </w:rPr>
        <w:t xml:space="preserve"> </w:t>
      </w:r>
      <w:r w:rsidR="00CA4648">
        <w:rPr>
          <w:color w:val="0F0F0F"/>
        </w:rPr>
        <w:t>Leisure</w:t>
      </w:r>
      <w:r w:rsidR="00CA4648">
        <w:rPr>
          <w:color w:val="0F0F0F"/>
          <w:spacing w:val="-14"/>
        </w:rPr>
        <w:t xml:space="preserve"> </w:t>
      </w:r>
      <w:r w:rsidR="00CA4648">
        <w:rPr>
          <w:color w:val="0F0F0F"/>
        </w:rPr>
        <w:t>and</w:t>
      </w:r>
      <w:r w:rsidR="00CA4648">
        <w:rPr>
          <w:color w:val="0F0F0F"/>
          <w:spacing w:val="9"/>
        </w:rPr>
        <w:t xml:space="preserve"> </w:t>
      </w:r>
      <w:r w:rsidR="00CA4648">
        <w:rPr>
          <w:color w:val="0F0F0F"/>
        </w:rPr>
        <w:t>Hospitality</w:t>
      </w:r>
      <w:r w:rsidR="00CA4648">
        <w:rPr>
          <w:color w:val="0F0F0F"/>
          <w:spacing w:val="6"/>
        </w:rPr>
        <w:t xml:space="preserve"> </w:t>
      </w:r>
      <w:r w:rsidR="00CA4648">
        <w:rPr>
          <w:color w:val="0F0F0F"/>
        </w:rPr>
        <w:t>Group</w:t>
      </w:r>
      <w:r w:rsidR="00CA4648">
        <w:rPr>
          <w:color w:val="0F0F0F"/>
          <w:spacing w:val="1"/>
        </w:rPr>
        <w:t xml:space="preserve"> </w:t>
      </w:r>
      <w:r w:rsidR="00CA4648">
        <w:rPr>
          <w:color w:val="0F0F0F"/>
        </w:rPr>
        <w:t>Pty</w:t>
      </w:r>
      <w:r w:rsidR="00CA4648">
        <w:rPr>
          <w:color w:val="0F0F0F"/>
          <w:spacing w:val="-8"/>
        </w:rPr>
        <w:t xml:space="preserve"> </w:t>
      </w:r>
      <w:r w:rsidR="00CA4648">
        <w:rPr>
          <w:color w:val="0F0F0F"/>
        </w:rPr>
        <w:t>Ltd</w:t>
      </w:r>
    </w:p>
    <w:p w:rsidR="00DA2BC5" w:rsidRDefault="00E43C72" w:rsidP="00203F88">
      <w:pPr>
        <w:pStyle w:val="Tabformatting"/>
        <w:spacing w:after="120"/>
      </w:pPr>
      <w:r w:rsidRPr="00953343">
        <w:rPr>
          <w:rFonts w:cs="Arial"/>
          <w:b/>
        </w:rPr>
        <w:t>Nominee</w:t>
      </w:r>
      <w:r w:rsidRPr="00E209FB">
        <w:rPr>
          <w:rFonts w:cs="Arial"/>
          <w:b/>
        </w:rPr>
        <w:t>:</w:t>
      </w:r>
      <w:r>
        <w:rPr>
          <w:color w:val="0F0F0F"/>
        </w:rPr>
        <w:tab/>
        <w:t>Mr</w:t>
      </w:r>
      <w:r>
        <w:rPr>
          <w:color w:val="0F0F0F"/>
          <w:spacing w:val="-12"/>
        </w:rPr>
        <w:t xml:space="preserve"> </w:t>
      </w:r>
      <w:r w:rsidR="0039520F">
        <w:rPr>
          <w:color w:val="0F0F0F"/>
        </w:rPr>
        <w:t>Brett Wilson</w:t>
      </w:r>
    </w:p>
    <w:p w:rsidR="005276E0" w:rsidRPr="005276E0" w:rsidRDefault="00E43C72">
      <w:pPr>
        <w:pStyle w:val="Tabformatting"/>
        <w:spacing w:after="120"/>
      </w:pPr>
      <w:r w:rsidRPr="00953343">
        <w:rPr>
          <w:rFonts w:cs="Arial"/>
          <w:b/>
        </w:rPr>
        <w:t>Submissions</w:t>
      </w:r>
      <w:r w:rsidRPr="00E209FB">
        <w:rPr>
          <w:rFonts w:cs="Arial"/>
          <w:b/>
        </w:rPr>
        <w:t>:</w:t>
      </w:r>
      <w:r>
        <w:rPr>
          <w:color w:val="0F0F0F"/>
          <w:spacing w:val="-1"/>
          <w:w w:val="105"/>
        </w:rPr>
        <w:tab/>
      </w:r>
      <w:r w:rsidR="00BD77A0">
        <w:rPr>
          <w:color w:val="0F0F0F"/>
          <w:spacing w:val="-1"/>
          <w:w w:val="105"/>
        </w:rPr>
        <w:t xml:space="preserve">Nil </w:t>
      </w:r>
    </w:p>
    <w:p w:rsidR="00953343" w:rsidRDefault="00E43C72" w:rsidP="00203F88">
      <w:pPr>
        <w:pStyle w:val="Tabformatting"/>
        <w:spacing w:after="120"/>
        <w:rPr>
          <w:rFonts w:eastAsia="Arial" w:cs="Arial"/>
        </w:rPr>
      </w:pPr>
      <w:r w:rsidRPr="00953343">
        <w:rPr>
          <w:rFonts w:cs="Arial"/>
          <w:b/>
        </w:rPr>
        <w:t>Legislation</w:t>
      </w:r>
      <w:r w:rsidRPr="00E209FB">
        <w:rPr>
          <w:rFonts w:cs="Arial"/>
          <w:b/>
        </w:rPr>
        <w:t>:</w:t>
      </w:r>
      <w:r w:rsidR="00953343">
        <w:rPr>
          <w:color w:val="0F0F0F"/>
          <w:spacing w:val="25"/>
          <w:w w:val="107"/>
        </w:rPr>
        <w:tab/>
      </w:r>
      <w:r w:rsidR="00953343">
        <w:rPr>
          <w:color w:val="0F0F0F"/>
        </w:rPr>
        <w:t>Section</w:t>
      </w:r>
      <w:r w:rsidR="00953343">
        <w:rPr>
          <w:color w:val="0F0F0F"/>
          <w:spacing w:val="-7"/>
        </w:rPr>
        <w:t xml:space="preserve"> </w:t>
      </w:r>
      <w:r w:rsidR="00953343">
        <w:rPr>
          <w:color w:val="0F0F0F"/>
        </w:rPr>
        <w:t>41</w:t>
      </w:r>
      <w:r w:rsidR="00953343">
        <w:rPr>
          <w:color w:val="0F0F0F"/>
          <w:spacing w:val="1"/>
        </w:rPr>
        <w:t xml:space="preserve"> </w:t>
      </w:r>
      <w:r w:rsidR="00953343">
        <w:rPr>
          <w:i/>
          <w:color w:val="0F0F0F"/>
        </w:rPr>
        <w:t>Gami</w:t>
      </w:r>
      <w:bookmarkStart w:id="0" w:name="_GoBack"/>
      <w:bookmarkEnd w:id="0"/>
      <w:r w:rsidR="00953343">
        <w:rPr>
          <w:i/>
          <w:color w:val="0F0F0F"/>
        </w:rPr>
        <w:t>ng</w:t>
      </w:r>
      <w:r w:rsidR="00953343">
        <w:rPr>
          <w:i/>
          <w:color w:val="0F0F0F"/>
          <w:spacing w:val="-7"/>
        </w:rPr>
        <w:t xml:space="preserve"> </w:t>
      </w:r>
      <w:r w:rsidR="00953343">
        <w:rPr>
          <w:i/>
          <w:color w:val="0F0F0F"/>
        </w:rPr>
        <w:t>Machine</w:t>
      </w:r>
      <w:r w:rsidR="00953343">
        <w:rPr>
          <w:i/>
          <w:color w:val="0F0F0F"/>
          <w:spacing w:val="-12"/>
        </w:rPr>
        <w:t xml:space="preserve"> </w:t>
      </w:r>
      <w:r w:rsidR="00953343">
        <w:rPr>
          <w:i/>
          <w:color w:val="0F0F0F"/>
        </w:rPr>
        <w:t>Act</w:t>
      </w:r>
    </w:p>
    <w:p w:rsidR="00DA2BC5" w:rsidRDefault="00E43C72" w:rsidP="00203F88">
      <w:pPr>
        <w:pStyle w:val="Tabformatting"/>
        <w:spacing w:after="120"/>
      </w:pPr>
      <w:r w:rsidRPr="00953343">
        <w:rPr>
          <w:rFonts w:cs="Arial"/>
          <w:b/>
        </w:rPr>
        <w:t>Decision</w:t>
      </w:r>
      <w:r w:rsidRPr="00E209FB">
        <w:rPr>
          <w:rFonts w:cs="Arial"/>
          <w:b/>
        </w:rPr>
        <w:t xml:space="preserve"> </w:t>
      </w:r>
      <w:r w:rsidRPr="00953343">
        <w:rPr>
          <w:rFonts w:cs="Arial"/>
          <w:b/>
        </w:rPr>
        <w:t>of</w:t>
      </w:r>
      <w:r w:rsidRPr="00E209FB">
        <w:rPr>
          <w:rFonts w:cs="Arial"/>
          <w:b/>
        </w:rPr>
        <w:t>:</w:t>
      </w:r>
      <w:r>
        <w:rPr>
          <w:color w:val="0F0F0F"/>
          <w:w w:val="110"/>
        </w:rPr>
        <w:tab/>
      </w:r>
      <w:r>
        <w:rPr>
          <w:color w:val="0F0F0F"/>
        </w:rPr>
        <w:t>Director-General</w:t>
      </w:r>
      <w:r>
        <w:rPr>
          <w:color w:val="0F0F0F"/>
          <w:spacing w:val="-13"/>
        </w:rPr>
        <w:t xml:space="preserve"> </w:t>
      </w:r>
      <w:r>
        <w:rPr>
          <w:color w:val="0F0F0F"/>
        </w:rPr>
        <w:t>of</w:t>
      </w:r>
      <w:r>
        <w:rPr>
          <w:color w:val="0F0F0F"/>
          <w:spacing w:val="-12"/>
        </w:rPr>
        <w:t xml:space="preserve"> </w:t>
      </w:r>
      <w:r>
        <w:rPr>
          <w:color w:val="0F0F0F"/>
        </w:rPr>
        <w:t>Licensing</w:t>
      </w:r>
    </w:p>
    <w:p w:rsidR="00DA2BC5" w:rsidRPr="00283F85" w:rsidRDefault="00E43C72" w:rsidP="004B21BA">
      <w:pPr>
        <w:pStyle w:val="Tabformatting"/>
        <w:spacing w:after="0"/>
        <w:rPr>
          <w:rFonts w:cs="Arial"/>
        </w:rPr>
      </w:pPr>
      <w:r w:rsidRPr="00E209FB">
        <w:rPr>
          <w:rFonts w:cs="Arial"/>
          <w:b/>
        </w:rPr>
        <w:t>Date of Decision:</w:t>
      </w:r>
      <w:r w:rsidRPr="00283F85">
        <w:rPr>
          <w:rFonts w:cs="Arial"/>
          <w:b/>
        </w:rPr>
        <w:tab/>
      </w:r>
      <w:r w:rsidR="00A433C0" w:rsidRPr="006867ED">
        <w:rPr>
          <w:rFonts w:cs="Arial"/>
        </w:rPr>
        <w:t>1</w:t>
      </w:r>
      <w:r w:rsidR="006867ED">
        <w:rPr>
          <w:rFonts w:cs="Arial"/>
        </w:rPr>
        <w:t>3</w:t>
      </w:r>
      <w:r w:rsidR="00A433C0">
        <w:rPr>
          <w:rFonts w:cs="Arial"/>
          <w:b/>
        </w:rPr>
        <w:t xml:space="preserve"> </w:t>
      </w:r>
      <w:r w:rsidR="0039520F" w:rsidRPr="00A433C0">
        <w:rPr>
          <w:rFonts w:cs="Arial"/>
        </w:rPr>
        <w:t>January 2016</w:t>
      </w:r>
    </w:p>
    <w:p w:rsidR="00DA2BC5" w:rsidRDefault="00F9345C" w:rsidP="004B21BA">
      <w:pPr>
        <w:rPr>
          <w:rFonts w:ascii="Arial" w:eastAsia="Arial" w:hAnsi="Arial" w:cs="Arial"/>
          <w:sz w:val="24"/>
          <w:szCs w:val="24"/>
        </w:rPr>
      </w:pPr>
      <w:r>
        <w:rPr>
          <w:rFonts w:ascii="Arial" w:eastAsia="Arial" w:hAnsi="Arial" w:cs="Arial"/>
          <w:sz w:val="24"/>
          <w:szCs w:val="24"/>
        </w:rPr>
        <w:pict>
          <v:rect id="_x0000_i1025" style="width:496.25pt;height:1.5pt" o:hralign="center" o:hrstd="t" o:hrnoshade="t" o:hr="t" fillcolor="black [3213]" stroked="f"/>
        </w:pict>
      </w:r>
    </w:p>
    <w:p w:rsidR="00DA2BC5" w:rsidRPr="00074022" w:rsidRDefault="00E43C72" w:rsidP="006867ED">
      <w:pPr>
        <w:pStyle w:val="Heading2"/>
        <w:keepNext/>
        <w:widowControl/>
        <w:spacing w:before="120" w:after="120"/>
        <w:ind w:left="0"/>
        <w:rPr>
          <w:rFonts w:eastAsiaTheme="majorEastAsia" w:cs="Arial"/>
          <w:b/>
          <w:bCs/>
          <w:iCs/>
          <w:sz w:val="22"/>
          <w:szCs w:val="22"/>
          <w:lang w:val="en-AU" w:eastAsia="en-AU"/>
        </w:rPr>
      </w:pPr>
      <w:r w:rsidRPr="006867ED">
        <w:rPr>
          <w:rFonts w:eastAsiaTheme="majorEastAsia" w:cs="Arial"/>
          <w:b/>
          <w:bCs/>
          <w:iCs/>
          <w:sz w:val="28"/>
          <w:szCs w:val="28"/>
          <w:lang w:val="en-AU" w:eastAsia="en-AU"/>
        </w:rPr>
        <w:t>Background</w:t>
      </w:r>
    </w:p>
    <w:p w:rsidR="00DA2BC5" w:rsidRPr="00E209FB" w:rsidRDefault="0039520F"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On 2</w:t>
      </w:r>
      <w:r w:rsidR="00E43C72" w:rsidRPr="00E209FB">
        <w:rPr>
          <w:rFonts w:ascii="Arial" w:eastAsia="Times New Roman" w:hAnsi="Arial" w:cs="Arial"/>
          <w:szCs w:val="24"/>
          <w:lang w:val="en-AU" w:eastAsia="en-AU"/>
        </w:rPr>
        <w:t xml:space="preserve"> </w:t>
      </w:r>
      <w:r>
        <w:rPr>
          <w:rFonts w:ascii="Arial" w:eastAsia="Times New Roman" w:hAnsi="Arial" w:cs="Arial"/>
          <w:szCs w:val="24"/>
          <w:lang w:val="en-AU" w:eastAsia="en-AU"/>
        </w:rPr>
        <w:t>September</w:t>
      </w:r>
      <w:r w:rsidR="00E43C72" w:rsidRPr="00E209FB">
        <w:rPr>
          <w:rFonts w:ascii="Arial" w:eastAsia="Times New Roman" w:hAnsi="Arial" w:cs="Arial"/>
          <w:szCs w:val="24"/>
          <w:lang w:val="en-AU" w:eastAsia="en-AU"/>
        </w:rPr>
        <w:t xml:space="preserve"> 2015, Australian Leisure and Hospitality Group Pty Ltd ("the Applicant") applied for an increase in the number of gaming mach</w:t>
      </w:r>
      <w:r>
        <w:rPr>
          <w:rFonts w:ascii="Arial" w:eastAsia="Times New Roman" w:hAnsi="Arial" w:cs="Arial"/>
          <w:szCs w:val="24"/>
          <w:lang w:val="en-AU" w:eastAsia="en-AU"/>
        </w:rPr>
        <w:t>ines authorised for use at Palmerston</w:t>
      </w:r>
      <w:r w:rsidR="00E43C72" w:rsidRPr="00E209FB">
        <w:rPr>
          <w:rFonts w:ascii="Arial" w:eastAsia="Times New Roman" w:hAnsi="Arial" w:cs="Arial"/>
          <w:szCs w:val="24"/>
          <w:lang w:val="en-AU" w:eastAsia="en-AU"/>
        </w:rPr>
        <w:t xml:space="preserve"> Tavern ("the Tavern") pursuant to section 41 of the </w:t>
      </w:r>
      <w:r w:rsidR="00E43C72" w:rsidRPr="005276E0">
        <w:rPr>
          <w:rFonts w:ascii="Arial" w:eastAsia="Times New Roman" w:hAnsi="Arial" w:cs="Arial"/>
          <w:i/>
          <w:szCs w:val="24"/>
          <w:lang w:val="en-AU" w:eastAsia="en-AU"/>
        </w:rPr>
        <w:t>Gaming Machine Act</w:t>
      </w:r>
      <w:r w:rsidR="00E43C72" w:rsidRPr="00E209FB">
        <w:rPr>
          <w:rFonts w:ascii="Arial" w:eastAsia="Times New Roman" w:hAnsi="Arial" w:cs="Arial"/>
          <w:szCs w:val="24"/>
          <w:lang w:val="en-AU" w:eastAsia="en-AU"/>
        </w:rPr>
        <w:t xml:space="preserve"> ("the Act").</w:t>
      </w:r>
    </w:p>
    <w:p w:rsidR="00DA2BC5" w:rsidRPr="00DA1326" w:rsidRDefault="00E43C72" w:rsidP="00DA1326">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Regulation 3(a) of the </w:t>
      </w:r>
      <w:r w:rsidRPr="006867ED">
        <w:rPr>
          <w:rFonts w:ascii="Arial" w:eastAsia="Times New Roman" w:hAnsi="Arial" w:cs="Arial"/>
          <w:szCs w:val="24"/>
          <w:lang w:val="en-AU" w:eastAsia="en-AU"/>
        </w:rPr>
        <w:t>Gaming Machine Regulations</w:t>
      </w:r>
      <w:r w:rsidRPr="00E209FB">
        <w:rPr>
          <w:rFonts w:ascii="Arial" w:eastAsia="Times New Roman" w:hAnsi="Arial" w:cs="Arial"/>
          <w:szCs w:val="24"/>
          <w:lang w:val="en-AU" w:eastAsia="en-AU"/>
        </w:rPr>
        <w:t xml:space="preserve"> </w:t>
      </w:r>
      <w:r w:rsidR="00CA4648">
        <w:rPr>
          <w:rFonts w:ascii="Arial" w:eastAsia="Times New Roman" w:hAnsi="Arial" w:cs="Arial"/>
          <w:szCs w:val="24"/>
          <w:lang w:val="en-AU" w:eastAsia="en-AU"/>
        </w:rPr>
        <w:t>(</w:t>
      </w:r>
      <w:r w:rsidRPr="00E209FB">
        <w:rPr>
          <w:rFonts w:ascii="Arial" w:eastAsia="Times New Roman" w:hAnsi="Arial" w:cs="Arial"/>
          <w:szCs w:val="24"/>
          <w:lang w:val="en-AU" w:eastAsia="en-AU"/>
        </w:rPr>
        <w:t>"the Regulations") sets the maximum number of gaming machines that may be authorised for a Category 1 licensed premise under section 41 of the Act.</w:t>
      </w:r>
      <w:r w:rsidR="00DA1326">
        <w:rPr>
          <w:rFonts w:ascii="Arial" w:eastAsia="Times New Roman" w:hAnsi="Arial" w:cs="Arial"/>
          <w:szCs w:val="24"/>
          <w:lang w:val="en-AU" w:eastAsia="en-AU"/>
        </w:rPr>
        <w:t xml:space="preserve">  </w:t>
      </w:r>
      <w:r w:rsidRPr="00DA1326">
        <w:rPr>
          <w:rFonts w:ascii="Arial" w:eastAsia="Times New Roman" w:hAnsi="Arial" w:cs="Arial"/>
          <w:szCs w:val="24"/>
          <w:lang w:val="en-AU" w:eastAsia="en-AU"/>
        </w:rPr>
        <w:t>Regulation 2(2)(a)(i) of the Regulations defines a Category 1 licensed premise as a premise for which a hotel liquor licence is in force at any particular time.</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Under section 41(1) of the Act, a licensee may apply to have the number of gaming machines authorised for use under the license increased. </w:t>
      </w:r>
      <w:r w:rsidR="00CA464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Director-General of Licensing ("Director</w:t>
      </w:r>
      <w:r w:rsidR="004B21BA">
        <w:rPr>
          <w:rFonts w:ascii="Arial" w:eastAsia="Times New Roman" w:hAnsi="Arial" w:cs="Arial"/>
          <w:szCs w:val="24"/>
          <w:lang w:val="en-AU" w:eastAsia="en-AU"/>
        </w:rPr>
        <w:noBreakHyphen/>
      </w:r>
      <w:r w:rsidRPr="00E209FB">
        <w:rPr>
          <w:rFonts w:ascii="Arial" w:eastAsia="Times New Roman" w:hAnsi="Arial" w:cs="Arial"/>
          <w:szCs w:val="24"/>
          <w:lang w:val="en-AU" w:eastAsia="en-AU"/>
        </w:rPr>
        <w:t>General") may grant or refuse such an application and in determining the application shall have regard to Part 3, Division 5 of the Act.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application was accompanied by the prescribed application fee and the prescribed levy for the ten additional gaming machines applied for. </w:t>
      </w:r>
      <w:r w:rsidR="00CA464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application was also accompanied by the required Community Impact Analysis ("CIA") prepared by HWL Ebsworth, Lawyers.</w:t>
      </w:r>
    </w:p>
    <w:p w:rsidR="00DA2BC5" w:rsidRPr="006867ED" w:rsidRDefault="00E43C72" w:rsidP="006867ED">
      <w:pPr>
        <w:pStyle w:val="Heading2"/>
        <w:widowControl/>
        <w:spacing w:before="240" w:after="120"/>
        <w:ind w:left="0"/>
        <w:rPr>
          <w:rFonts w:eastAsiaTheme="majorEastAsia" w:cs="Arial"/>
          <w:b/>
          <w:bCs/>
          <w:iCs/>
          <w:sz w:val="28"/>
          <w:szCs w:val="28"/>
          <w:lang w:val="en-AU" w:eastAsia="en-AU"/>
        </w:rPr>
      </w:pPr>
      <w:r w:rsidRPr="006867ED">
        <w:rPr>
          <w:rFonts w:eastAsiaTheme="majorEastAsia" w:cs="Arial"/>
          <w:b/>
          <w:bCs/>
          <w:iCs/>
          <w:sz w:val="28"/>
          <w:szCs w:val="28"/>
          <w:lang w:val="en-AU" w:eastAsia="en-AU"/>
        </w:rPr>
        <w:t>Consideration and Reasons</w:t>
      </w:r>
    </w:p>
    <w:p w:rsidR="00DA2BC5" w:rsidRPr="00E209FB" w:rsidRDefault="00E43C72" w:rsidP="0097230A">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When determining this application, the Director-General must have regard to relevant provisions of the Act and Regulations, including but not limited to the statutory objects of the Act which are:</w:t>
      </w:r>
    </w:p>
    <w:p w:rsidR="00DA2BC5" w:rsidRPr="00203F88" w:rsidRDefault="00E43C72" w:rsidP="006867ED">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promote probity and integrity in gaming;</w:t>
      </w:r>
    </w:p>
    <w:p w:rsidR="00DA2BC5" w:rsidRPr="00203F88" w:rsidRDefault="00E43C72" w:rsidP="006867ED">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maintain the probity and integrity of persons engaged in gaming in the Territory;</w:t>
      </w:r>
    </w:p>
    <w:p w:rsidR="00DA2BC5" w:rsidRPr="00203F88" w:rsidRDefault="00E43C72" w:rsidP="006867ED">
      <w:pPr>
        <w:pStyle w:val="Paragraph"/>
        <w:numPr>
          <w:ilvl w:val="1"/>
          <w:numId w:val="3"/>
        </w:numPr>
        <w:tabs>
          <w:tab w:val="left" w:pos="1134"/>
        </w:tabs>
        <w:spacing w:after="120"/>
        <w:ind w:left="1134" w:hanging="567"/>
        <w:jc w:val="both"/>
        <w:rPr>
          <w:rFonts w:ascii="Arial" w:hAnsi="Arial" w:cs="Arial"/>
          <w:i/>
          <w:sz w:val="22"/>
        </w:rPr>
      </w:pPr>
      <w:r w:rsidRPr="00203F88">
        <w:rPr>
          <w:rFonts w:ascii="Arial" w:hAnsi="Arial" w:cs="Arial"/>
          <w:i/>
          <w:sz w:val="22"/>
        </w:rPr>
        <w:t>to promote fairness, integrity and efficiency in the operations of persons engaged in gaming in the Territory;</w:t>
      </w:r>
    </w:p>
    <w:p w:rsidR="00DA2BC5" w:rsidRPr="00203F88" w:rsidRDefault="00E43C72" w:rsidP="006867ED">
      <w:pPr>
        <w:pStyle w:val="Paragraph"/>
        <w:numPr>
          <w:ilvl w:val="1"/>
          <w:numId w:val="3"/>
        </w:numPr>
        <w:tabs>
          <w:tab w:val="left" w:pos="1134"/>
        </w:tabs>
        <w:spacing w:after="120"/>
        <w:ind w:left="567" w:firstLine="0"/>
        <w:jc w:val="both"/>
        <w:rPr>
          <w:rFonts w:ascii="Arial" w:hAnsi="Arial" w:cs="Arial"/>
          <w:i/>
          <w:sz w:val="22"/>
        </w:rPr>
      </w:pPr>
      <w:r w:rsidRPr="00203F88">
        <w:rPr>
          <w:rFonts w:ascii="Arial" w:hAnsi="Arial" w:cs="Arial"/>
          <w:i/>
          <w:sz w:val="22"/>
        </w:rPr>
        <w:t>to reduce any adverse social impact of gaming; and</w:t>
      </w:r>
    </w:p>
    <w:p w:rsidR="00DA2BC5" w:rsidRDefault="00E43C72" w:rsidP="006867ED">
      <w:pPr>
        <w:numPr>
          <w:ilvl w:val="1"/>
          <w:numId w:val="3"/>
        </w:numPr>
        <w:spacing w:after="240"/>
        <w:ind w:left="1134" w:hanging="567"/>
        <w:jc w:val="left"/>
        <w:rPr>
          <w:rFonts w:ascii="Arial" w:eastAsia="Arial" w:hAnsi="Arial" w:cs="Arial"/>
        </w:rPr>
      </w:pPr>
      <w:r>
        <w:rPr>
          <w:rFonts w:ascii="Arial"/>
          <w:i/>
          <w:color w:val="0E0E0E"/>
        </w:rPr>
        <w:t>to</w:t>
      </w:r>
      <w:r>
        <w:rPr>
          <w:rFonts w:ascii="Arial"/>
          <w:i/>
          <w:color w:val="0E0E0E"/>
          <w:spacing w:val="42"/>
        </w:rPr>
        <w:t xml:space="preserve"> </w:t>
      </w:r>
      <w:r>
        <w:rPr>
          <w:rFonts w:ascii="Arial"/>
          <w:i/>
          <w:color w:val="0E0E0E"/>
        </w:rPr>
        <w:t xml:space="preserve">promote </w:t>
      </w:r>
      <w:r>
        <w:rPr>
          <w:rFonts w:ascii="Times New Roman"/>
          <w:color w:val="0E0E0E"/>
          <w:sz w:val="25"/>
        </w:rPr>
        <w:t>a</w:t>
      </w:r>
      <w:r>
        <w:rPr>
          <w:rFonts w:ascii="Times New Roman"/>
          <w:color w:val="0E0E0E"/>
          <w:spacing w:val="60"/>
          <w:sz w:val="25"/>
        </w:rPr>
        <w:t xml:space="preserve"> </w:t>
      </w:r>
      <w:r>
        <w:rPr>
          <w:rFonts w:ascii="Arial"/>
          <w:i/>
          <w:color w:val="0E0E0E"/>
        </w:rPr>
        <w:t>balanced contribution by the</w:t>
      </w:r>
      <w:r>
        <w:rPr>
          <w:rFonts w:ascii="Arial"/>
          <w:i/>
          <w:color w:val="0E0E0E"/>
          <w:spacing w:val="49"/>
        </w:rPr>
        <w:t xml:space="preserve"> </w:t>
      </w:r>
      <w:r>
        <w:rPr>
          <w:rFonts w:ascii="Arial"/>
          <w:i/>
          <w:color w:val="0E0E0E"/>
        </w:rPr>
        <w:t>gaming</w:t>
      </w:r>
      <w:r>
        <w:rPr>
          <w:rFonts w:ascii="Arial"/>
          <w:i/>
          <w:color w:val="0E0E0E"/>
          <w:spacing w:val="3"/>
        </w:rPr>
        <w:t xml:space="preserve"> </w:t>
      </w:r>
      <w:r>
        <w:rPr>
          <w:rFonts w:ascii="Arial"/>
          <w:i/>
          <w:color w:val="0E0E0E"/>
        </w:rPr>
        <w:t>industry to</w:t>
      </w:r>
      <w:r>
        <w:rPr>
          <w:rFonts w:ascii="Arial"/>
          <w:i/>
          <w:color w:val="0E0E0E"/>
          <w:spacing w:val="51"/>
        </w:rPr>
        <w:t xml:space="preserve"> </w:t>
      </w:r>
      <w:r>
        <w:rPr>
          <w:rFonts w:ascii="Arial"/>
          <w:i/>
          <w:color w:val="0E0E0E"/>
        </w:rPr>
        <w:t>general community</w:t>
      </w:r>
      <w:r>
        <w:rPr>
          <w:rFonts w:ascii="Arial"/>
          <w:i/>
          <w:color w:val="0E0E0E"/>
          <w:w w:val="101"/>
        </w:rPr>
        <w:t xml:space="preserve"> </w:t>
      </w:r>
      <w:r>
        <w:rPr>
          <w:rFonts w:ascii="Arial"/>
          <w:i/>
          <w:color w:val="0E0E0E"/>
        </w:rPr>
        <w:t>benefit</w:t>
      </w:r>
      <w:r>
        <w:rPr>
          <w:rFonts w:ascii="Arial"/>
          <w:i/>
          <w:color w:val="0E0E0E"/>
          <w:spacing w:val="-12"/>
        </w:rPr>
        <w:t xml:space="preserve"> </w:t>
      </w:r>
      <w:r>
        <w:rPr>
          <w:rFonts w:ascii="Arial"/>
          <w:i/>
          <w:color w:val="0E0E0E"/>
        </w:rPr>
        <w:t>and</w:t>
      </w:r>
      <w:r>
        <w:rPr>
          <w:rFonts w:ascii="Arial"/>
          <w:i/>
          <w:color w:val="0E0E0E"/>
          <w:spacing w:val="-20"/>
        </w:rPr>
        <w:t xml:space="preserve"> </w:t>
      </w:r>
      <w:r>
        <w:rPr>
          <w:rFonts w:ascii="Arial"/>
          <w:i/>
          <w:color w:val="0E0E0E"/>
        </w:rPr>
        <w:t>amenity.</w:t>
      </w:r>
    </w:p>
    <w:p w:rsidR="00DA2BC5" w:rsidRPr="00E209FB" w:rsidRDefault="00E43C72" w:rsidP="00203F8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lastRenderedPageBreak/>
        <w:t>Additionally, pursuant to section 41(4) of the Act, the Director-General shall when determining an application for an increase in the number of gaming machines authorised for use, have regard to:</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increased number of gaming machines that the applicant seeks to have authorised for use under the gaming machine licence;</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if section 41A applies - the community impact analysis;</w:t>
      </w:r>
    </w:p>
    <w:p w:rsidR="00DA2BC5" w:rsidRPr="00203F88" w:rsidRDefault="00E43C72" w:rsidP="00203F88">
      <w:pPr>
        <w:pStyle w:val="Paragraph"/>
        <w:spacing w:after="120"/>
        <w:ind w:left="1134"/>
        <w:rPr>
          <w:rFonts w:ascii="Arial" w:hAnsi="Arial" w:cs="Arial"/>
          <w:i/>
          <w:sz w:val="22"/>
        </w:rPr>
      </w:pPr>
      <w:r w:rsidRPr="00203F88">
        <w:rPr>
          <w:rFonts w:ascii="Arial" w:hAnsi="Arial" w:cs="Arial"/>
          <w:i/>
          <w:sz w:val="22"/>
        </w:rPr>
        <w:t>(ba)</w:t>
      </w:r>
      <w:r w:rsidR="00E209FB" w:rsidRPr="00203F88">
        <w:rPr>
          <w:rFonts w:ascii="Arial" w:hAnsi="Arial" w:cs="Arial"/>
          <w:i/>
          <w:sz w:val="22"/>
        </w:rPr>
        <w:tab/>
      </w:r>
      <w:r w:rsidRPr="00203F88">
        <w:rPr>
          <w:rFonts w:ascii="Arial" w:hAnsi="Arial" w:cs="Arial"/>
          <w:i/>
          <w:sz w:val="22"/>
        </w:rPr>
        <w:t>if section 41B applies - any submissions received under the section;</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gross monthly profit of existing gaming machines operated on the premises;</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hours and days when the premises are open for the sale of liquor;</w:t>
      </w:r>
    </w:p>
    <w:p w:rsidR="00DA2BC5" w:rsidRPr="00203F88" w:rsidRDefault="00E43C72" w:rsidP="00203F88">
      <w:pPr>
        <w:pStyle w:val="Paragraph"/>
        <w:numPr>
          <w:ilvl w:val="1"/>
          <w:numId w:val="3"/>
        </w:numPr>
        <w:spacing w:after="120"/>
        <w:ind w:left="1134" w:hanging="567"/>
        <w:jc w:val="both"/>
        <w:rPr>
          <w:rFonts w:ascii="Arial" w:hAnsi="Arial" w:cs="Arial"/>
          <w:i/>
          <w:sz w:val="22"/>
        </w:rPr>
      </w:pPr>
      <w:r w:rsidRPr="00203F88">
        <w:rPr>
          <w:rFonts w:ascii="Arial" w:hAnsi="Arial" w:cs="Arial"/>
          <w:i/>
          <w:sz w:val="22"/>
        </w:rPr>
        <w:t>the size, layout and facilities of the premises together with any proposed modification or relocation of the gaming machine areas of the premises; and</w:t>
      </w:r>
    </w:p>
    <w:p w:rsidR="00DA2BC5" w:rsidRDefault="00E43C72" w:rsidP="00203F88">
      <w:pPr>
        <w:numPr>
          <w:ilvl w:val="0"/>
          <w:numId w:val="2"/>
        </w:numPr>
        <w:spacing w:after="240"/>
        <w:ind w:left="1134" w:hanging="567"/>
        <w:rPr>
          <w:rFonts w:ascii="Arial" w:eastAsia="Arial" w:hAnsi="Arial" w:cs="Arial"/>
        </w:rPr>
      </w:pPr>
      <w:r>
        <w:rPr>
          <w:rFonts w:ascii="Arial"/>
          <w:i/>
          <w:color w:val="0E0E0E"/>
        </w:rPr>
        <w:t>such</w:t>
      </w:r>
      <w:r>
        <w:rPr>
          <w:rFonts w:ascii="Arial"/>
          <w:i/>
          <w:color w:val="0E0E0E"/>
          <w:spacing w:val="-5"/>
        </w:rPr>
        <w:t xml:space="preserve"> </w:t>
      </w:r>
      <w:r>
        <w:rPr>
          <w:rFonts w:ascii="Arial"/>
          <w:i/>
          <w:color w:val="0E0E0E"/>
        </w:rPr>
        <w:t>other</w:t>
      </w:r>
      <w:r>
        <w:rPr>
          <w:rFonts w:ascii="Arial"/>
          <w:i/>
          <w:color w:val="0E0E0E"/>
          <w:spacing w:val="-2"/>
        </w:rPr>
        <w:t xml:space="preserve"> </w:t>
      </w:r>
      <w:r>
        <w:rPr>
          <w:rFonts w:ascii="Arial"/>
          <w:i/>
          <w:color w:val="0E0E0E"/>
        </w:rPr>
        <w:t>matters</w:t>
      </w:r>
      <w:r>
        <w:rPr>
          <w:rFonts w:ascii="Arial"/>
          <w:i/>
          <w:color w:val="0E0E0E"/>
          <w:spacing w:val="-3"/>
        </w:rPr>
        <w:t xml:space="preserve"> </w:t>
      </w:r>
      <w:r>
        <w:rPr>
          <w:rFonts w:ascii="Arial"/>
          <w:color w:val="0E0E0E"/>
        </w:rPr>
        <w:t>as</w:t>
      </w:r>
      <w:r>
        <w:rPr>
          <w:rFonts w:ascii="Arial"/>
          <w:color w:val="0E0E0E"/>
          <w:spacing w:val="-14"/>
        </w:rPr>
        <w:t xml:space="preserve"> </w:t>
      </w:r>
      <w:r>
        <w:rPr>
          <w:rFonts w:ascii="Arial"/>
          <w:i/>
          <w:color w:val="0E0E0E"/>
        </w:rPr>
        <w:t>the</w:t>
      </w:r>
      <w:r>
        <w:rPr>
          <w:rFonts w:ascii="Arial"/>
          <w:i/>
          <w:color w:val="0E0E0E"/>
          <w:spacing w:val="-3"/>
        </w:rPr>
        <w:t xml:space="preserve"> </w:t>
      </w:r>
      <w:r>
        <w:rPr>
          <w:rFonts w:ascii="Arial"/>
          <w:i/>
          <w:color w:val="0E0E0E"/>
        </w:rPr>
        <w:t>Director-General</w:t>
      </w:r>
      <w:r>
        <w:rPr>
          <w:rFonts w:ascii="Arial"/>
          <w:i/>
          <w:color w:val="0E0E0E"/>
          <w:spacing w:val="9"/>
        </w:rPr>
        <w:t xml:space="preserve"> </w:t>
      </w:r>
      <w:r>
        <w:rPr>
          <w:rFonts w:ascii="Arial"/>
          <w:i/>
          <w:color w:val="0E0E0E"/>
        </w:rPr>
        <w:t>considers are</w:t>
      </w:r>
      <w:r>
        <w:rPr>
          <w:rFonts w:ascii="Arial"/>
          <w:i/>
          <w:color w:val="0E0E0E"/>
          <w:spacing w:val="-12"/>
        </w:rPr>
        <w:t xml:space="preserve"> </w:t>
      </w:r>
      <w:r>
        <w:rPr>
          <w:rFonts w:ascii="Arial"/>
          <w:i/>
          <w:color w:val="0E0E0E"/>
        </w:rPr>
        <w:t>relevant.</w:t>
      </w:r>
    </w:p>
    <w:p w:rsidR="00DA2BC5" w:rsidRPr="006867ED" w:rsidRDefault="00E43C72" w:rsidP="00203F88">
      <w:pPr>
        <w:pStyle w:val="ListParagraph"/>
        <w:widowControl/>
        <w:spacing w:before="240" w:after="120"/>
        <w:jc w:val="both"/>
        <w:rPr>
          <w:rStyle w:val="Emphasis"/>
          <w:rFonts w:ascii="Arial" w:eastAsia="Times New Roman" w:hAnsi="Arial" w:cs="Times New Roman"/>
          <w:b/>
          <w:i w:val="0"/>
          <w:iCs w:val="0"/>
          <w:sz w:val="24"/>
          <w:szCs w:val="20"/>
          <w:lang w:val="en-AU" w:eastAsia="en-AU"/>
        </w:rPr>
      </w:pPr>
      <w:r w:rsidRPr="006867ED">
        <w:rPr>
          <w:rStyle w:val="Emphasis"/>
          <w:rFonts w:ascii="Arial" w:eastAsia="Times New Roman" w:hAnsi="Arial" w:cs="Times New Roman"/>
          <w:b/>
          <w:i w:val="0"/>
          <w:iCs w:val="0"/>
          <w:sz w:val="24"/>
          <w:szCs w:val="20"/>
          <w:lang w:val="en-AU" w:eastAsia="en-AU"/>
        </w:rPr>
        <w:t>Increased number of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Applicant seeks to increase the number of gaming machines from its current level of ten to a proposed new number of 20 gaming machines, an increase of ten gaming machines. </w:t>
      </w:r>
      <w:r w:rsidR="001A428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Applicant is currently authorised to operate ten gaming machines on the premises, the maximum number permitted under its current authorisation.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Regulation 3 of the Regulations sets the maximum number of gaming machines for a Category</w:t>
      </w:r>
      <w:r w:rsidR="001A428B">
        <w:rPr>
          <w:rFonts w:ascii="Arial" w:eastAsia="Times New Roman" w:hAnsi="Arial" w:cs="Arial"/>
          <w:szCs w:val="24"/>
          <w:lang w:val="en-AU" w:eastAsia="en-AU"/>
        </w:rPr>
        <w:t> </w:t>
      </w:r>
      <w:r w:rsidRPr="00E209FB">
        <w:rPr>
          <w:rFonts w:ascii="Arial" w:eastAsia="Times New Roman" w:hAnsi="Arial" w:cs="Arial"/>
          <w:szCs w:val="24"/>
          <w:lang w:val="en-AU" w:eastAsia="en-AU"/>
        </w:rPr>
        <w:t xml:space="preserve">1 licensed premise at 20. </w:t>
      </w:r>
      <w:r w:rsidR="001A428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The Applicant is the holder of liquor licence number 803</w:t>
      </w:r>
      <w:r w:rsidR="0039520F">
        <w:rPr>
          <w:rFonts w:ascii="Arial" w:eastAsia="Times New Roman" w:hAnsi="Arial" w:cs="Arial"/>
          <w:szCs w:val="24"/>
          <w:lang w:val="en-AU" w:eastAsia="en-AU"/>
        </w:rPr>
        <w:t>03220</w:t>
      </w:r>
      <w:r w:rsidRPr="00E209FB">
        <w:rPr>
          <w:rFonts w:ascii="Arial" w:eastAsia="Times New Roman" w:hAnsi="Arial" w:cs="Arial"/>
          <w:szCs w:val="24"/>
          <w:lang w:val="en-AU" w:eastAsia="en-AU"/>
        </w:rPr>
        <w:t xml:space="preserve">, issued under the Liquor Act </w:t>
      </w:r>
      <w:r w:rsidR="00CA7915">
        <w:rPr>
          <w:rFonts w:ascii="Arial" w:eastAsia="Times New Roman" w:hAnsi="Arial" w:cs="Arial"/>
          <w:szCs w:val="24"/>
          <w:lang w:val="en-AU" w:eastAsia="en-AU"/>
        </w:rPr>
        <w:t xml:space="preserve">and </w:t>
      </w:r>
      <w:r w:rsidRPr="00E209FB">
        <w:rPr>
          <w:rFonts w:ascii="Arial" w:eastAsia="Times New Roman" w:hAnsi="Arial" w:cs="Arial"/>
          <w:szCs w:val="24"/>
          <w:lang w:val="en-AU" w:eastAsia="en-AU"/>
        </w:rPr>
        <w:t xml:space="preserve">endorsed AUTHORITY - TAVERN, which is defined under section 3 of the Act as a hotel liquor licence. </w:t>
      </w:r>
      <w:r w:rsidR="00203F88">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Consequently the premises are considered to be Category 1 licensed premises pursuant to regulation 2(2)(a) of the Regulations.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As such, the Applicant is able to apply for an increase of ten gaming machines and if granted, I am satisfied that the number of gaming machines on the premises would be within the statutory limit of 20 gaming machines.</w:t>
      </w:r>
    </w:p>
    <w:p w:rsidR="00DA2BC5" w:rsidRPr="006867ED" w:rsidRDefault="00E43C72" w:rsidP="00203F88">
      <w:pPr>
        <w:pStyle w:val="ListParagraph"/>
        <w:widowControl/>
        <w:spacing w:before="240" w:after="120"/>
        <w:jc w:val="both"/>
        <w:rPr>
          <w:rStyle w:val="Emphasis"/>
          <w:rFonts w:ascii="Arial" w:eastAsia="Times New Roman" w:hAnsi="Arial" w:cs="Times New Roman"/>
          <w:i w:val="0"/>
          <w:sz w:val="24"/>
          <w:szCs w:val="20"/>
          <w:lang w:val="en-AU" w:eastAsia="en-AU"/>
        </w:rPr>
      </w:pPr>
      <w:r w:rsidRPr="006867ED">
        <w:rPr>
          <w:rStyle w:val="Emphasis"/>
          <w:rFonts w:ascii="Arial" w:eastAsia="Times New Roman" w:hAnsi="Arial" w:cs="Times New Roman"/>
          <w:b/>
          <w:i w:val="0"/>
          <w:sz w:val="24"/>
          <w:szCs w:val="20"/>
          <w:lang w:val="en-AU" w:eastAsia="en-AU"/>
        </w:rPr>
        <w:t>Community Impact Analysis</w:t>
      </w:r>
    </w:p>
    <w:p w:rsidR="00DA2BC5" w:rsidRPr="00E209FB" w:rsidRDefault="00E43C72" w:rsidP="00CA4648">
      <w:pPr>
        <w:pStyle w:val="ListParagraph"/>
        <w:widowControl/>
        <w:numPr>
          <w:ilvl w:val="0"/>
          <w:numId w:val="3"/>
        </w:numPr>
        <w:spacing w:after="12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Pursuant to section 41A(2) of the Act, the CIA must provide details pertaining to:</w:t>
      </w:r>
    </w:p>
    <w:p w:rsidR="00DA2BC5" w:rsidRDefault="00E43C72" w:rsidP="00CA4648">
      <w:pPr>
        <w:numPr>
          <w:ilvl w:val="1"/>
          <w:numId w:val="3"/>
        </w:numPr>
        <w:spacing w:after="120"/>
        <w:ind w:left="1134" w:hanging="567"/>
        <w:jc w:val="left"/>
        <w:rPr>
          <w:rFonts w:ascii="Arial" w:eastAsia="Arial" w:hAnsi="Arial" w:cs="Arial"/>
        </w:rPr>
      </w:pPr>
      <w:r>
        <w:rPr>
          <w:rFonts w:ascii="Arial"/>
          <w:i/>
          <w:color w:val="0E0E0E"/>
        </w:rPr>
        <w:t>the</w:t>
      </w:r>
      <w:r>
        <w:rPr>
          <w:rFonts w:ascii="Arial"/>
          <w:i/>
          <w:color w:val="0E0E0E"/>
          <w:spacing w:val="11"/>
        </w:rPr>
        <w:t xml:space="preserve"> </w:t>
      </w:r>
      <w:r>
        <w:rPr>
          <w:rFonts w:ascii="Arial"/>
          <w:i/>
          <w:color w:val="0E0E0E"/>
        </w:rPr>
        <w:t>suitability</w:t>
      </w:r>
      <w:r>
        <w:rPr>
          <w:rFonts w:ascii="Arial"/>
          <w:i/>
          <w:color w:val="0E0E0E"/>
          <w:spacing w:val="28"/>
        </w:rPr>
        <w:t xml:space="preserve"> </w:t>
      </w:r>
      <w:r>
        <w:rPr>
          <w:rFonts w:ascii="Arial"/>
          <w:i/>
          <w:color w:val="0E0E0E"/>
        </w:rPr>
        <w:t>of</w:t>
      </w:r>
      <w:r>
        <w:rPr>
          <w:rFonts w:ascii="Arial"/>
          <w:i/>
          <w:color w:val="0E0E0E"/>
          <w:spacing w:val="10"/>
        </w:rPr>
        <w:t xml:space="preserve"> </w:t>
      </w:r>
      <w:r>
        <w:rPr>
          <w:rFonts w:ascii="Arial"/>
          <w:i/>
          <w:color w:val="0E0E0E"/>
        </w:rPr>
        <w:t>the</w:t>
      </w:r>
      <w:r>
        <w:rPr>
          <w:rFonts w:ascii="Arial"/>
          <w:i/>
          <w:color w:val="0E0E0E"/>
          <w:spacing w:val="3"/>
        </w:rPr>
        <w:t xml:space="preserve"> </w:t>
      </w:r>
      <w:r>
        <w:rPr>
          <w:rFonts w:ascii="Arial"/>
          <w:i/>
          <w:color w:val="0E0E0E"/>
        </w:rPr>
        <w:t>premises</w:t>
      </w:r>
      <w:r>
        <w:rPr>
          <w:rFonts w:ascii="Arial"/>
          <w:i/>
          <w:color w:val="0E0E0E"/>
          <w:spacing w:val="34"/>
        </w:rPr>
        <w:t xml:space="preserve"> </w:t>
      </w:r>
      <w:r>
        <w:rPr>
          <w:rFonts w:ascii="Arial"/>
          <w:i/>
          <w:color w:val="0E0E0E"/>
        </w:rPr>
        <w:t>to</w:t>
      </w:r>
      <w:r>
        <w:rPr>
          <w:rFonts w:ascii="Arial"/>
          <w:i/>
          <w:color w:val="0E0E0E"/>
          <w:spacing w:val="9"/>
        </w:rPr>
        <w:t xml:space="preserve"> </w:t>
      </w:r>
      <w:r>
        <w:rPr>
          <w:rFonts w:ascii="Arial"/>
          <w:i/>
          <w:color w:val="0E0E0E"/>
        </w:rPr>
        <w:t>which</w:t>
      </w:r>
      <w:r>
        <w:rPr>
          <w:rFonts w:ascii="Arial"/>
          <w:i/>
          <w:color w:val="0E0E0E"/>
          <w:spacing w:val="15"/>
        </w:rPr>
        <w:t xml:space="preserve"> </w:t>
      </w:r>
      <w:r>
        <w:rPr>
          <w:rFonts w:ascii="Arial"/>
          <w:i/>
          <w:color w:val="0E0E0E"/>
        </w:rPr>
        <w:t>the</w:t>
      </w:r>
      <w:r>
        <w:rPr>
          <w:rFonts w:ascii="Arial"/>
          <w:i/>
          <w:color w:val="0E0E0E"/>
          <w:spacing w:val="5"/>
        </w:rPr>
        <w:t xml:space="preserve"> </w:t>
      </w:r>
      <w:r>
        <w:rPr>
          <w:rFonts w:ascii="Arial"/>
          <w:i/>
          <w:color w:val="0E0E0E"/>
        </w:rPr>
        <w:t>application</w:t>
      </w:r>
      <w:r>
        <w:rPr>
          <w:rFonts w:ascii="Arial"/>
          <w:i/>
          <w:color w:val="0E0E0E"/>
          <w:spacing w:val="22"/>
        </w:rPr>
        <w:t xml:space="preserve"> </w:t>
      </w:r>
      <w:r>
        <w:rPr>
          <w:rFonts w:ascii="Arial"/>
          <w:i/>
          <w:color w:val="0E0E0E"/>
        </w:rPr>
        <w:t>relates</w:t>
      </w:r>
      <w:r>
        <w:rPr>
          <w:rFonts w:ascii="Arial"/>
          <w:i/>
          <w:color w:val="0E0E0E"/>
          <w:spacing w:val="16"/>
        </w:rPr>
        <w:t xml:space="preserve"> </w:t>
      </w:r>
      <w:r>
        <w:rPr>
          <w:rFonts w:ascii="Arial"/>
          <w:i/>
          <w:color w:val="0E0E0E"/>
        </w:rPr>
        <w:t>having</w:t>
      </w:r>
      <w:r>
        <w:rPr>
          <w:rFonts w:ascii="Arial"/>
          <w:i/>
          <w:color w:val="0E0E0E"/>
          <w:spacing w:val="17"/>
        </w:rPr>
        <w:t xml:space="preserve"> </w:t>
      </w:r>
      <w:r>
        <w:rPr>
          <w:rFonts w:ascii="Arial"/>
          <w:i/>
          <w:color w:val="0E0E0E"/>
        </w:rPr>
        <w:t>regard</w:t>
      </w:r>
      <w:r>
        <w:rPr>
          <w:rFonts w:ascii="Arial"/>
          <w:i/>
          <w:color w:val="0E0E0E"/>
          <w:spacing w:val="19"/>
        </w:rPr>
        <w:t xml:space="preserve"> </w:t>
      </w:r>
      <w:r>
        <w:rPr>
          <w:rFonts w:ascii="Arial"/>
          <w:i/>
          <w:color w:val="0E0E0E"/>
        </w:rPr>
        <w:t>to</w:t>
      </w:r>
      <w:r>
        <w:rPr>
          <w:rFonts w:ascii="Arial"/>
          <w:i/>
          <w:color w:val="0E0E0E"/>
          <w:spacing w:val="10"/>
        </w:rPr>
        <w:t xml:space="preserve"> </w:t>
      </w:r>
      <w:r>
        <w:rPr>
          <w:rFonts w:ascii="Arial"/>
          <w:i/>
          <w:color w:val="0E0E0E"/>
        </w:rPr>
        <w:t>the</w:t>
      </w:r>
      <w:r>
        <w:rPr>
          <w:rFonts w:ascii="Arial"/>
          <w:i/>
          <w:color w:val="0E0E0E"/>
          <w:spacing w:val="6"/>
        </w:rPr>
        <w:t xml:space="preserve"> </w:t>
      </w:r>
      <w:r>
        <w:rPr>
          <w:rFonts w:ascii="Arial"/>
          <w:i/>
          <w:color w:val="0E0E0E"/>
        </w:rPr>
        <w:t>size,</w:t>
      </w:r>
      <w:r>
        <w:rPr>
          <w:rFonts w:ascii="Arial"/>
          <w:i/>
          <w:color w:val="0E0E0E"/>
          <w:w w:val="96"/>
        </w:rPr>
        <w:t xml:space="preserve"> </w:t>
      </w:r>
      <w:r>
        <w:rPr>
          <w:rFonts w:ascii="Arial"/>
          <w:i/>
          <w:color w:val="0E0E0E"/>
        </w:rPr>
        <w:t>layout</w:t>
      </w:r>
      <w:r>
        <w:rPr>
          <w:rFonts w:ascii="Arial"/>
          <w:i/>
          <w:color w:val="0E0E0E"/>
          <w:spacing w:val="-3"/>
        </w:rPr>
        <w:t xml:space="preserve"> </w:t>
      </w:r>
      <w:r>
        <w:rPr>
          <w:rFonts w:ascii="Arial"/>
          <w:i/>
          <w:color w:val="0E0E0E"/>
        </w:rPr>
        <w:t>and</w:t>
      </w:r>
      <w:r>
        <w:rPr>
          <w:rFonts w:ascii="Arial"/>
          <w:i/>
          <w:color w:val="0E0E0E"/>
          <w:spacing w:val="-5"/>
        </w:rPr>
        <w:t xml:space="preserve"> </w:t>
      </w:r>
      <w:r>
        <w:rPr>
          <w:rFonts w:ascii="Arial"/>
          <w:i/>
          <w:color w:val="0E0E0E"/>
        </w:rPr>
        <w:t>facilities</w:t>
      </w:r>
      <w:r>
        <w:rPr>
          <w:rFonts w:ascii="Arial"/>
          <w:i/>
          <w:color w:val="0E0E0E"/>
          <w:spacing w:val="-4"/>
        </w:rPr>
        <w:t xml:space="preserve"> </w:t>
      </w:r>
      <w:r>
        <w:rPr>
          <w:rFonts w:ascii="Arial"/>
          <w:i/>
          <w:color w:val="0E0E0E"/>
        </w:rPr>
        <w:t>of</w:t>
      </w:r>
      <w:r>
        <w:rPr>
          <w:rFonts w:ascii="Arial"/>
          <w:i/>
          <w:color w:val="0E0E0E"/>
          <w:spacing w:val="-9"/>
        </w:rPr>
        <w:t xml:space="preserve"> </w:t>
      </w:r>
      <w:r>
        <w:rPr>
          <w:rFonts w:ascii="Arial"/>
          <w:i/>
          <w:color w:val="0E0E0E"/>
        </w:rPr>
        <w:t>the</w:t>
      </w:r>
      <w:r>
        <w:rPr>
          <w:rFonts w:ascii="Arial"/>
          <w:i/>
          <w:color w:val="0E0E0E"/>
          <w:spacing w:val="-15"/>
        </w:rPr>
        <w:t xml:space="preserve"> </w:t>
      </w:r>
      <w:r>
        <w:rPr>
          <w:rFonts w:ascii="Arial"/>
          <w:i/>
          <w:color w:val="0E0E0E"/>
        </w:rPr>
        <w:t>premises;</w:t>
      </w:r>
    </w:p>
    <w:p w:rsidR="00DA2BC5" w:rsidRDefault="00E43C72" w:rsidP="00CA4648">
      <w:pPr>
        <w:numPr>
          <w:ilvl w:val="0"/>
          <w:numId w:val="1"/>
        </w:numPr>
        <w:spacing w:after="120"/>
        <w:ind w:left="1134" w:hanging="567"/>
        <w:rPr>
          <w:rFonts w:ascii="Arial" w:eastAsia="Arial" w:hAnsi="Arial" w:cs="Arial"/>
        </w:rPr>
      </w:pPr>
      <w:r>
        <w:rPr>
          <w:rFonts w:ascii="Arial" w:hAnsi="Arial"/>
          <w:i/>
          <w:color w:val="0E0E0E"/>
        </w:rPr>
        <w:t>the</w:t>
      </w:r>
      <w:r>
        <w:rPr>
          <w:rFonts w:ascii="Arial" w:hAnsi="Arial"/>
          <w:i/>
          <w:color w:val="0E0E0E"/>
          <w:spacing w:val="51"/>
        </w:rPr>
        <w:t xml:space="preserve"> </w:t>
      </w:r>
      <w:r>
        <w:rPr>
          <w:rFonts w:ascii="Arial" w:hAnsi="Arial"/>
          <w:i/>
          <w:color w:val="0E0E0E"/>
        </w:rPr>
        <w:t xml:space="preserve">suitability </w:t>
      </w:r>
      <w:r>
        <w:rPr>
          <w:rFonts w:ascii="Arial" w:hAnsi="Arial"/>
          <w:i/>
          <w:color w:val="0E0E0E"/>
          <w:spacing w:val="13"/>
        </w:rPr>
        <w:t xml:space="preserve"> </w:t>
      </w:r>
      <w:r>
        <w:rPr>
          <w:rFonts w:ascii="Arial" w:hAnsi="Arial"/>
          <w:i/>
          <w:color w:val="0E0E0E"/>
        </w:rPr>
        <w:t>of</w:t>
      </w:r>
      <w:r>
        <w:rPr>
          <w:rFonts w:ascii="Arial" w:hAnsi="Arial"/>
          <w:i/>
          <w:color w:val="0E0E0E"/>
          <w:spacing w:val="49"/>
        </w:rPr>
        <w:t xml:space="preserve"> </w:t>
      </w:r>
      <w:r>
        <w:rPr>
          <w:rFonts w:ascii="Arial" w:hAnsi="Arial"/>
          <w:i/>
          <w:color w:val="0E0E0E"/>
        </w:rPr>
        <w:t>the</w:t>
      </w:r>
      <w:r>
        <w:rPr>
          <w:rFonts w:ascii="Arial" w:hAnsi="Arial"/>
          <w:i/>
          <w:color w:val="0E0E0E"/>
          <w:spacing w:val="43"/>
        </w:rPr>
        <w:t xml:space="preserve"> </w:t>
      </w:r>
      <w:r>
        <w:rPr>
          <w:rFonts w:ascii="Arial" w:hAnsi="Arial"/>
          <w:i/>
          <w:color w:val="0E0E0E"/>
        </w:rPr>
        <w:t>premises</w:t>
      </w:r>
      <w:r>
        <w:rPr>
          <w:rFonts w:ascii="Arial" w:hAnsi="Arial"/>
          <w:i/>
          <w:color w:val="383838"/>
        </w:rPr>
        <w:t>·</w:t>
      </w:r>
      <w:r>
        <w:rPr>
          <w:rFonts w:ascii="Arial" w:hAnsi="Arial"/>
          <w:i/>
          <w:color w:val="383838"/>
          <w:spacing w:val="8"/>
        </w:rPr>
        <w:t xml:space="preserve"> </w:t>
      </w:r>
      <w:r>
        <w:rPr>
          <w:rFonts w:ascii="Arial" w:hAnsi="Arial"/>
          <w:i/>
          <w:color w:val="0E0E0E"/>
        </w:rPr>
        <w:t>to</w:t>
      </w:r>
      <w:r>
        <w:rPr>
          <w:rFonts w:ascii="Arial" w:hAnsi="Arial"/>
          <w:i/>
          <w:color w:val="0E0E0E"/>
          <w:spacing w:val="52"/>
        </w:rPr>
        <w:t xml:space="preserve"> </w:t>
      </w:r>
      <w:r>
        <w:rPr>
          <w:rFonts w:ascii="Arial" w:hAnsi="Arial"/>
          <w:i/>
          <w:color w:val="0E0E0E"/>
        </w:rPr>
        <w:t>which</w:t>
      </w:r>
      <w:r>
        <w:rPr>
          <w:rFonts w:ascii="Arial" w:hAnsi="Arial"/>
          <w:i/>
          <w:color w:val="0E0E0E"/>
          <w:spacing w:val="46"/>
        </w:rPr>
        <w:t xml:space="preserve"> </w:t>
      </w:r>
      <w:r>
        <w:rPr>
          <w:rFonts w:ascii="Arial" w:hAnsi="Arial"/>
          <w:i/>
          <w:color w:val="0E0E0E"/>
        </w:rPr>
        <w:t>the</w:t>
      </w:r>
      <w:r>
        <w:rPr>
          <w:rFonts w:ascii="Arial" w:hAnsi="Arial"/>
          <w:i/>
          <w:color w:val="0E0E0E"/>
          <w:spacing w:val="48"/>
        </w:rPr>
        <w:t xml:space="preserve"> </w:t>
      </w:r>
      <w:r>
        <w:rPr>
          <w:rFonts w:ascii="Arial" w:hAnsi="Arial"/>
          <w:i/>
          <w:color w:val="0E0E0E"/>
        </w:rPr>
        <w:t>application</w:t>
      </w:r>
      <w:r>
        <w:rPr>
          <w:rFonts w:ascii="Arial" w:hAnsi="Arial"/>
          <w:i/>
          <w:color w:val="0E0E0E"/>
          <w:spacing w:val="60"/>
        </w:rPr>
        <w:t xml:space="preserve"> </w:t>
      </w:r>
      <w:r>
        <w:rPr>
          <w:rFonts w:ascii="Arial" w:hAnsi="Arial"/>
          <w:i/>
          <w:color w:val="0E0E0E"/>
        </w:rPr>
        <w:t>relates</w:t>
      </w:r>
      <w:r>
        <w:rPr>
          <w:rFonts w:ascii="Arial" w:hAnsi="Arial"/>
          <w:i/>
          <w:color w:val="0E0E0E"/>
          <w:spacing w:val="58"/>
        </w:rPr>
        <w:t xml:space="preserve"> </w:t>
      </w:r>
      <w:r>
        <w:rPr>
          <w:rFonts w:ascii="Arial" w:hAnsi="Arial"/>
          <w:i/>
          <w:color w:val="0E0E0E"/>
        </w:rPr>
        <w:t>having</w:t>
      </w:r>
      <w:r>
        <w:rPr>
          <w:rFonts w:ascii="Arial" w:hAnsi="Arial"/>
          <w:i/>
          <w:color w:val="0E0E0E"/>
          <w:spacing w:val="57"/>
        </w:rPr>
        <w:t xml:space="preserve"> </w:t>
      </w:r>
      <w:r>
        <w:rPr>
          <w:rFonts w:ascii="Arial" w:hAnsi="Arial"/>
          <w:i/>
          <w:color w:val="0E0E0E"/>
        </w:rPr>
        <w:t xml:space="preserve">regard </w:t>
      </w:r>
      <w:r>
        <w:rPr>
          <w:rFonts w:ascii="Arial" w:hAnsi="Arial"/>
          <w:i/>
          <w:color w:val="0E0E0E"/>
          <w:spacing w:val="2"/>
        </w:rPr>
        <w:t xml:space="preserve"> </w:t>
      </w:r>
      <w:r>
        <w:rPr>
          <w:rFonts w:ascii="Arial" w:hAnsi="Arial"/>
          <w:i/>
          <w:color w:val="0E0E0E"/>
        </w:rPr>
        <w:t>to</w:t>
      </w:r>
      <w:r>
        <w:rPr>
          <w:rFonts w:ascii="Arial" w:hAnsi="Arial"/>
          <w:i/>
          <w:color w:val="0E0E0E"/>
          <w:spacing w:val="47"/>
        </w:rPr>
        <w:t xml:space="preserve"> </w:t>
      </w:r>
      <w:r>
        <w:rPr>
          <w:rFonts w:ascii="Arial" w:hAnsi="Arial"/>
          <w:i/>
          <w:color w:val="0E0E0E"/>
        </w:rPr>
        <w:t>the</w:t>
      </w:r>
      <w:r>
        <w:rPr>
          <w:rFonts w:ascii="Arial" w:hAnsi="Arial"/>
          <w:i/>
          <w:color w:val="0E0E0E"/>
          <w:spacing w:val="28"/>
          <w:w w:val="98"/>
        </w:rPr>
        <w:t xml:space="preserve"> </w:t>
      </w:r>
      <w:r>
        <w:rPr>
          <w:rFonts w:ascii="Arial" w:hAnsi="Arial"/>
          <w:i/>
          <w:color w:val="0E0E0E"/>
        </w:rPr>
        <w:t>primary</w:t>
      </w:r>
      <w:r>
        <w:rPr>
          <w:rFonts w:ascii="Arial" w:hAnsi="Arial"/>
          <w:i/>
          <w:color w:val="0E0E0E"/>
          <w:spacing w:val="9"/>
        </w:rPr>
        <w:t xml:space="preserve"> </w:t>
      </w:r>
      <w:r>
        <w:rPr>
          <w:rFonts w:ascii="Arial" w:hAnsi="Arial"/>
          <w:i/>
          <w:color w:val="0E0E0E"/>
        </w:rPr>
        <w:t>activity</w:t>
      </w:r>
      <w:r>
        <w:rPr>
          <w:rFonts w:ascii="Arial" w:hAnsi="Arial"/>
          <w:i/>
          <w:color w:val="0E0E0E"/>
          <w:spacing w:val="-2"/>
        </w:rPr>
        <w:t xml:space="preserve"> </w:t>
      </w:r>
      <w:r>
        <w:rPr>
          <w:rFonts w:ascii="Arial" w:hAnsi="Arial"/>
          <w:i/>
          <w:color w:val="0E0E0E"/>
        </w:rPr>
        <w:t>conducted at</w:t>
      </w:r>
      <w:r>
        <w:rPr>
          <w:rFonts w:ascii="Arial" w:hAnsi="Arial"/>
          <w:i/>
          <w:color w:val="0E0E0E"/>
          <w:spacing w:val="-8"/>
        </w:rPr>
        <w:t xml:space="preserve"> </w:t>
      </w:r>
      <w:r>
        <w:rPr>
          <w:rFonts w:ascii="Arial" w:hAnsi="Arial"/>
          <w:i/>
          <w:color w:val="0E0E0E"/>
        </w:rPr>
        <w:t>the</w:t>
      </w:r>
      <w:r>
        <w:rPr>
          <w:rFonts w:ascii="Arial" w:hAnsi="Arial"/>
          <w:i/>
          <w:color w:val="0E0E0E"/>
          <w:spacing w:val="-16"/>
        </w:rPr>
        <w:t xml:space="preserve"> </w:t>
      </w:r>
      <w:r>
        <w:rPr>
          <w:rFonts w:ascii="Arial" w:hAnsi="Arial"/>
          <w:i/>
          <w:color w:val="0E0E0E"/>
        </w:rPr>
        <w:t>premises;</w:t>
      </w:r>
    </w:p>
    <w:p w:rsidR="00DA2BC5" w:rsidRDefault="00E43C72" w:rsidP="00CA4648">
      <w:pPr>
        <w:numPr>
          <w:ilvl w:val="0"/>
          <w:numId w:val="1"/>
        </w:numPr>
        <w:spacing w:after="120"/>
        <w:ind w:left="1134" w:hanging="567"/>
        <w:jc w:val="both"/>
        <w:rPr>
          <w:rFonts w:ascii="Arial" w:eastAsia="Arial" w:hAnsi="Arial" w:cs="Arial"/>
        </w:rPr>
      </w:pPr>
      <w:r>
        <w:rPr>
          <w:rFonts w:ascii="Arial"/>
          <w:i/>
          <w:color w:val="0E0E0E"/>
        </w:rPr>
        <w:t>the</w:t>
      </w:r>
      <w:r>
        <w:rPr>
          <w:rFonts w:ascii="Arial"/>
          <w:i/>
          <w:color w:val="0E0E0E"/>
          <w:spacing w:val="2"/>
        </w:rPr>
        <w:t xml:space="preserve"> </w:t>
      </w:r>
      <w:r>
        <w:rPr>
          <w:rFonts w:ascii="Arial"/>
          <w:i/>
          <w:color w:val="0E0E0E"/>
        </w:rPr>
        <w:t>suitability</w:t>
      </w:r>
      <w:r>
        <w:rPr>
          <w:rFonts w:ascii="Arial"/>
          <w:i/>
          <w:color w:val="0E0E0E"/>
          <w:spacing w:val="16"/>
        </w:rPr>
        <w:t xml:space="preserve"> </w:t>
      </w:r>
      <w:r>
        <w:rPr>
          <w:rFonts w:ascii="Arial"/>
          <w:i/>
          <w:color w:val="0E0E0E"/>
        </w:rPr>
        <w:t>of</w:t>
      </w:r>
      <w:r>
        <w:rPr>
          <w:rFonts w:ascii="Arial"/>
          <w:i/>
          <w:color w:val="0E0E0E"/>
          <w:spacing w:val="3"/>
        </w:rPr>
        <w:t xml:space="preserve"> </w:t>
      </w:r>
      <w:r>
        <w:rPr>
          <w:rFonts w:ascii="Arial"/>
          <w:i/>
          <w:color w:val="0E0E0E"/>
        </w:rPr>
        <w:t>the</w:t>
      </w:r>
      <w:r>
        <w:rPr>
          <w:rFonts w:ascii="Arial"/>
          <w:i/>
          <w:color w:val="0E0E0E"/>
          <w:spacing w:val="53"/>
        </w:rPr>
        <w:t xml:space="preserve"> </w:t>
      </w:r>
      <w:r>
        <w:rPr>
          <w:rFonts w:ascii="Arial"/>
          <w:i/>
          <w:color w:val="0E0E0E"/>
        </w:rPr>
        <w:t>location</w:t>
      </w:r>
      <w:r>
        <w:rPr>
          <w:rFonts w:ascii="Arial"/>
          <w:i/>
          <w:color w:val="0E0E0E"/>
          <w:spacing w:val="19"/>
        </w:rPr>
        <w:t xml:space="preserve"> </w:t>
      </w:r>
      <w:r>
        <w:rPr>
          <w:rFonts w:ascii="Arial"/>
          <w:i/>
          <w:color w:val="0E0E0E"/>
        </w:rPr>
        <w:t>to</w:t>
      </w:r>
      <w:r>
        <w:rPr>
          <w:rFonts w:ascii="Arial"/>
          <w:i/>
          <w:color w:val="0E0E0E"/>
          <w:spacing w:val="1"/>
        </w:rPr>
        <w:t xml:space="preserve"> </w:t>
      </w:r>
      <w:r>
        <w:rPr>
          <w:rFonts w:ascii="Arial"/>
          <w:i/>
          <w:color w:val="0E0E0E"/>
        </w:rPr>
        <w:t>which the</w:t>
      </w:r>
      <w:r>
        <w:rPr>
          <w:rFonts w:ascii="Arial"/>
          <w:i/>
          <w:color w:val="0E0E0E"/>
          <w:spacing w:val="4"/>
        </w:rPr>
        <w:t xml:space="preserve"> </w:t>
      </w:r>
      <w:r>
        <w:rPr>
          <w:rFonts w:ascii="Arial"/>
          <w:i/>
          <w:color w:val="0E0E0E"/>
        </w:rPr>
        <w:t>application</w:t>
      </w:r>
      <w:r>
        <w:rPr>
          <w:rFonts w:ascii="Arial"/>
          <w:i/>
          <w:color w:val="0E0E0E"/>
          <w:spacing w:val="10"/>
        </w:rPr>
        <w:t xml:space="preserve"> </w:t>
      </w:r>
      <w:r>
        <w:rPr>
          <w:rFonts w:ascii="Arial"/>
          <w:i/>
          <w:color w:val="0E0E0E"/>
        </w:rPr>
        <w:t>relates</w:t>
      </w:r>
      <w:r>
        <w:rPr>
          <w:rFonts w:ascii="Arial"/>
          <w:i/>
          <w:color w:val="0E0E0E"/>
          <w:spacing w:val="8"/>
        </w:rPr>
        <w:t xml:space="preserve"> </w:t>
      </w:r>
      <w:r>
        <w:rPr>
          <w:rFonts w:ascii="Arial"/>
          <w:i/>
          <w:color w:val="0E0E0E"/>
        </w:rPr>
        <w:t>having</w:t>
      </w:r>
      <w:r>
        <w:rPr>
          <w:rFonts w:ascii="Arial"/>
          <w:i/>
          <w:color w:val="0E0E0E"/>
          <w:spacing w:val="4"/>
        </w:rPr>
        <w:t xml:space="preserve"> </w:t>
      </w:r>
      <w:r>
        <w:rPr>
          <w:rFonts w:ascii="Arial"/>
          <w:i/>
          <w:color w:val="0E0E0E"/>
        </w:rPr>
        <w:t>regard</w:t>
      </w:r>
      <w:r>
        <w:rPr>
          <w:rFonts w:ascii="Arial"/>
          <w:i/>
          <w:color w:val="0E0E0E"/>
          <w:spacing w:val="13"/>
        </w:rPr>
        <w:t xml:space="preserve"> </w:t>
      </w:r>
      <w:r>
        <w:rPr>
          <w:rFonts w:ascii="Arial"/>
          <w:i/>
          <w:color w:val="0E0E0E"/>
        </w:rPr>
        <w:t>to</w:t>
      </w:r>
      <w:r>
        <w:rPr>
          <w:rFonts w:ascii="Arial"/>
          <w:i/>
          <w:color w:val="0E0E0E"/>
          <w:spacing w:val="58"/>
        </w:rPr>
        <w:t xml:space="preserve"> </w:t>
      </w:r>
      <w:r>
        <w:rPr>
          <w:rFonts w:ascii="Arial"/>
          <w:i/>
          <w:color w:val="0E0E0E"/>
        </w:rPr>
        <w:t>the</w:t>
      </w:r>
      <w:r>
        <w:rPr>
          <w:rFonts w:ascii="Arial"/>
          <w:i/>
          <w:color w:val="0E0E0E"/>
          <w:w w:val="98"/>
        </w:rPr>
        <w:t xml:space="preserve"> </w:t>
      </w:r>
      <w:r>
        <w:rPr>
          <w:rFonts w:ascii="Arial"/>
          <w:i/>
          <w:color w:val="0E0E0E"/>
        </w:rPr>
        <w:t>population</w:t>
      </w:r>
      <w:r>
        <w:rPr>
          <w:rFonts w:ascii="Arial"/>
          <w:i/>
          <w:color w:val="0E0E0E"/>
          <w:spacing w:val="46"/>
        </w:rPr>
        <w:t xml:space="preserve"> </w:t>
      </w:r>
      <w:r>
        <w:rPr>
          <w:rFonts w:ascii="Arial"/>
          <w:i/>
          <w:color w:val="0E0E0E"/>
        </w:rPr>
        <w:t>of</w:t>
      </w:r>
      <w:r>
        <w:rPr>
          <w:rFonts w:ascii="Arial"/>
          <w:i/>
          <w:color w:val="0E0E0E"/>
          <w:spacing w:val="18"/>
        </w:rPr>
        <w:t xml:space="preserve"> </w:t>
      </w:r>
      <w:r>
        <w:rPr>
          <w:rFonts w:ascii="Arial"/>
          <w:i/>
          <w:color w:val="0E0E0E"/>
        </w:rPr>
        <w:t>the</w:t>
      </w:r>
      <w:r>
        <w:rPr>
          <w:rFonts w:ascii="Arial"/>
          <w:i/>
          <w:color w:val="0E0E0E"/>
          <w:spacing w:val="12"/>
        </w:rPr>
        <w:t xml:space="preserve"> </w:t>
      </w:r>
      <w:r>
        <w:rPr>
          <w:rFonts w:ascii="Arial"/>
          <w:i/>
          <w:color w:val="0E0E0E"/>
        </w:rPr>
        <w:t>local</w:t>
      </w:r>
      <w:r>
        <w:rPr>
          <w:rFonts w:ascii="Arial"/>
          <w:i/>
          <w:color w:val="0E0E0E"/>
          <w:spacing w:val="22"/>
        </w:rPr>
        <w:t xml:space="preserve"> </w:t>
      </w:r>
      <w:r>
        <w:rPr>
          <w:rFonts w:ascii="Arial"/>
          <w:i/>
          <w:color w:val="0E0E0E"/>
        </w:rPr>
        <w:t>area,</w:t>
      </w:r>
      <w:r>
        <w:rPr>
          <w:rFonts w:ascii="Arial"/>
          <w:i/>
          <w:color w:val="0E0E0E"/>
          <w:spacing w:val="18"/>
        </w:rPr>
        <w:t xml:space="preserve"> </w:t>
      </w:r>
      <w:r>
        <w:rPr>
          <w:rFonts w:ascii="Arial"/>
          <w:i/>
          <w:color w:val="0E0E0E"/>
        </w:rPr>
        <w:t>the</w:t>
      </w:r>
      <w:r>
        <w:rPr>
          <w:rFonts w:ascii="Arial"/>
          <w:i/>
          <w:color w:val="0E0E0E"/>
          <w:spacing w:val="10"/>
        </w:rPr>
        <w:t xml:space="preserve"> </w:t>
      </w:r>
      <w:r>
        <w:rPr>
          <w:rFonts w:ascii="Arial"/>
          <w:i/>
          <w:color w:val="0E0E0E"/>
        </w:rPr>
        <w:t>proximity</w:t>
      </w:r>
      <w:r>
        <w:rPr>
          <w:rFonts w:ascii="Arial"/>
          <w:i/>
          <w:color w:val="0E0E0E"/>
          <w:spacing w:val="37"/>
        </w:rPr>
        <w:t xml:space="preserve"> </w:t>
      </w:r>
      <w:r>
        <w:rPr>
          <w:rFonts w:ascii="Arial"/>
          <w:i/>
          <w:color w:val="0E0E0E"/>
        </w:rPr>
        <w:t>of</w:t>
      </w:r>
      <w:r>
        <w:rPr>
          <w:rFonts w:ascii="Arial"/>
          <w:i/>
          <w:color w:val="0E0E0E"/>
          <w:spacing w:val="15"/>
        </w:rPr>
        <w:t xml:space="preserve"> </w:t>
      </w:r>
      <w:r>
        <w:rPr>
          <w:rFonts w:ascii="Arial"/>
          <w:i/>
          <w:color w:val="0E0E0E"/>
        </w:rPr>
        <w:t>the</w:t>
      </w:r>
      <w:r>
        <w:rPr>
          <w:rFonts w:ascii="Arial"/>
          <w:i/>
          <w:color w:val="0E0E0E"/>
          <w:spacing w:val="3"/>
        </w:rPr>
        <w:t xml:space="preserve"> </w:t>
      </w:r>
      <w:r>
        <w:rPr>
          <w:rFonts w:ascii="Arial"/>
          <w:i/>
          <w:color w:val="0E0E0E"/>
        </w:rPr>
        <w:t>premises</w:t>
      </w:r>
      <w:r>
        <w:rPr>
          <w:rFonts w:ascii="Arial"/>
          <w:i/>
          <w:color w:val="0E0E0E"/>
          <w:spacing w:val="42"/>
        </w:rPr>
        <w:t xml:space="preserve"> </w:t>
      </w:r>
      <w:r>
        <w:rPr>
          <w:rFonts w:ascii="Arial"/>
          <w:i/>
          <w:color w:val="0E0E0E"/>
        </w:rPr>
        <w:t>to</w:t>
      </w:r>
      <w:r>
        <w:rPr>
          <w:rFonts w:ascii="Arial"/>
          <w:i/>
          <w:color w:val="0E0E0E"/>
          <w:spacing w:val="9"/>
        </w:rPr>
        <w:t xml:space="preserve"> </w:t>
      </w:r>
      <w:r>
        <w:rPr>
          <w:rFonts w:ascii="Arial"/>
          <w:i/>
          <w:color w:val="0E0E0E"/>
        </w:rPr>
        <w:t>other</w:t>
      </w:r>
      <w:r>
        <w:rPr>
          <w:rFonts w:ascii="Arial"/>
          <w:i/>
          <w:color w:val="0E0E0E"/>
          <w:spacing w:val="31"/>
        </w:rPr>
        <w:t xml:space="preserve"> </w:t>
      </w:r>
      <w:r>
        <w:rPr>
          <w:rFonts w:ascii="Arial"/>
          <w:i/>
          <w:color w:val="0E0E0E"/>
        </w:rPr>
        <w:t>gaming</w:t>
      </w:r>
      <w:r>
        <w:rPr>
          <w:rFonts w:ascii="Arial"/>
          <w:i/>
          <w:color w:val="0E0E0E"/>
          <w:spacing w:val="34"/>
        </w:rPr>
        <w:t xml:space="preserve"> </w:t>
      </w:r>
      <w:r>
        <w:rPr>
          <w:rFonts w:ascii="Arial"/>
          <w:i/>
          <w:color w:val="0E0E0E"/>
        </w:rPr>
        <w:t>venues</w:t>
      </w:r>
      <w:r>
        <w:rPr>
          <w:rFonts w:ascii="Arial"/>
          <w:i/>
          <w:color w:val="0E0E0E"/>
          <w:spacing w:val="17"/>
        </w:rPr>
        <w:t xml:space="preserve"> </w:t>
      </w:r>
      <w:r>
        <w:rPr>
          <w:rFonts w:ascii="Arial"/>
          <w:i/>
          <w:color w:val="0E0E0E"/>
        </w:rPr>
        <w:t>and the</w:t>
      </w:r>
      <w:r>
        <w:rPr>
          <w:rFonts w:ascii="Arial"/>
          <w:i/>
          <w:color w:val="0E0E0E"/>
          <w:spacing w:val="-14"/>
        </w:rPr>
        <w:t xml:space="preserve"> </w:t>
      </w:r>
      <w:r>
        <w:rPr>
          <w:rFonts w:ascii="Arial"/>
          <w:i/>
          <w:color w:val="0E0E0E"/>
        </w:rPr>
        <w:t>proximity</w:t>
      </w:r>
      <w:r>
        <w:rPr>
          <w:rFonts w:ascii="Arial"/>
          <w:i/>
          <w:color w:val="0E0E0E"/>
          <w:spacing w:val="21"/>
        </w:rPr>
        <w:t xml:space="preserve"> </w:t>
      </w:r>
      <w:r>
        <w:rPr>
          <w:rFonts w:ascii="Arial"/>
          <w:i/>
          <w:color w:val="0E0E0E"/>
        </w:rPr>
        <w:t>of</w:t>
      </w:r>
      <w:r>
        <w:rPr>
          <w:rFonts w:ascii="Arial"/>
          <w:i/>
          <w:color w:val="0E0E0E"/>
          <w:spacing w:val="4"/>
        </w:rPr>
        <w:t xml:space="preserve"> </w:t>
      </w:r>
      <w:r>
        <w:rPr>
          <w:rFonts w:ascii="Arial"/>
          <w:i/>
          <w:color w:val="0E0E0E"/>
        </w:rPr>
        <w:t>the</w:t>
      </w:r>
      <w:r>
        <w:rPr>
          <w:rFonts w:ascii="Arial"/>
          <w:i/>
          <w:color w:val="0E0E0E"/>
          <w:spacing w:val="-12"/>
        </w:rPr>
        <w:t xml:space="preserve"> </w:t>
      </w:r>
      <w:r>
        <w:rPr>
          <w:rFonts w:ascii="Arial"/>
          <w:i/>
          <w:color w:val="0E0E0E"/>
        </w:rPr>
        <w:t>premises</w:t>
      </w:r>
      <w:r>
        <w:rPr>
          <w:rFonts w:ascii="Arial"/>
          <w:i/>
          <w:color w:val="0E0E0E"/>
          <w:spacing w:val="21"/>
        </w:rPr>
        <w:t xml:space="preserve"> </w:t>
      </w:r>
      <w:r>
        <w:rPr>
          <w:rFonts w:ascii="Arial"/>
          <w:i/>
          <w:color w:val="0E0E0E"/>
        </w:rPr>
        <w:t>to</w:t>
      </w:r>
      <w:r>
        <w:rPr>
          <w:rFonts w:ascii="Arial"/>
          <w:i/>
          <w:color w:val="0E0E0E"/>
          <w:spacing w:val="-10"/>
        </w:rPr>
        <w:t xml:space="preserve"> </w:t>
      </w:r>
      <w:r>
        <w:rPr>
          <w:rFonts w:ascii="Arial"/>
          <w:i/>
          <w:color w:val="0E0E0E"/>
        </w:rPr>
        <w:t>sensitive</w:t>
      </w:r>
      <w:r>
        <w:rPr>
          <w:rFonts w:ascii="Arial"/>
          <w:i/>
          <w:color w:val="0E0E0E"/>
          <w:spacing w:val="5"/>
        </w:rPr>
        <w:t xml:space="preserve"> </w:t>
      </w:r>
      <w:r>
        <w:rPr>
          <w:rFonts w:ascii="Arial"/>
          <w:i/>
          <w:color w:val="0E0E0E"/>
        </w:rPr>
        <w:t>areas</w:t>
      </w:r>
      <w:r>
        <w:rPr>
          <w:rFonts w:ascii="Arial"/>
          <w:i/>
          <w:color w:val="0E0E0E"/>
          <w:spacing w:val="-3"/>
        </w:rPr>
        <w:t xml:space="preserve"> </w:t>
      </w:r>
      <w:r>
        <w:rPr>
          <w:rFonts w:ascii="Arial"/>
          <w:i/>
          <w:color w:val="0E0E0E"/>
        </w:rPr>
        <w:t xml:space="preserve">such </w:t>
      </w:r>
      <w:r>
        <w:rPr>
          <w:rFonts w:ascii="Arial"/>
          <w:color w:val="0E0E0E"/>
        </w:rPr>
        <w:t>as</w:t>
      </w:r>
      <w:r>
        <w:rPr>
          <w:rFonts w:ascii="Arial"/>
          <w:color w:val="0E0E0E"/>
          <w:spacing w:val="-13"/>
        </w:rPr>
        <w:t xml:space="preserve"> </w:t>
      </w:r>
      <w:r>
        <w:rPr>
          <w:rFonts w:ascii="Arial"/>
          <w:i/>
          <w:color w:val="0E0E0E"/>
        </w:rPr>
        <w:t>schools,</w:t>
      </w:r>
      <w:r>
        <w:rPr>
          <w:rFonts w:ascii="Arial"/>
          <w:i/>
          <w:color w:val="0E0E0E"/>
          <w:spacing w:val="12"/>
        </w:rPr>
        <w:t xml:space="preserve"> </w:t>
      </w:r>
      <w:r>
        <w:rPr>
          <w:rFonts w:ascii="Arial"/>
          <w:i/>
          <w:color w:val="0E0E0E"/>
        </w:rPr>
        <w:t>shopping</w:t>
      </w:r>
      <w:r>
        <w:rPr>
          <w:rFonts w:ascii="Arial"/>
          <w:i/>
          <w:color w:val="0E0E0E"/>
          <w:spacing w:val="9"/>
        </w:rPr>
        <w:t xml:space="preserve"> </w:t>
      </w:r>
      <w:r>
        <w:rPr>
          <w:rFonts w:ascii="Arial"/>
          <w:i/>
          <w:color w:val="0E0E0E"/>
        </w:rPr>
        <w:t>centres,</w:t>
      </w:r>
      <w:r>
        <w:rPr>
          <w:rFonts w:ascii="Arial"/>
          <w:i/>
          <w:color w:val="0E0E0E"/>
          <w:spacing w:val="5"/>
        </w:rPr>
        <w:t xml:space="preserve"> </w:t>
      </w:r>
      <w:r>
        <w:rPr>
          <w:rFonts w:ascii="Arial"/>
          <w:i/>
          <w:color w:val="0E0E0E"/>
        </w:rPr>
        <w:t>other</w:t>
      </w:r>
      <w:r>
        <w:rPr>
          <w:rFonts w:ascii="Arial"/>
          <w:i/>
          <w:color w:val="0E0E0E"/>
          <w:w w:val="96"/>
        </w:rPr>
        <w:t xml:space="preserve"> </w:t>
      </w:r>
      <w:r>
        <w:rPr>
          <w:rFonts w:ascii="Arial"/>
          <w:i/>
          <w:color w:val="0E0E0E"/>
        </w:rPr>
        <w:t>community</w:t>
      </w:r>
      <w:r>
        <w:rPr>
          <w:rFonts w:ascii="Arial"/>
          <w:i/>
          <w:color w:val="0E0E0E"/>
          <w:spacing w:val="6"/>
        </w:rPr>
        <w:t xml:space="preserve"> </w:t>
      </w:r>
      <w:r>
        <w:rPr>
          <w:rFonts w:ascii="Arial"/>
          <w:i/>
          <w:color w:val="0E0E0E"/>
        </w:rPr>
        <w:t>congregation</w:t>
      </w:r>
      <w:r>
        <w:rPr>
          <w:rFonts w:ascii="Arial"/>
          <w:i/>
          <w:color w:val="0E0E0E"/>
          <w:spacing w:val="-1"/>
        </w:rPr>
        <w:t xml:space="preserve"> </w:t>
      </w:r>
      <w:r>
        <w:rPr>
          <w:rFonts w:ascii="Arial"/>
          <w:i/>
          <w:color w:val="0E0E0E"/>
        </w:rPr>
        <w:t>facilities,</w:t>
      </w:r>
      <w:r>
        <w:rPr>
          <w:rFonts w:ascii="Arial"/>
          <w:i/>
          <w:color w:val="0E0E0E"/>
          <w:spacing w:val="6"/>
        </w:rPr>
        <w:t xml:space="preserve"> </w:t>
      </w:r>
      <w:r>
        <w:rPr>
          <w:rFonts w:ascii="Arial"/>
          <w:i/>
          <w:color w:val="0E0E0E"/>
        </w:rPr>
        <w:t>welfare</w:t>
      </w:r>
      <w:r>
        <w:rPr>
          <w:rFonts w:ascii="Arial"/>
          <w:i/>
          <w:color w:val="0E0E0E"/>
          <w:spacing w:val="-10"/>
        </w:rPr>
        <w:t xml:space="preserve"> </w:t>
      </w:r>
      <w:r>
        <w:rPr>
          <w:rFonts w:ascii="Arial"/>
          <w:i/>
          <w:color w:val="0E0E0E"/>
        </w:rPr>
        <w:t>agencies,</w:t>
      </w:r>
      <w:r>
        <w:rPr>
          <w:rFonts w:ascii="Arial"/>
          <w:i/>
          <w:color w:val="0E0E0E"/>
          <w:spacing w:val="4"/>
        </w:rPr>
        <w:t xml:space="preserve"> </w:t>
      </w:r>
      <w:r>
        <w:rPr>
          <w:rFonts w:ascii="Arial"/>
          <w:i/>
          <w:color w:val="0E0E0E"/>
        </w:rPr>
        <w:t>banks</w:t>
      </w:r>
      <w:r>
        <w:rPr>
          <w:rFonts w:ascii="Arial"/>
          <w:i/>
          <w:color w:val="0E0E0E"/>
          <w:spacing w:val="-1"/>
        </w:rPr>
        <w:t xml:space="preserve"> </w:t>
      </w:r>
      <w:r>
        <w:rPr>
          <w:rFonts w:ascii="Arial"/>
          <w:i/>
          <w:color w:val="0E0E0E"/>
        </w:rPr>
        <w:t>and</w:t>
      </w:r>
      <w:r>
        <w:rPr>
          <w:rFonts w:ascii="Arial"/>
          <w:i/>
          <w:color w:val="0E0E0E"/>
          <w:spacing w:val="-15"/>
        </w:rPr>
        <w:t xml:space="preserve"> </w:t>
      </w:r>
      <w:r>
        <w:rPr>
          <w:rFonts w:ascii="Arial"/>
          <w:i/>
          <w:color w:val="0E0E0E"/>
        </w:rPr>
        <w:t>pawn</w:t>
      </w:r>
      <w:r>
        <w:rPr>
          <w:rFonts w:ascii="Arial"/>
          <w:i/>
          <w:color w:val="0E0E0E"/>
          <w:spacing w:val="1"/>
        </w:rPr>
        <w:t xml:space="preserve"> </w:t>
      </w:r>
      <w:r>
        <w:rPr>
          <w:rFonts w:ascii="Arial"/>
          <w:i/>
          <w:color w:val="0E0E0E"/>
        </w:rPr>
        <w:t>brokers;</w:t>
      </w:r>
    </w:p>
    <w:p w:rsidR="00E209FB" w:rsidRPr="00E209FB" w:rsidRDefault="00E43C72" w:rsidP="00CA4648">
      <w:pPr>
        <w:numPr>
          <w:ilvl w:val="0"/>
          <w:numId w:val="1"/>
        </w:numPr>
        <w:spacing w:after="120"/>
        <w:ind w:left="1134" w:hanging="567"/>
        <w:rPr>
          <w:rFonts w:ascii="Arial" w:eastAsia="Arial" w:hAnsi="Arial" w:cs="Arial"/>
        </w:rPr>
      </w:pPr>
      <w:r w:rsidRPr="00E209FB">
        <w:rPr>
          <w:rFonts w:ascii="Arial"/>
          <w:i/>
          <w:color w:val="0E0E0E"/>
        </w:rPr>
        <w:t>the</w:t>
      </w:r>
      <w:r w:rsidRPr="00E209FB">
        <w:rPr>
          <w:rFonts w:ascii="Arial"/>
          <w:i/>
          <w:color w:val="0E0E0E"/>
          <w:spacing w:val="26"/>
        </w:rPr>
        <w:t xml:space="preserve"> </w:t>
      </w:r>
      <w:r w:rsidRPr="00E209FB">
        <w:rPr>
          <w:rFonts w:ascii="Arial"/>
          <w:i/>
          <w:color w:val="0E0E0E"/>
        </w:rPr>
        <w:t>appropriateness</w:t>
      </w:r>
      <w:r w:rsidRPr="00E209FB">
        <w:rPr>
          <w:rFonts w:ascii="Arial"/>
          <w:i/>
          <w:color w:val="0E0E0E"/>
          <w:spacing w:val="53"/>
        </w:rPr>
        <w:t xml:space="preserve"> </w:t>
      </w:r>
      <w:r w:rsidRPr="00E209FB">
        <w:rPr>
          <w:rFonts w:ascii="Arial"/>
          <w:i/>
          <w:color w:val="0E0E0E"/>
        </w:rPr>
        <w:t>of</w:t>
      </w:r>
      <w:r w:rsidRPr="00E209FB">
        <w:rPr>
          <w:rFonts w:ascii="Arial"/>
          <w:i/>
          <w:color w:val="0E0E0E"/>
          <w:spacing w:val="16"/>
        </w:rPr>
        <w:t xml:space="preserve"> </w:t>
      </w:r>
      <w:r w:rsidRPr="00E209FB">
        <w:rPr>
          <w:rFonts w:ascii="Arial"/>
          <w:i/>
          <w:color w:val="0E0E0E"/>
        </w:rPr>
        <w:t>problem</w:t>
      </w:r>
      <w:r w:rsidRPr="00E209FB">
        <w:rPr>
          <w:rFonts w:ascii="Arial"/>
          <w:i/>
          <w:color w:val="0E0E0E"/>
          <w:spacing w:val="46"/>
        </w:rPr>
        <w:t xml:space="preserve"> </w:t>
      </w:r>
      <w:r w:rsidRPr="00E209FB">
        <w:rPr>
          <w:rFonts w:ascii="Arial"/>
          <w:i/>
          <w:color w:val="0E0E0E"/>
        </w:rPr>
        <w:t>gambling</w:t>
      </w:r>
      <w:r w:rsidRPr="00E209FB">
        <w:rPr>
          <w:rFonts w:ascii="Arial"/>
          <w:i/>
          <w:color w:val="0E0E0E"/>
          <w:spacing w:val="41"/>
        </w:rPr>
        <w:t xml:space="preserve"> </w:t>
      </w:r>
      <w:r w:rsidRPr="00E209FB">
        <w:rPr>
          <w:rFonts w:ascii="Arial"/>
          <w:i/>
          <w:color w:val="0E0E0E"/>
        </w:rPr>
        <w:t>risk</w:t>
      </w:r>
      <w:r w:rsidRPr="00E209FB">
        <w:rPr>
          <w:rFonts w:ascii="Arial"/>
          <w:i/>
          <w:color w:val="0E0E0E"/>
          <w:spacing w:val="31"/>
        </w:rPr>
        <w:t xml:space="preserve"> </w:t>
      </w:r>
      <w:r w:rsidRPr="00E209FB">
        <w:rPr>
          <w:rFonts w:ascii="Arial"/>
          <w:i/>
          <w:color w:val="0E0E0E"/>
        </w:rPr>
        <w:t>management</w:t>
      </w:r>
      <w:r w:rsidRPr="00E209FB">
        <w:rPr>
          <w:rFonts w:ascii="Arial"/>
          <w:i/>
          <w:color w:val="0E0E0E"/>
          <w:spacing w:val="52"/>
        </w:rPr>
        <w:t xml:space="preserve"> </w:t>
      </w:r>
      <w:r w:rsidRPr="00E209FB">
        <w:rPr>
          <w:rFonts w:ascii="Arial"/>
          <w:i/>
          <w:color w:val="0E0E0E"/>
        </w:rPr>
        <w:t>and</w:t>
      </w:r>
      <w:r w:rsidRPr="00E209FB">
        <w:rPr>
          <w:rFonts w:ascii="Arial"/>
          <w:i/>
          <w:color w:val="0E0E0E"/>
          <w:spacing w:val="26"/>
        </w:rPr>
        <w:t xml:space="preserve"> </w:t>
      </w:r>
      <w:r w:rsidRPr="00E209FB">
        <w:rPr>
          <w:rFonts w:ascii="Arial"/>
          <w:i/>
          <w:color w:val="0E0E0E"/>
        </w:rPr>
        <w:t>responsible</w:t>
      </w:r>
      <w:r w:rsidRPr="00E209FB">
        <w:rPr>
          <w:rFonts w:ascii="Arial"/>
          <w:i/>
          <w:color w:val="0E0E0E"/>
          <w:spacing w:val="44"/>
        </w:rPr>
        <w:t xml:space="preserve"> </w:t>
      </w:r>
      <w:r w:rsidRPr="00E209FB">
        <w:rPr>
          <w:rFonts w:ascii="Arial"/>
          <w:i/>
          <w:color w:val="0E0E0E"/>
        </w:rPr>
        <w:t>gambling</w:t>
      </w:r>
      <w:r w:rsidRPr="00E209FB">
        <w:rPr>
          <w:rFonts w:ascii="Arial"/>
          <w:i/>
          <w:color w:val="0E0E0E"/>
          <w:w w:val="98"/>
        </w:rPr>
        <w:t xml:space="preserve"> </w:t>
      </w:r>
      <w:r w:rsidRPr="00E209FB">
        <w:rPr>
          <w:rFonts w:ascii="Arial"/>
          <w:i/>
          <w:color w:val="0E0E0E"/>
        </w:rPr>
        <w:t>strategies;</w:t>
      </w:r>
    </w:p>
    <w:p w:rsidR="00DA2BC5" w:rsidRPr="00E209FB" w:rsidRDefault="00E43C72" w:rsidP="00CA4648">
      <w:pPr>
        <w:numPr>
          <w:ilvl w:val="0"/>
          <w:numId w:val="1"/>
        </w:numPr>
        <w:spacing w:after="240"/>
        <w:ind w:left="1134" w:hanging="567"/>
        <w:rPr>
          <w:rFonts w:ascii="Arial" w:eastAsia="Arial" w:hAnsi="Arial" w:cs="Arial"/>
        </w:rPr>
      </w:pPr>
      <w:r w:rsidRPr="00E209FB">
        <w:rPr>
          <w:rFonts w:ascii="Arial"/>
          <w:i/>
          <w:color w:val="0E0E0E"/>
        </w:rPr>
        <w:t>economic</w:t>
      </w:r>
      <w:r w:rsidRPr="00E209FB">
        <w:rPr>
          <w:rFonts w:ascii="Arial"/>
          <w:i/>
          <w:color w:val="0E0E0E"/>
          <w:spacing w:val="27"/>
        </w:rPr>
        <w:t xml:space="preserve"> </w:t>
      </w:r>
      <w:r w:rsidRPr="00E209FB">
        <w:rPr>
          <w:rFonts w:ascii="Arial"/>
          <w:i/>
          <w:color w:val="0E0E0E"/>
        </w:rPr>
        <w:t>impact</w:t>
      </w:r>
      <w:r w:rsidRPr="00E209FB">
        <w:rPr>
          <w:rFonts w:ascii="Arial"/>
          <w:i/>
          <w:color w:val="0E0E0E"/>
          <w:spacing w:val="29"/>
        </w:rPr>
        <w:t xml:space="preserve"> </w:t>
      </w:r>
      <w:r w:rsidRPr="00E209FB">
        <w:rPr>
          <w:rFonts w:ascii="Arial"/>
          <w:i/>
          <w:color w:val="0E0E0E"/>
        </w:rPr>
        <w:t>of</w:t>
      </w:r>
      <w:r w:rsidRPr="00E209FB">
        <w:rPr>
          <w:rFonts w:ascii="Arial"/>
          <w:i/>
          <w:color w:val="0E0E0E"/>
          <w:spacing w:val="20"/>
        </w:rPr>
        <w:t xml:space="preserve"> </w:t>
      </w:r>
      <w:r w:rsidRPr="00E209FB">
        <w:rPr>
          <w:rFonts w:ascii="Arial"/>
          <w:i/>
          <w:color w:val="0E0E0E"/>
        </w:rPr>
        <w:t>the</w:t>
      </w:r>
      <w:r w:rsidRPr="00E209FB">
        <w:rPr>
          <w:rFonts w:ascii="Arial"/>
          <w:i/>
          <w:color w:val="0E0E0E"/>
          <w:spacing w:val="5"/>
        </w:rPr>
        <w:t xml:space="preserve"> </w:t>
      </w:r>
      <w:r w:rsidRPr="00E209FB">
        <w:rPr>
          <w:rFonts w:ascii="Arial"/>
          <w:i/>
          <w:color w:val="0E0E0E"/>
        </w:rPr>
        <w:t>proposal</w:t>
      </w:r>
      <w:r w:rsidRPr="00E209FB">
        <w:rPr>
          <w:rFonts w:ascii="Arial"/>
          <w:i/>
          <w:color w:val="0E0E0E"/>
          <w:spacing w:val="36"/>
        </w:rPr>
        <w:t xml:space="preserve"> </w:t>
      </w:r>
      <w:r w:rsidRPr="00E209FB">
        <w:rPr>
          <w:rFonts w:ascii="Arial"/>
          <w:i/>
          <w:color w:val="0E0E0E"/>
        </w:rPr>
        <w:t>including</w:t>
      </w:r>
      <w:r w:rsidRPr="00E209FB">
        <w:rPr>
          <w:rFonts w:ascii="Arial"/>
          <w:i/>
          <w:color w:val="0E0E0E"/>
          <w:spacing w:val="34"/>
        </w:rPr>
        <w:t xml:space="preserve"> </w:t>
      </w:r>
      <w:r w:rsidRPr="00E209FB">
        <w:rPr>
          <w:rFonts w:ascii="Arial"/>
          <w:i/>
          <w:color w:val="0E0E0E"/>
        </w:rPr>
        <w:t>contribution</w:t>
      </w:r>
      <w:r w:rsidRPr="00E209FB">
        <w:rPr>
          <w:rFonts w:ascii="Arial"/>
          <w:i/>
          <w:color w:val="0E0E0E"/>
          <w:spacing w:val="31"/>
        </w:rPr>
        <w:t xml:space="preserve"> </w:t>
      </w:r>
      <w:r w:rsidRPr="00E209FB">
        <w:rPr>
          <w:rFonts w:ascii="Arial"/>
          <w:i/>
          <w:color w:val="0E0E0E"/>
        </w:rPr>
        <w:t>to</w:t>
      </w:r>
      <w:r w:rsidRPr="00E209FB">
        <w:rPr>
          <w:rFonts w:ascii="Arial"/>
          <w:i/>
          <w:color w:val="0E0E0E"/>
          <w:spacing w:val="16"/>
        </w:rPr>
        <w:t xml:space="preserve"> </w:t>
      </w:r>
      <w:r w:rsidRPr="00E209FB">
        <w:rPr>
          <w:rFonts w:ascii="Arial"/>
          <w:i/>
          <w:color w:val="0E0E0E"/>
        </w:rPr>
        <w:t>the</w:t>
      </w:r>
      <w:r w:rsidRPr="00E209FB">
        <w:rPr>
          <w:rFonts w:ascii="Arial"/>
          <w:i/>
          <w:color w:val="0E0E0E"/>
          <w:spacing w:val="20"/>
        </w:rPr>
        <w:t xml:space="preserve"> </w:t>
      </w:r>
      <w:r w:rsidRPr="00E209FB">
        <w:rPr>
          <w:rFonts w:ascii="Arial"/>
          <w:i/>
          <w:color w:val="0E0E0E"/>
        </w:rPr>
        <w:t>community,</w:t>
      </w:r>
      <w:r w:rsidRPr="00E209FB">
        <w:rPr>
          <w:rFonts w:ascii="Arial"/>
          <w:i/>
          <w:color w:val="0E0E0E"/>
          <w:spacing w:val="43"/>
        </w:rPr>
        <w:t xml:space="preserve"> </w:t>
      </w:r>
      <w:r w:rsidRPr="00E209FB">
        <w:rPr>
          <w:rFonts w:ascii="Arial"/>
          <w:i/>
          <w:color w:val="0E0E0E"/>
        </w:rPr>
        <w:t>employment creation</w:t>
      </w:r>
      <w:r w:rsidRPr="00E209FB">
        <w:rPr>
          <w:rFonts w:ascii="Arial"/>
          <w:i/>
          <w:color w:val="0E0E0E"/>
          <w:spacing w:val="-2"/>
        </w:rPr>
        <w:t xml:space="preserve"> </w:t>
      </w:r>
      <w:r w:rsidRPr="00E209FB">
        <w:rPr>
          <w:rFonts w:ascii="Arial"/>
          <w:i/>
          <w:color w:val="0E0E0E"/>
        </w:rPr>
        <w:t>and</w:t>
      </w:r>
      <w:r w:rsidRPr="00E209FB">
        <w:rPr>
          <w:rFonts w:ascii="Arial"/>
          <w:i/>
          <w:color w:val="0E0E0E"/>
          <w:spacing w:val="-11"/>
        </w:rPr>
        <w:t xml:space="preserve"> </w:t>
      </w:r>
      <w:r w:rsidRPr="00E209FB">
        <w:rPr>
          <w:rFonts w:ascii="Arial"/>
          <w:i/>
          <w:color w:val="0E0E0E"/>
        </w:rPr>
        <w:t>significance</w:t>
      </w:r>
      <w:r w:rsidRPr="00E209FB">
        <w:rPr>
          <w:rFonts w:ascii="Arial"/>
          <w:i/>
          <w:color w:val="0E0E0E"/>
          <w:spacing w:val="8"/>
        </w:rPr>
        <w:t xml:space="preserve"> </w:t>
      </w:r>
      <w:r w:rsidRPr="00E209FB">
        <w:rPr>
          <w:rFonts w:ascii="Arial"/>
          <w:i/>
          <w:color w:val="0E0E0E"/>
        </w:rPr>
        <w:t>or</w:t>
      </w:r>
      <w:r w:rsidRPr="00E209FB">
        <w:rPr>
          <w:rFonts w:ascii="Arial"/>
          <w:i/>
          <w:color w:val="0E0E0E"/>
          <w:spacing w:val="-11"/>
        </w:rPr>
        <w:t xml:space="preserve"> </w:t>
      </w:r>
      <w:r w:rsidRPr="00E209FB">
        <w:rPr>
          <w:rFonts w:ascii="Arial"/>
          <w:i/>
          <w:color w:val="0E0E0E"/>
        </w:rPr>
        <w:t>reliance of</w:t>
      </w:r>
      <w:r w:rsidRPr="00E209FB">
        <w:rPr>
          <w:rFonts w:ascii="Arial"/>
          <w:i/>
          <w:color w:val="0E0E0E"/>
          <w:spacing w:val="-10"/>
        </w:rPr>
        <w:t xml:space="preserve"> </w:t>
      </w:r>
      <w:r w:rsidRPr="00E209FB">
        <w:rPr>
          <w:rFonts w:ascii="Arial"/>
          <w:i/>
          <w:color w:val="0E0E0E"/>
        </w:rPr>
        <w:t>the</w:t>
      </w:r>
      <w:r w:rsidRPr="00E209FB">
        <w:rPr>
          <w:rFonts w:ascii="Arial"/>
          <w:i/>
          <w:color w:val="0E0E0E"/>
          <w:spacing w:val="-4"/>
        </w:rPr>
        <w:t xml:space="preserve"> </w:t>
      </w:r>
      <w:r w:rsidRPr="00E209FB">
        <w:rPr>
          <w:rFonts w:ascii="Arial"/>
          <w:i/>
          <w:color w:val="0E0E0E"/>
        </w:rPr>
        <w:t>venue</w:t>
      </w:r>
      <w:r w:rsidRPr="00E209FB">
        <w:rPr>
          <w:rFonts w:ascii="Arial"/>
          <w:i/>
          <w:color w:val="0E0E0E"/>
          <w:spacing w:val="-10"/>
        </w:rPr>
        <w:t xml:space="preserve"> </w:t>
      </w:r>
      <w:r w:rsidRPr="00E209FB">
        <w:rPr>
          <w:rFonts w:ascii="Arial"/>
          <w:i/>
          <w:color w:val="0E0E0E"/>
        </w:rPr>
        <w:t>to</w:t>
      </w:r>
      <w:r w:rsidRPr="00E209FB">
        <w:rPr>
          <w:rFonts w:ascii="Arial"/>
          <w:i/>
          <w:color w:val="0E0E0E"/>
          <w:spacing w:val="-12"/>
        </w:rPr>
        <w:t xml:space="preserve"> </w:t>
      </w:r>
      <w:r w:rsidRPr="00E209FB">
        <w:rPr>
          <w:rFonts w:ascii="Arial"/>
          <w:i/>
          <w:color w:val="0E0E0E"/>
        </w:rPr>
        <w:t>or</w:t>
      </w:r>
      <w:r w:rsidRPr="00E209FB">
        <w:rPr>
          <w:rFonts w:ascii="Arial"/>
          <w:i/>
          <w:color w:val="0E0E0E"/>
          <w:spacing w:val="-3"/>
        </w:rPr>
        <w:t xml:space="preserve"> </w:t>
      </w:r>
      <w:r w:rsidRPr="00E209FB">
        <w:rPr>
          <w:rFonts w:ascii="Arial"/>
          <w:i/>
          <w:color w:val="0E0E0E"/>
        </w:rPr>
        <w:t>on</w:t>
      </w:r>
      <w:r w:rsidRPr="00E209FB">
        <w:rPr>
          <w:rFonts w:ascii="Arial"/>
          <w:i/>
          <w:color w:val="0E0E0E"/>
          <w:spacing w:val="-7"/>
        </w:rPr>
        <w:t xml:space="preserve"> </w:t>
      </w:r>
      <w:r w:rsidRPr="00E209FB">
        <w:rPr>
          <w:rFonts w:ascii="Arial"/>
          <w:i/>
          <w:color w:val="0E0E0E"/>
          <w:spacing w:val="1"/>
        </w:rPr>
        <w:t>tourism</w:t>
      </w:r>
      <w:r w:rsidRPr="00E209FB">
        <w:rPr>
          <w:rFonts w:ascii="Arial"/>
          <w:i/>
          <w:color w:val="282828"/>
        </w:rPr>
        <w:t>.</w:t>
      </w:r>
    </w:p>
    <w:p w:rsidR="00DA2BC5" w:rsidRPr="00203F88" w:rsidRDefault="00E43C72" w:rsidP="006867ED">
      <w:pPr>
        <w:pStyle w:val="ListParagraph"/>
        <w:keepNext/>
        <w:keepLines/>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lastRenderedPageBreak/>
        <w:t>Suitability of Premises - size, layout and facilities</w:t>
      </w:r>
    </w:p>
    <w:p w:rsidR="008173F2" w:rsidRPr="00DA1326" w:rsidRDefault="008173F2" w:rsidP="006867ED">
      <w:pPr>
        <w:pStyle w:val="ListParagraph"/>
        <w:keepNext/>
        <w:keepLines/>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w:t>
      </w:r>
      <w:r w:rsidR="00E43C72" w:rsidRPr="00E209FB">
        <w:rPr>
          <w:rFonts w:ascii="Arial" w:eastAsia="Times New Roman" w:hAnsi="Arial" w:cs="Arial"/>
          <w:szCs w:val="24"/>
          <w:lang w:val="en-AU" w:eastAsia="en-AU"/>
        </w:rPr>
        <w:t xml:space="preserve">he CIA states that the Tavern </w:t>
      </w:r>
      <w:r>
        <w:rPr>
          <w:rFonts w:ascii="Arial" w:eastAsia="Times New Roman" w:hAnsi="Arial" w:cs="Arial"/>
          <w:szCs w:val="24"/>
          <w:lang w:val="en-AU" w:eastAsia="en-AU"/>
        </w:rPr>
        <w:t>was constructed as a purpose built tavern and has operated as such continuously since 1984.</w:t>
      </w:r>
      <w:r w:rsidR="009E33D7">
        <w:rPr>
          <w:rFonts w:ascii="Arial" w:eastAsia="Times New Roman" w:hAnsi="Arial" w:cs="Arial"/>
          <w:szCs w:val="24"/>
          <w:lang w:val="en-AU" w:eastAsia="en-AU"/>
        </w:rPr>
        <w:t xml:space="preserve">  The T</w:t>
      </w:r>
      <w:r>
        <w:rPr>
          <w:rFonts w:ascii="Arial" w:eastAsia="Times New Roman" w:hAnsi="Arial" w:cs="Arial"/>
          <w:szCs w:val="24"/>
          <w:lang w:val="en-AU" w:eastAsia="en-AU"/>
        </w:rPr>
        <w:t>avern has been authorised for the operation of ten gaming machines since the late 1990’s.</w:t>
      </w:r>
      <w:r w:rsidR="00DA1326">
        <w:rPr>
          <w:rFonts w:ascii="Arial" w:eastAsia="Times New Roman" w:hAnsi="Arial" w:cs="Arial"/>
          <w:szCs w:val="24"/>
          <w:lang w:val="en-AU" w:eastAsia="en-AU"/>
        </w:rPr>
        <w:t xml:space="preserve">  </w:t>
      </w:r>
      <w:r w:rsidRPr="00DA1326">
        <w:rPr>
          <w:rFonts w:ascii="Arial" w:eastAsia="Times New Roman" w:hAnsi="Arial" w:cs="Arial"/>
          <w:szCs w:val="24"/>
          <w:lang w:val="en-AU" w:eastAsia="en-AU"/>
        </w:rPr>
        <w:t>In the event the application for an increase in the number of gaming machines is approved there will be a requirement for minor alterations to the premises, including the construction of an interior wall to separate the gaming room from the bistro and bar areas.</w:t>
      </w:r>
    </w:p>
    <w:p w:rsidR="009E33D7" w:rsidRDefault="009E33D7"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The Tavern is located within the CBD of </w:t>
      </w:r>
      <w:r w:rsidR="00CA7915">
        <w:rPr>
          <w:rFonts w:ascii="Arial" w:eastAsia="Times New Roman" w:hAnsi="Arial" w:cs="Arial"/>
          <w:szCs w:val="24"/>
          <w:lang w:val="en-AU" w:eastAsia="en-AU"/>
        </w:rPr>
        <w:t xml:space="preserve">the City of </w:t>
      </w:r>
      <w:r>
        <w:rPr>
          <w:rFonts w:ascii="Arial" w:eastAsia="Times New Roman" w:hAnsi="Arial" w:cs="Arial"/>
          <w:szCs w:val="24"/>
          <w:lang w:val="en-AU" w:eastAsia="en-AU"/>
        </w:rPr>
        <w:t>Palmerston and in close proximity to numerous other businesses, commercial sites and community fa</w:t>
      </w:r>
      <w:r w:rsidR="00CC0626">
        <w:rPr>
          <w:rFonts w:ascii="Arial" w:eastAsia="Times New Roman" w:hAnsi="Arial" w:cs="Arial"/>
          <w:szCs w:val="24"/>
          <w:lang w:val="en-AU" w:eastAsia="en-AU"/>
        </w:rPr>
        <w:t xml:space="preserve">cilities.  The </w:t>
      </w:r>
      <w:r>
        <w:rPr>
          <w:rFonts w:ascii="Arial" w:eastAsia="Times New Roman" w:hAnsi="Arial" w:cs="Arial"/>
          <w:szCs w:val="24"/>
          <w:lang w:val="en-AU" w:eastAsia="en-AU"/>
        </w:rPr>
        <w:t xml:space="preserve">Tavern </w:t>
      </w:r>
      <w:r w:rsidR="00CC0626">
        <w:rPr>
          <w:rFonts w:ascii="Arial" w:eastAsia="Times New Roman" w:hAnsi="Arial" w:cs="Arial"/>
          <w:szCs w:val="24"/>
          <w:lang w:val="en-AU" w:eastAsia="en-AU"/>
        </w:rPr>
        <w:t xml:space="preserve">building footprint </w:t>
      </w:r>
      <w:r>
        <w:rPr>
          <w:rFonts w:ascii="Arial" w:eastAsia="Times New Roman" w:hAnsi="Arial" w:cs="Arial"/>
          <w:szCs w:val="24"/>
          <w:lang w:val="en-AU" w:eastAsia="en-AU"/>
        </w:rPr>
        <w:t>comprises an area of approximately 1</w:t>
      </w:r>
      <w:r w:rsidR="0097230A">
        <w:rPr>
          <w:rFonts w:ascii="Arial" w:eastAsia="Times New Roman" w:hAnsi="Arial" w:cs="Arial"/>
          <w:szCs w:val="24"/>
          <w:lang w:val="en-AU" w:eastAsia="en-AU"/>
        </w:rPr>
        <w:t xml:space="preserve"> </w:t>
      </w:r>
      <w:r>
        <w:rPr>
          <w:rFonts w:ascii="Arial" w:eastAsia="Times New Roman" w:hAnsi="Arial" w:cs="Arial"/>
          <w:szCs w:val="24"/>
          <w:lang w:val="en-AU" w:eastAsia="en-AU"/>
        </w:rPr>
        <w:t>200 square metres with the total area of land being 2</w:t>
      </w:r>
      <w:r w:rsidR="0097230A">
        <w:rPr>
          <w:rFonts w:ascii="Arial" w:eastAsia="Times New Roman" w:hAnsi="Arial" w:cs="Arial"/>
          <w:szCs w:val="24"/>
          <w:lang w:val="en-AU" w:eastAsia="en-AU"/>
        </w:rPr>
        <w:t xml:space="preserve"> </w:t>
      </w:r>
      <w:r>
        <w:rPr>
          <w:rFonts w:ascii="Arial" w:eastAsia="Times New Roman" w:hAnsi="Arial" w:cs="Arial"/>
          <w:szCs w:val="24"/>
          <w:lang w:val="en-AU" w:eastAsia="en-AU"/>
        </w:rPr>
        <w:t>120 square m</w:t>
      </w:r>
      <w:r w:rsidR="00CC0626">
        <w:rPr>
          <w:rFonts w:ascii="Arial" w:eastAsia="Times New Roman" w:hAnsi="Arial" w:cs="Arial"/>
          <w:szCs w:val="24"/>
          <w:lang w:val="en-AU" w:eastAsia="en-AU"/>
        </w:rPr>
        <w:t>etres.  The existing lounge bar</w:t>
      </w:r>
      <w:r>
        <w:rPr>
          <w:rFonts w:ascii="Arial" w:eastAsia="Times New Roman" w:hAnsi="Arial" w:cs="Arial"/>
          <w:szCs w:val="24"/>
          <w:lang w:val="en-AU" w:eastAsia="en-AU"/>
        </w:rPr>
        <w:t>/gaming area occupies 139 square metres of the total floor space of the Tavern, commensurate with the information contained in the CIA that gaming machine activity is not the primary focus of the venue nor is the venue overly reliant on gaming machine revenue.</w:t>
      </w:r>
    </w:p>
    <w:p w:rsidR="00B96AFE" w:rsidRPr="00CC0626" w:rsidRDefault="00CC0626" w:rsidP="00CC0626">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Tavern offers </w:t>
      </w:r>
      <w:r>
        <w:rPr>
          <w:rFonts w:ascii="Arial" w:eastAsia="Times New Roman" w:hAnsi="Arial" w:cs="Arial"/>
          <w:szCs w:val="24"/>
          <w:lang w:val="en-AU" w:eastAsia="en-AU"/>
        </w:rPr>
        <w:t>the</w:t>
      </w:r>
      <w:r w:rsidRPr="00E209FB">
        <w:rPr>
          <w:rFonts w:ascii="Arial" w:eastAsia="Times New Roman" w:hAnsi="Arial" w:cs="Arial"/>
          <w:szCs w:val="24"/>
          <w:lang w:val="en-AU" w:eastAsia="en-AU"/>
        </w:rPr>
        <w:t xml:space="preserve"> range of facilities </w:t>
      </w:r>
      <w:r>
        <w:rPr>
          <w:rFonts w:ascii="Arial" w:eastAsia="Times New Roman" w:hAnsi="Arial" w:cs="Arial"/>
          <w:szCs w:val="24"/>
          <w:lang w:val="en-AU" w:eastAsia="en-AU"/>
        </w:rPr>
        <w:t xml:space="preserve">and services for the use of its clients that would be expected of a suburban Tavern, </w:t>
      </w:r>
      <w:r w:rsidRPr="00E209FB">
        <w:rPr>
          <w:rFonts w:ascii="Arial" w:eastAsia="Times New Roman" w:hAnsi="Arial" w:cs="Arial"/>
          <w:szCs w:val="24"/>
          <w:lang w:val="en-AU" w:eastAsia="en-AU"/>
        </w:rPr>
        <w:t xml:space="preserve">including bars, a drive through bottle shop, </w:t>
      </w:r>
      <w:r>
        <w:rPr>
          <w:rFonts w:ascii="Arial" w:eastAsia="Times New Roman" w:hAnsi="Arial" w:cs="Arial"/>
          <w:szCs w:val="24"/>
          <w:lang w:val="en-AU" w:eastAsia="en-AU"/>
        </w:rPr>
        <w:t>dining areas</w:t>
      </w:r>
      <w:r w:rsidRPr="00E209FB">
        <w:rPr>
          <w:rFonts w:ascii="Arial" w:eastAsia="Times New Roman" w:hAnsi="Arial" w:cs="Arial"/>
          <w:szCs w:val="24"/>
          <w:lang w:val="en-AU" w:eastAsia="en-AU"/>
        </w:rPr>
        <w:t xml:space="preserve"> and the existing gaming room situated at the centre and towards the rear of the premises. </w:t>
      </w:r>
      <w:r>
        <w:rPr>
          <w:rFonts w:ascii="Arial" w:eastAsia="Times New Roman" w:hAnsi="Arial" w:cs="Arial"/>
          <w:szCs w:val="24"/>
          <w:lang w:val="en-AU" w:eastAsia="en-AU"/>
        </w:rPr>
        <w:t xml:space="preserve"> The Tavern also offers TAB and Keno facilities and hold</w:t>
      </w:r>
      <w:r w:rsidR="00CA7915">
        <w:rPr>
          <w:rFonts w:ascii="Arial" w:eastAsia="Times New Roman" w:hAnsi="Arial" w:cs="Arial"/>
          <w:szCs w:val="24"/>
          <w:lang w:val="en-AU" w:eastAsia="en-AU"/>
        </w:rPr>
        <w:t>s</w:t>
      </w:r>
      <w:r>
        <w:rPr>
          <w:rFonts w:ascii="Arial" w:eastAsia="Times New Roman" w:hAnsi="Arial" w:cs="Arial"/>
          <w:szCs w:val="24"/>
          <w:lang w:val="en-AU" w:eastAsia="en-AU"/>
        </w:rPr>
        <w:t xml:space="preserve"> regular entertainment events</w:t>
      </w:r>
      <w:r w:rsidR="00CA7915">
        <w:rPr>
          <w:rFonts w:ascii="Arial" w:eastAsia="Times New Roman" w:hAnsi="Arial" w:cs="Arial"/>
          <w:szCs w:val="24"/>
          <w:lang w:val="en-AU" w:eastAsia="en-AU"/>
        </w:rPr>
        <w:t>,</w:t>
      </w:r>
      <w:r>
        <w:rPr>
          <w:rFonts w:ascii="Arial" w:eastAsia="Times New Roman" w:hAnsi="Arial" w:cs="Arial"/>
          <w:szCs w:val="24"/>
          <w:lang w:val="en-AU" w:eastAsia="en-AU"/>
        </w:rPr>
        <w:t xml:space="preserve"> including local and interstate artists and the like.  In addition, the </w:t>
      </w:r>
      <w:r w:rsidR="00B96AFE" w:rsidRPr="00CC0626">
        <w:rPr>
          <w:rFonts w:ascii="Arial" w:eastAsia="Times New Roman" w:hAnsi="Arial" w:cs="Arial"/>
          <w:szCs w:val="24"/>
          <w:lang w:val="en-AU" w:eastAsia="en-AU"/>
        </w:rPr>
        <w:t>Tavern incorporates an enclosed glass walled play room offering children’s entertainment at appropriate times.</w:t>
      </w:r>
    </w:p>
    <w:p w:rsidR="00DA2BC5" w:rsidRPr="00203F88" w:rsidRDefault="00E43C72" w:rsidP="00203F88">
      <w:pPr>
        <w:pStyle w:val="ListParagraph"/>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t>Suitability of Premises - primary activity</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describes the venue </w:t>
      </w:r>
      <w:r w:rsidR="00B96AFE">
        <w:rPr>
          <w:rFonts w:ascii="Arial" w:eastAsia="Times New Roman" w:hAnsi="Arial" w:cs="Arial"/>
          <w:szCs w:val="24"/>
          <w:lang w:val="en-AU" w:eastAsia="en-AU"/>
        </w:rPr>
        <w:t>as a mid-sized business in the Palmerston Area and notes that the venue is now owned by a national company with a clear strategy in respect to the management of gaming machines</w:t>
      </w:r>
      <w:r w:rsidRPr="00E209FB">
        <w:rPr>
          <w:rFonts w:ascii="Arial" w:eastAsia="Times New Roman" w:hAnsi="Arial" w:cs="Arial"/>
          <w:szCs w:val="24"/>
          <w:lang w:val="en-AU" w:eastAsia="en-AU"/>
        </w:rPr>
        <w:t>.</w:t>
      </w:r>
      <w:r w:rsidR="00B96AFE">
        <w:rPr>
          <w:rFonts w:ascii="Arial" w:eastAsia="Times New Roman" w:hAnsi="Arial" w:cs="Arial"/>
          <w:szCs w:val="24"/>
          <w:lang w:val="en-AU" w:eastAsia="en-AU"/>
        </w:rPr>
        <w:t xml:space="preserve">  The venue is described as conveniently located for all persons who access the </w:t>
      </w:r>
      <w:r w:rsidR="00CC0626">
        <w:rPr>
          <w:rFonts w:ascii="Arial" w:eastAsia="Times New Roman" w:hAnsi="Arial" w:cs="Arial"/>
          <w:szCs w:val="24"/>
          <w:lang w:val="en-AU" w:eastAsia="en-AU"/>
        </w:rPr>
        <w:t xml:space="preserve">Palmerston </w:t>
      </w:r>
      <w:r w:rsidR="00B96AFE">
        <w:rPr>
          <w:rFonts w:ascii="Arial" w:eastAsia="Times New Roman" w:hAnsi="Arial" w:cs="Arial"/>
          <w:szCs w:val="24"/>
          <w:lang w:val="en-AU" w:eastAsia="en-AU"/>
        </w:rPr>
        <w:t xml:space="preserve">CBD including growing numbers of international and interstate visitors.  The Tavern is also described </w:t>
      </w:r>
      <w:r w:rsidR="00CC0626">
        <w:rPr>
          <w:rFonts w:ascii="Arial" w:eastAsia="Times New Roman" w:hAnsi="Arial" w:cs="Arial"/>
          <w:szCs w:val="24"/>
          <w:lang w:val="en-AU" w:eastAsia="en-AU"/>
        </w:rPr>
        <w:t xml:space="preserve">in the CIA and in </w:t>
      </w:r>
      <w:r w:rsidR="003C6AF0">
        <w:rPr>
          <w:rFonts w:ascii="Arial" w:eastAsia="Times New Roman" w:hAnsi="Arial" w:cs="Arial"/>
          <w:szCs w:val="24"/>
          <w:lang w:val="en-AU" w:eastAsia="en-AU"/>
        </w:rPr>
        <w:t>the attached</w:t>
      </w:r>
      <w:r w:rsidR="00BD77A0">
        <w:rPr>
          <w:rFonts w:ascii="Arial" w:eastAsia="Times New Roman" w:hAnsi="Arial" w:cs="Arial"/>
          <w:szCs w:val="24"/>
          <w:lang w:val="en-AU" w:eastAsia="en-AU"/>
        </w:rPr>
        <w:t xml:space="preserve"> </w:t>
      </w:r>
      <w:r w:rsidR="00CC0626">
        <w:rPr>
          <w:rFonts w:ascii="Arial" w:eastAsia="Times New Roman" w:hAnsi="Arial" w:cs="Arial"/>
          <w:szCs w:val="24"/>
          <w:lang w:val="en-AU" w:eastAsia="en-AU"/>
        </w:rPr>
        <w:t xml:space="preserve">statement </w:t>
      </w:r>
      <w:r w:rsidR="00BD77A0">
        <w:rPr>
          <w:rFonts w:ascii="Arial" w:eastAsia="Times New Roman" w:hAnsi="Arial" w:cs="Arial"/>
          <w:szCs w:val="24"/>
          <w:lang w:val="en-AU" w:eastAsia="en-AU"/>
        </w:rPr>
        <w:t>of Mr</w:t>
      </w:r>
      <w:r w:rsidR="006867ED">
        <w:rPr>
          <w:rFonts w:ascii="Arial" w:eastAsia="Times New Roman" w:hAnsi="Arial" w:cs="Arial"/>
          <w:szCs w:val="24"/>
          <w:lang w:val="en-AU" w:eastAsia="en-AU"/>
        </w:rPr>
        <w:t> </w:t>
      </w:r>
      <w:r w:rsidR="00BD77A0">
        <w:rPr>
          <w:rFonts w:ascii="Arial" w:eastAsia="Times New Roman" w:hAnsi="Arial" w:cs="Arial"/>
          <w:szCs w:val="24"/>
          <w:lang w:val="en-AU" w:eastAsia="en-AU"/>
        </w:rPr>
        <w:t xml:space="preserve">Brett Wilson, the Nominee under the liquor licence, </w:t>
      </w:r>
      <w:r w:rsidR="00B96AFE">
        <w:rPr>
          <w:rFonts w:ascii="Arial" w:eastAsia="Times New Roman" w:hAnsi="Arial" w:cs="Arial"/>
          <w:szCs w:val="24"/>
          <w:lang w:val="en-AU" w:eastAsia="en-AU"/>
        </w:rPr>
        <w:t>as a meeting place for a number of local clubs</w:t>
      </w:r>
    </w:p>
    <w:p w:rsidR="00DA2BC5" w:rsidRPr="00E209FB" w:rsidRDefault="00B96AFE"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Since being acquired by the current licensee company, the Tavern no longer offers “R Rated” entertainment with the current focus being on a more family friendly atmosphere</w:t>
      </w:r>
      <w:r w:rsidR="00E43C72" w:rsidRPr="00E209FB">
        <w:rPr>
          <w:rFonts w:ascii="Arial" w:eastAsia="Times New Roman" w:hAnsi="Arial" w:cs="Arial"/>
          <w:szCs w:val="24"/>
          <w:lang w:val="en-AU" w:eastAsia="en-AU"/>
        </w:rPr>
        <w:t>.</w:t>
      </w:r>
    </w:p>
    <w:p w:rsidR="00AB48AB" w:rsidRDefault="00BD77A0"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w:t>
      </w:r>
      <w:r w:rsidR="00AB48AB">
        <w:rPr>
          <w:rFonts w:ascii="Arial" w:eastAsia="Times New Roman" w:hAnsi="Arial" w:cs="Arial"/>
          <w:szCs w:val="24"/>
          <w:lang w:val="en-AU" w:eastAsia="en-AU"/>
        </w:rPr>
        <w:t xml:space="preserve">he </w:t>
      </w:r>
      <w:r>
        <w:rPr>
          <w:rFonts w:ascii="Arial" w:eastAsia="Times New Roman" w:hAnsi="Arial" w:cs="Arial"/>
          <w:szCs w:val="24"/>
          <w:lang w:val="en-AU" w:eastAsia="en-AU"/>
        </w:rPr>
        <w:t>N</w:t>
      </w:r>
      <w:r w:rsidR="00AB48AB">
        <w:rPr>
          <w:rFonts w:ascii="Arial" w:eastAsia="Times New Roman" w:hAnsi="Arial" w:cs="Arial"/>
          <w:szCs w:val="24"/>
          <w:lang w:val="en-AU" w:eastAsia="en-AU"/>
        </w:rPr>
        <w:t xml:space="preserve">ominee of the premises, states that the Tavern has been an integral part of the Palmerston community for many years and a meeting place for </w:t>
      </w:r>
      <w:r w:rsidR="00CA7915">
        <w:rPr>
          <w:rFonts w:ascii="Arial" w:eastAsia="Times New Roman" w:hAnsi="Arial" w:cs="Arial"/>
          <w:szCs w:val="24"/>
          <w:lang w:val="en-AU" w:eastAsia="en-AU"/>
        </w:rPr>
        <w:t xml:space="preserve">the </w:t>
      </w:r>
      <w:r w:rsidR="00AB48AB">
        <w:rPr>
          <w:rFonts w:ascii="Arial" w:eastAsia="Times New Roman" w:hAnsi="Arial" w:cs="Arial"/>
          <w:szCs w:val="24"/>
          <w:lang w:val="en-AU" w:eastAsia="en-AU"/>
        </w:rPr>
        <w:t xml:space="preserve">local community and business operators.  In Mr Wilson’s assessment the clientele mix includes office workers, business operators and employees and workers from the construction industry, including those engaged in the Inpex development.  The venue also enjoys patronage from guests staying at the nearby Quest Palmerston </w:t>
      </w:r>
      <w:r w:rsidR="009A0B1B">
        <w:rPr>
          <w:rFonts w:ascii="Arial" w:eastAsia="Times New Roman" w:hAnsi="Arial" w:cs="Arial"/>
          <w:szCs w:val="24"/>
          <w:lang w:val="en-AU" w:eastAsia="en-AU"/>
        </w:rPr>
        <w:t>Apartments with</w:t>
      </w:r>
      <w:r w:rsidR="00AB48AB">
        <w:rPr>
          <w:rFonts w:ascii="Arial" w:eastAsia="Times New Roman" w:hAnsi="Arial" w:cs="Arial"/>
          <w:szCs w:val="24"/>
          <w:lang w:val="en-AU" w:eastAsia="en-AU"/>
        </w:rPr>
        <w:t xml:space="preserve"> whom they have a good working relationship including a facility where </w:t>
      </w:r>
      <w:r w:rsidR="006867ED">
        <w:rPr>
          <w:rFonts w:ascii="Arial" w:eastAsia="Times New Roman" w:hAnsi="Arial" w:cs="Arial"/>
          <w:szCs w:val="24"/>
          <w:lang w:val="en-AU" w:eastAsia="en-AU"/>
        </w:rPr>
        <w:t>g</w:t>
      </w:r>
      <w:r w:rsidR="00AB48AB">
        <w:rPr>
          <w:rFonts w:ascii="Arial" w:eastAsia="Times New Roman" w:hAnsi="Arial" w:cs="Arial"/>
          <w:szCs w:val="24"/>
          <w:lang w:val="en-AU" w:eastAsia="en-AU"/>
        </w:rPr>
        <w:t>uests of the Apartments can have meals at the Tavern bil</w:t>
      </w:r>
      <w:r w:rsidR="00CC0626">
        <w:rPr>
          <w:rFonts w:ascii="Arial" w:eastAsia="Times New Roman" w:hAnsi="Arial" w:cs="Arial"/>
          <w:szCs w:val="24"/>
          <w:lang w:val="en-AU" w:eastAsia="en-AU"/>
        </w:rPr>
        <w:t>led to their Quest account</w:t>
      </w:r>
      <w:r w:rsidR="00AB48AB">
        <w:rPr>
          <w:rFonts w:ascii="Arial" w:eastAsia="Times New Roman" w:hAnsi="Arial" w:cs="Arial"/>
          <w:szCs w:val="24"/>
          <w:lang w:val="en-AU" w:eastAsia="en-AU"/>
        </w:rPr>
        <w:t>.</w:t>
      </w:r>
    </w:p>
    <w:p w:rsidR="00DA2BC5" w:rsidRPr="00E209FB" w:rsidRDefault="00AB48AB"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Mr Wilson also notes that the Tavern has an increase in patrons soon after opening and again around 5.00</w:t>
      </w:r>
      <w:r w:rsidR="006867ED">
        <w:rPr>
          <w:rFonts w:ascii="Arial" w:eastAsia="Times New Roman" w:hAnsi="Arial" w:cs="Arial"/>
          <w:szCs w:val="24"/>
          <w:lang w:val="en-AU" w:eastAsia="en-AU"/>
        </w:rPr>
        <w:t xml:space="preserve"> </w:t>
      </w:r>
      <w:r>
        <w:rPr>
          <w:rFonts w:ascii="Arial" w:eastAsia="Times New Roman" w:hAnsi="Arial" w:cs="Arial"/>
          <w:szCs w:val="24"/>
          <w:lang w:val="en-AU" w:eastAsia="en-AU"/>
        </w:rPr>
        <w:t>pm which he attributes to shift workers and retirees in the early hours of the day</w:t>
      </w:r>
      <w:r w:rsidR="00BD77A0">
        <w:rPr>
          <w:rFonts w:ascii="Arial" w:eastAsia="Times New Roman" w:hAnsi="Arial" w:cs="Arial"/>
          <w:szCs w:val="24"/>
          <w:lang w:val="en-AU" w:eastAsia="en-AU"/>
        </w:rPr>
        <w:t>,</w:t>
      </w:r>
      <w:r>
        <w:rPr>
          <w:rFonts w:ascii="Arial" w:eastAsia="Times New Roman" w:hAnsi="Arial" w:cs="Arial"/>
          <w:szCs w:val="24"/>
          <w:lang w:val="en-AU" w:eastAsia="en-AU"/>
        </w:rPr>
        <w:t xml:space="preserve"> with local contractors and workers attending for after work drinks and gatherings.</w:t>
      </w:r>
    </w:p>
    <w:p w:rsidR="008C2DD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w:t>
      </w:r>
      <w:r w:rsidR="008C2DDB">
        <w:rPr>
          <w:rFonts w:ascii="Arial" w:eastAsia="Times New Roman" w:hAnsi="Arial" w:cs="Arial"/>
          <w:szCs w:val="24"/>
          <w:lang w:val="en-AU" w:eastAsia="en-AU"/>
        </w:rPr>
        <w:t>author of the CIA states that the revenue generated from gaming machines forms a modest proportion of the total revenue earned by the Tavern and that the venue is not overly reliant on revenue earned from gaming machines.  Those statements are supported by the financial data included in the confidential section of the CIA.</w:t>
      </w:r>
    </w:p>
    <w:p w:rsidR="00DA2BC5" w:rsidRPr="00203F88" w:rsidRDefault="00E43C72" w:rsidP="004B21BA">
      <w:pPr>
        <w:pStyle w:val="ListParagraph"/>
        <w:keepNext/>
        <w:widowControl/>
        <w:spacing w:before="240" w:after="120"/>
        <w:jc w:val="both"/>
        <w:rPr>
          <w:rStyle w:val="Emphasis"/>
          <w:rFonts w:ascii="Arial" w:eastAsia="Times New Roman" w:hAnsi="Arial" w:cs="Times New Roman"/>
          <w:i w:val="0"/>
          <w:szCs w:val="20"/>
          <w:lang w:val="en-AU" w:eastAsia="en-AU"/>
        </w:rPr>
      </w:pPr>
      <w:r w:rsidRPr="00203F88">
        <w:rPr>
          <w:rStyle w:val="Emphasis"/>
          <w:rFonts w:ascii="Arial" w:eastAsia="Times New Roman" w:hAnsi="Arial" w:cs="Times New Roman"/>
          <w:b/>
          <w:i w:val="0"/>
          <w:szCs w:val="20"/>
          <w:lang w:val="en-AU" w:eastAsia="en-AU"/>
        </w:rPr>
        <w:lastRenderedPageBreak/>
        <w:t>Suitability of Location - population of local area, proximity to other gaming venues and proximity to sensitive areas</w:t>
      </w:r>
    </w:p>
    <w:p w:rsidR="008C2DDB" w:rsidRDefault="008C2DDB"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As noted above, the </w:t>
      </w:r>
      <w:r w:rsidR="00E43C72" w:rsidRPr="00E209FB">
        <w:rPr>
          <w:rFonts w:ascii="Arial" w:eastAsia="Times New Roman" w:hAnsi="Arial" w:cs="Arial"/>
          <w:szCs w:val="24"/>
          <w:lang w:val="en-AU" w:eastAsia="en-AU"/>
        </w:rPr>
        <w:t xml:space="preserve">Tavern is located </w:t>
      </w:r>
      <w:r>
        <w:rPr>
          <w:rFonts w:ascii="Arial" w:eastAsia="Times New Roman" w:hAnsi="Arial" w:cs="Arial"/>
          <w:szCs w:val="24"/>
          <w:lang w:val="en-AU" w:eastAsia="en-AU"/>
        </w:rPr>
        <w:t xml:space="preserve">within the Palmerston CBD in close proximity to numerous commercial and business premises.  The venue has proven to be suitable as licensed premises since opening in 1984, including the conduct of gaming machine activity since the late 1990’s. </w:t>
      </w:r>
      <w:r w:rsidR="006867ED">
        <w:rPr>
          <w:rFonts w:ascii="Arial" w:eastAsia="Times New Roman" w:hAnsi="Arial" w:cs="Arial"/>
          <w:szCs w:val="24"/>
          <w:lang w:val="en-AU" w:eastAsia="en-AU"/>
        </w:rPr>
        <w:t xml:space="preserve"> </w:t>
      </w:r>
      <w:r>
        <w:rPr>
          <w:rFonts w:ascii="Arial" w:eastAsia="Times New Roman" w:hAnsi="Arial" w:cs="Arial"/>
          <w:szCs w:val="24"/>
          <w:lang w:val="en-AU" w:eastAsia="en-AU"/>
        </w:rPr>
        <w:t>The Palmerston area was established in 1980 and is located approximately 20 kilometres from the Darwin CBD.  Palmerston is the second largest city in the Northern Territory with a population</w:t>
      </w:r>
      <w:r w:rsidR="00D37221">
        <w:rPr>
          <w:rFonts w:ascii="Arial" w:eastAsia="Times New Roman" w:hAnsi="Arial" w:cs="Arial"/>
          <w:szCs w:val="24"/>
          <w:lang w:val="en-AU" w:eastAsia="en-AU"/>
        </w:rPr>
        <w:t>, as assessed by the City of Palmerston,</w:t>
      </w:r>
      <w:r>
        <w:rPr>
          <w:rFonts w:ascii="Arial" w:eastAsia="Times New Roman" w:hAnsi="Arial" w:cs="Arial"/>
          <w:szCs w:val="24"/>
          <w:lang w:val="en-AU" w:eastAsia="en-AU"/>
        </w:rPr>
        <w:t xml:space="preserve"> currently in excess of 35</w:t>
      </w:r>
      <w:r w:rsidR="006867ED">
        <w:rPr>
          <w:rFonts w:ascii="Arial" w:eastAsia="Times New Roman" w:hAnsi="Arial" w:cs="Arial"/>
          <w:szCs w:val="24"/>
          <w:lang w:val="en-AU" w:eastAsia="en-AU"/>
        </w:rPr>
        <w:t xml:space="preserve"> </w:t>
      </w:r>
      <w:r>
        <w:rPr>
          <w:rFonts w:ascii="Arial" w:eastAsia="Times New Roman" w:hAnsi="Arial" w:cs="Arial"/>
          <w:szCs w:val="24"/>
          <w:lang w:val="en-AU" w:eastAsia="en-AU"/>
        </w:rPr>
        <w:t>000 residents with this number expected to increase to 42</w:t>
      </w:r>
      <w:r w:rsidR="006867ED">
        <w:rPr>
          <w:rFonts w:ascii="Arial" w:eastAsia="Times New Roman" w:hAnsi="Arial" w:cs="Arial"/>
          <w:szCs w:val="24"/>
          <w:lang w:val="en-AU" w:eastAsia="en-AU"/>
        </w:rPr>
        <w:t xml:space="preserve"> </w:t>
      </w:r>
      <w:r>
        <w:rPr>
          <w:rFonts w:ascii="Arial" w:eastAsia="Times New Roman" w:hAnsi="Arial" w:cs="Arial"/>
          <w:szCs w:val="24"/>
          <w:lang w:val="en-AU" w:eastAsia="en-AU"/>
        </w:rPr>
        <w:t>000 by 2021.</w:t>
      </w:r>
    </w:p>
    <w:p w:rsidR="00DA2BC5" w:rsidRPr="00E209FB"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Local Community Area ("LCA") for the Tavern </w:t>
      </w:r>
      <w:r w:rsidR="008C2DDB">
        <w:rPr>
          <w:rFonts w:ascii="Arial" w:eastAsia="Times New Roman" w:hAnsi="Arial" w:cs="Arial"/>
          <w:szCs w:val="24"/>
          <w:lang w:val="en-AU" w:eastAsia="en-AU"/>
        </w:rPr>
        <w:t>has been identified as the Palmerston</w:t>
      </w:r>
      <w:r w:rsidRPr="00E209FB">
        <w:rPr>
          <w:rFonts w:ascii="Arial" w:eastAsia="Times New Roman" w:hAnsi="Arial" w:cs="Arial"/>
          <w:szCs w:val="24"/>
          <w:lang w:val="en-AU" w:eastAsia="en-AU"/>
        </w:rPr>
        <w:t xml:space="preserve"> Area</w:t>
      </w:r>
      <w:r w:rsidR="008C2DDB">
        <w:rPr>
          <w:rFonts w:ascii="Arial" w:eastAsia="Times New Roman" w:hAnsi="Arial" w:cs="Arial"/>
          <w:szCs w:val="24"/>
          <w:lang w:val="en-AU" w:eastAsia="en-AU"/>
        </w:rPr>
        <w:t>, comprising the suburbs of Palmerston, Durack, Marlow Lagoon, Driver, Moulden, Woodroffe, Rosebery, Bellamack, Bakewell and Gray</w:t>
      </w:r>
      <w:r w:rsidRPr="00E209FB">
        <w:rPr>
          <w:rFonts w:ascii="Arial" w:eastAsia="Times New Roman" w:hAnsi="Arial" w:cs="Arial"/>
          <w:szCs w:val="24"/>
          <w:lang w:val="en-AU" w:eastAsia="en-AU"/>
        </w:rPr>
        <w:t>.</w:t>
      </w:r>
      <w:r w:rsidR="00D37221">
        <w:rPr>
          <w:rFonts w:ascii="Arial" w:eastAsia="Times New Roman" w:hAnsi="Arial" w:cs="Arial"/>
          <w:szCs w:val="24"/>
          <w:lang w:val="en-AU" w:eastAsia="en-AU"/>
        </w:rPr>
        <w:t xml:space="preserve">  In recent years the City of Palmerston has regularly and consistently been reported as one of the fastest growing urban areas in Australia.</w:t>
      </w:r>
      <w:r w:rsidRPr="00E209FB">
        <w:rPr>
          <w:rFonts w:ascii="Arial" w:eastAsia="Times New Roman" w:hAnsi="Arial" w:cs="Arial"/>
          <w:szCs w:val="24"/>
          <w:lang w:val="en-AU" w:eastAsia="en-AU"/>
        </w:rPr>
        <w:t xml:space="preserv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2011 census </w:t>
      </w:r>
      <w:r w:rsidR="00D37221">
        <w:rPr>
          <w:rFonts w:ascii="Arial" w:eastAsia="Times New Roman" w:hAnsi="Arial" w:cs="Arial"/>
          <w:szCs w:val="24"/>
          <w:lang w:val="en-AU" w:eastAsia="en-AU"/>
        </w:rPr>
        <w:t>data</w:t>
      </w:r>
      <w:r w:rsidR="00CA7915">
        <w:rPr>
          <w:rFonts w:ascii="Arial" w:eastAsia="Times New Roman" w:hAnsi="Arial" w:cs="Arial"/>
          <w:szCs w:val="24"/>
          <w:lang w:val="en-AU" w:eastAsia="en-AU"/>
        </w:rPr>
        <w:t>,</w:t>
      </w:r>
      <w:r w:rsidR="00D37221">
        <w:rPr>
          <w:rFonts w:ascii="Arial" w:eastAsia="Times New Roman" w:hAnsi="Arial" w:cs="Arial"/>
          <w:szCs w:val="24"/>
          <w:lang w:val="en-AU" w:eastAsia="en-AU"/>
        </w:rPr>
        <w:t xml:space="preserve"> so far as population is concerned</w:t>
      </w:r>
      <w:r w:rsidR="00CA7915">
        <w:rPr>
          <w:rFonts w:ascii="Arial" w:eastAsia="Times New Roman" w:hAnsi="Arial" w:cs="Arial"/>
          <w:szCs w:val="24"/>
          <w:lang w:val="en-AU" w:eastAsia="en-AU"/>
        </w:rPr>
        <w:t>,</w:t>
      </w:r>
      <w:r w:rsidR="00D37221">
        <w:rPr>
          <w:rFonts w:ascii="Arial" w:eastAsia="Times New Roman" w:hAnsi="Arial" w:cs="Arial"/>
          <w:szCs w:val="24"/>
          <w:lang w:val="en-AU" w:eastAsia="en-AU"/>
        </w:rPr>
        <w:t xml:space="preserve"> is of little assistance in this case due to the rapid increase in population since 2011 and the fact that</w:t>
      </w:r>
      <w:r w:rsidR="00050D38">
        <w:rPr>
          <w:rFonts w:ascii="Arial" w:eastAsia="Times New Roman" w:hAnsi="Arial" w:cs="Arial"/>
          <w:szCs w:val="24"/>
          <w:lang w:val="en-AU" w:eastAsia="en-AU"/>
        </w:rPr>
        <w:t>,</w:t>
      </w:r>
      <w:r w:rsidR="00D37221">
        <w:rPr>
          <w:rFonts w:ascii="Arial" w:eastAsia="Times New Roman" w:hAnsi="Arial" w:cs="Arial"/>
          <w:szCs w:val="24"/>
          <w:lang w:val="en-AU" w:eastAsia="en-AU"/>
        </w:rPr>
        <w:t xml:space="preserve"> for many of the current suburbs of Palmerston</w:t>
      </w:r>
      <w:r w:rsidR="00050D38">
        <w:rPr>
          <w:rFonts w:ascii="Arial" w:eastAsia="Times New Roman" w:hAnsi="Arial" w:cs="Arial"/>
          <w:szCs w:val="24"/>
          <w:lang w:val="en-AU" w:eastAsia="en-AU"/>
        </w:rPr>
        <w:t xml:space="preserve"> included in the LCA,</w:t>
      </w:r>
      <w:r w:rsidR="00D37221">
        <w:rPr>
          <w:rFonts w:ascii="Arial" w:eastAsia="Times New Roman" w:hAnsi="Arial" w:cs="Arial"/>
          <w:szCs w:val="24"/>
          <w:lang w:val="en-AU" w:eastAsia="en-AU"/>
        </w:rPr>
        <w:t xml:space="preserve"> development had not even commenced at the time of the census.</w:t>
      </w:r>
    </w:p>
    <w:p w:rsidR="00156793" w:rsidRPr="00050D38" w:rsidRDefault="00D37221" w:rsidP="00050D38">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w:t>
      </w:r>
      <w:r w:rsidR="00E43C72" w:rsidRPr="00E209FB">
        <w:rPr>
          <w:rFonts w:ascii="Arial" w:eastAsia="Times New Roman" w:hAnsi="Arial" w:cs="Arial"/>
          <w:szCs w:val="24"/>
          <w:lang w:val="en-AU" w:eastAsia="en-AU"/>
        </w:rPr>
        <w:t xml:space="preserve">he CIA notes that </w:t>
      </w:r>
      <w:r>
        <w:rPr>
          <w:rFonts w:ascii="Arial" w:eastAsia="Times New Roman" w:hAnsi="Arial" w:cs="Arial"/>
          <w:szCs w:val="24"/>
          <w:lang w:val="en-AU" w:eastAsia="en-AU"/>
        </w:rPr>
        <w:t xml:space="preserve">the median age of residents within the LCA, assessed on a suburb by suburb basis, in in the range of 26 to 31 years of age with residents born in Australia </w:t>
      </w:r>
      <w:r w:rsidR="009A0B1B">
        <w:rPr>
          <w:rFonts w:ascii="Arial" w:eastAsia="Times New Roman" w:hAnsi="Arial" w:cs="Arial"/>
          <w:szCs w:val="24"/>
          <w:lang w:val="en-AU" w:eastAsia="en-AU"/>
        </w:rPr>
        <w:t>ranging</w:t>
      </w:r>
      <w:r>
        <w:rPr>
          <w:rFonts w:ascii="Arial" w:eastAsia="Times New Roman" w:hAnsi="Arial" w:cs="Arial"/>
          <w:szCs w:val="24"/>
          <w:lang w:val="en-AU" w:eastAsia="en-AU"/>
        </w:rPr>
        <w:t xml:space="preserve"> from 61% to 80% of the total popula</w:t>
      </w:r>
      <w:r w:rsidR="00156793">
        <w:rPr>
          <w:rFonts w:ascii="Arial" w:eastAsia="Times New Roman" w:hAnsi="Arial" w:cs="Arial"/>
          <w:szCs w:val="24"/>
          <w:lang w:val="en-AU" w:eastAsia="en-AU"/>
        </w:rPr>
        <w:t>tion across the various suburbs.</w:t>
      </w:r>
      <w:r w:rsidR="00050D38">
        <w:rPr>
          <w:rFonts w:ascii="Arial" w:eastAsia="Times New Roman" w:hAnsi="Arial" w:cs="Arial"/>
          <w:szCs w:val="24"/>
          <w:lang w:val="en-AU" w:eastAsia="en-AU"/>
        </w:rPr>
        <w:t xml:space="preserve">  </w:t>
      </w:r>
      <w:r w:rsidR="00156793" w:rsidRPr="00050D38">
        <w:rPr>
          <w:rFonts w:ascii="Arial" w:eastAsia="Times New Roman" w:hAnsi="Arial" w:cs="Arial"/>
          <w:szCs w:val="24"/>
          <w:lang w:val="en-AU" w:eastAsia="en-AU"/>
        </w:rPr>
        <w:t>As at</w:t>
      </w:r>
      <w:r w:rsidR="00E43C72" w:rsidRPr="00050D38">
        <w:rPr>
          <w:rFonts w:ascii="Arial" w:eastAsia="Times New Roman" w:hAnsi="Arial" w:cs="Arial"/>
          <w:szCs w:val="24"/>
          <w:lang w:val="en-AU" w:eastAsia="en-AU"/>
        </w:rPr>
        <w:t xml:space="preserve"> the 2011 census date adult residents </w:t>
      </w:r>
      <w:r w:rsidR="00156793" w:rsidRPr="00050D38">
        <w:rPr>
          <w:rFonts w:ascii="Arial" w:eastAsia="Times New Roman" w:hAnsi="Arial" w:cs="Arial"/>
          <w:szCs w:val="24"/>
          <w:lang w:val="en-AU" w:eastAsia="en-AU"/>
        </w:rPr>
        <w:t>in full time employment ranged from 65% to 73% of the total adult population with unemployment rates ranging from 3.1% to 7% of adult population.  T</w:t>
      </w:r>
      <w:r w:rsidR="00E43C72" w:rsidRPr="00050D38">
        <w:rPr>
          <w:rFonts w:ascii="Arial" w:eastAsia="Times New Roman" w:hAnsi="Arial" w:cs="Arial"/>
          <w:szCs w:val="24"/>
          <w:lang w:val="en-AU" w:eastAsia="en-AU"/>
        </w:rPr>
        <w:t xml:space="preserve">he average weekly income for residents over 15 years of age was </w:t>
      </w:r>
      <w:r w:rsidR="00156793" w:rsidRPr="00050D38">
        <w:rPr>
          <w:rFonts w:ascii="Arial" w:eastAsia="Times New Roman" w:hAnsi="Arial" w:cs="Arial"/>
          <w:szCs w:val="24"/>
          <w:lang w:val="en-AU" w:eastAsia="en-AU"/>
        </w:rPr>
        <w:t>assessed by the 2011 census as being in the range of $727 to $1</w:t>
      </w:r>
      <w:r w:rsidR="006867ED">
        <w:rPr>
          <w:rFonts w:ascii="Arial" w:eastAsia="Times New Roman" w:hAnsi="Arial" w:cs="Arial"/>
          <w:szCs w:val="24"/>
          <w:lang w:val="en-AU" w:eastAsia="en-AU"/>
        </w:rPr>
        <w:t xml:space="preserve"> </w:t>
      </w:r>
      <w:r w:rsidR="00156793" w:rsidRPr="00050D38">
        <w:rPr>
          <w:rFonts w:ascii="Arial" w:eastAsia="Times New Roman" w:hAnsi="Arial" w:cs="Arial"/>
          <w:szCs w:val="24"/>
          <w:lang w:val="en-AU" w:eastAsia="en-AU"/>
        </w:rPr>
        <w:t>044 per week</w:t>
      </w:r>
      <w:r w:rsidR="00050D38" w:rsidRPr="00050D38">
        <w:rPr>
          <w:rFonts w:ascii="Arial" w:eastAsia="Times New Roman" w:hAnsi="Arial" w:cs="Arial"/>
          <w:szCs w:val="24"/>
          <w:lang w:val="en-AU" w:eastAsia="en-AU"/>
        </w:rPr>
        <w:t xml:space="preserve"> across the suburbs included in the CIA</w:t>
      </w:r>
      <w:r w:rsidR="00156793" w:rsidRPr="00050D38">
        <w:rPr>
          <w:rFonts w:ascii="Arial" w:eastAsia="Times New Roman" w:hAnsi="Arial" w:cs="Arial"/>
          <w:szCs w:val="24"/>
          <w:lang w:val="en-AU" w:eastAsia="en-AU"/>
        </w:rPr>
        <w:t>.</w:t>
      </w:r>
    </w:p>
    <w:p w:rsidR="00DA2BC5" w:rsidRPr="00156793"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156793">
        <w:rPr>
          <w:rFonts w:ascii="Arial" w:eastAsia="Times New Roman" w:hAnsi="Arial" w:cs="Arial"/>
          <w:szCs w:val="24"/>
          <w:lang w:val="en-AU" w:eastAsia="en-AU"/>
        </w:rPr>
        <w:t xml:space="preserve">The CIA includes information in relation to the Australian Bureau of Statistics' Socio-Economic Indexes for Areas ("SEIFA") which is a product that enables the assessment of the welfare of Australian communities based on census data relating to household income, education, employment, occupation, housing and other indicators of advantage and disadvantage. </w:t>
      </w:r>
      <w:r w:rsidR="00173767" w:rsidRPr="00156793">
        <w:rPr>
          <w:rFonts w:ascii="Arial" w:eastAsia="Times New Roman" w:hAnsi="Arial" w:cs="Arial"/>
          <w:szCs w:val="24"/>
          <w:lang w:val="en-AU" w:eastAsia="en-AU"/>
        </w:rPr>
        <w:t xml:space="preserve"> </w:t>
      </w:r>
      <w:r w:rsidRPr="00156793">
        <w:rPr>
          <w:rFonts w:ascii="Arial" w:eastAsia="Times New Roman" w:hAnsi="Arial" w:cs="Arial"/>
          <w:szCs w:val="24"/>
          <w:lang w:val="en-AU" w:eastAsia="en-AU"/>
        </w:rPr>
        <w:t>The CIA states the SEIFA rating</w:t>
      </w:r>
      <w:r w:rsidR="00156793" w:rsidRPr="00156793">
        <w:rPr>
          <w:rFonts w:ascii="Arial" w:eastAsia="Times New Roman" w:hAnsi="Arial" w:cs="Arial"/>
          <w:szCs w:val="24"/>
          <w:lang w:val="en-AU" w:eastAsia="en-AU"/>
        </w:rPr>
        <w:t>s</w:t>
      </w:r>
      <w:r w:rsidRPr="00156793">
        <w:rPr>
          <w:rFonts w:ascii="Arial" w:eastAsia="Times New Roman" w:hAnsi="Arial" w:cs="Arial"/>
          <w:szCs w:val="24"/>
          <w:lang w:val="en-AU" w:eastAsia="en-AU"/>
        </w:rPr>
        <w:t xml:space="preserve"> for P</w:t>
      </w:r>
      <w:r w:rsidR="00156793" w:rsidRPr="00156793">
        <w:rPr>
          <w:rFonts w:ascii="Arial" w:eastAsia="Times New Roman" w:hAnsi="Arial" w:cs="Arial"/>
          <w:szCs w:val="24"/>
          <w:lang w:val="en-AU" w:eastAsia="en-AU"/>
        </w:rPr>
        <w:t xml:space="preserve">almerston vary significantly between the suburbs included in the LCA.  Rosebery and Durack fall within </w:t>
      </w:r>
      <w:r w:rsidRPr="00156793">
        <w:rPr>
          <w:rFonts w:ascii="Arial" w:eastAsia="Times New Roman" w:hAnsi="Arial" w:cs="Arial"/>
          <w:szCs w:val="24"/>
          <w:lang w:val="en-AU" w:eastAsia="en-AU"/>
        </w:rPr>
        <w:t xml:space="preserve">the </w:t>
      </w:r>
      <w:r w:rsidR="00156793">
        <w:rPr>
          <w:rFonts w:ascii="Arial" w:eastAsia="Times New Roman" w:hAnsi="Arial" w:cs="Arial"/>
          <w:szCs w:val="24"/>
          <w:lang w:val="en-AU" w:eastAsia="en-AU"/>
        </w:rPr>
        <w:t>10</w:t>
      </w:r>
      <w:r w:rsidRPr="00156793">
        <w:rPr>
          <w:rFonts w:ascii="Arial" w:eastAsia="Times New Roman" w:hAnsi="Arial" w:cs="Arial"/>
          <w:szCs w:val="24"/>
          <w:vertAlign w:val="superscript"/>
          <w:lang w:val="en-AU" w:eastAsia="en-AU"/>
        </w:rPr>
        <w:t>th</w:t>
      </w:r>
      <w:r w:rsidR="00173767" w:rsidRPr="00156793">
        <w:rPr>
          <w:rFonts w:ascii="Arial" w:eastAsia="Times New Roman" w:hAnsi="Arial" w:cs="Arial"/>
          <w:szCs w:val="24"/>
          <w:lang w:val="en-AU" w:eastAsia="en-AU"/>
        </w:rPr>
        <w:t xml:space="preserve"> </w:t>
      </w:r>
      <w:r w:rsidRPr="00156793">
        <w:rPr>
          <w:rFonts w:ascii="Arial" w:eastAsia="Times New Roman" w:hAnsi="Arial" w:cs="Arial"/>
          <w:szCs w:val="24"/>
          <w:lang w:val="en-AU" w:eastAsia="en-AU"/>
        </w:rPr>
        <w:t>decile of advantage/disadvantage</w:t>
      </w:r>
      <w:r w:rsidR="00156793">
        <w:rPr>
          <w:rFonts w:ascii="Arial" w:eastAsia="Times New Roman" w:hAnsi="Arial" w:cs="Arial"/>
          <w:szCs w:val="24"/>
          <w:lang w:val="en-AU" w:eastAsia="en-AU"/>
        </w:rPr>
        <w:t xml:space="preserve"> </w:t>
      </w:r>
      <w:r w:rsidR="00B52421">
        <w:rPr>
          <w:rFonts w:ascii="Arial" w:eastAsia="Times New Roman" w:hAnsi="Arial" w:cs="Arial"/>
          <w:szCs w:val="24"/>
          <w:lang w:val="en-AU" w:eastAsia="en-AU"/>
        </w:rPr>
        <w:t xml:space="preserve">in comparison to the Northern Territory overall </w:t>
      </w:r>
      <w:r w:rsidR="00156793">
        <w:rPr>
          <w:rFonts w:ascii="Arial" w:eastAsia="Times New Roman" w:hAnsi="Arial" w:cs="Arial"/>
          <w:szCs w:val="24"/>
          <w:lang w:val="en-AU" w:eastAsia="en-AU"/>
        </w:rPr>
        <w:t xml:space="preserve">whilst the suburbs of Moulden and Gray are assessed at the </w:t>
      </w:r>
      <w:r w:rsidR="00B52421">
        <w:rPr>
          <w:rFonts w:ascii="Arial" w:eastAsia="Times New Roman" w:hAnsi="Arial" w:cs="Arial"/>
          <w:szCs w:val="24"/>
          <w:lang w:val="en-AU" w:eastAsia="en-AU"/>
        </w:rPr>
        <w:t>3</w:t>
      </w:r>
      <w:r w:rsidR="00B52421" w:rsidRPr="00B52421">
        <w:rPr>
          <w:rFonts w:ascii="Arial" w:eastAsia="Times New Roman" w:hAnsi="Arial" w:cs="Arial"/>
          <w:szCs w:val="24"/>
          <w:vertAlign w:val="superscript"/>
          <w:lang w:val="en-AU" w:eastAsia="en-AU"/>
        </w:rPr>
        <w:t>rd</w:t>
      </w:r>
      <w:r w:rsidR="00156793">
        <w:rPr>
          <w:rFonts w:ascii="Arial" w:eastAsia="Times New Roman" w:hAnsi="Arial" w:cs="Arial"/>
          <w:szCs w:val="24"/>
          <w:lang w:val="en-AU" w:eastAsia="en-AU"/>
        </w:rPr>
        <w:t xml:space="preserve"> decile</w:t>
      </w:r>
      <w:r w:rsidR="00050D38">
        <w:rPr>
          <w:rFonts w:ascii="Arial" w:eastAsia="Times New Roman" w:hAnsi="Arial" w:cs="Arial"/>
          <w:szCs w:val="24"/>
          <w:lang w:val="en-AU" w:eastAsia="en-AU"/>
        </w:rPr>
        <w:t xml:space="preserve"> respectively, indicating</w:t>
      </w:r>
      <w:r w:rsidR="00156793">
        <w:rPr>
          <w:rFonts w:ascii="Arial" w:eastAsia="Times New Roman" w:hAnsi="Arial" w:cs="Arial"/>
          <w:szCs w:val="24"/>
          <w:lang w:val="en-AU" w:eastAsia="en-AU"/>
        </w:rPr>
        <w:t xml:space="preserve"> a fair degree of social disadvantage compare</w:t>
      </w:r>
      <w:r w:rsidR="00B52421">
        <w:rPr>
          <w:rFonts w:ascii="Arial" w:eastAsia="Times New Roman" w:hAnsi="Arial" w:cs="Arial"/>
          <w:szCs w:val="24"/>
          <w:lang w:val="en-AU" w:eastAsia="en-AU"/>
        </w:rPr>
        <w:t>d</w:t>
      </w:r>
      <w:r w:rsidR="00156793">
        <w:rPr>
          <w:rFonts w:ascii="Arial" w:eastAsia="Times New Roman" w:hAnsi="Arial" w:cs="Arial"/>
          <w:szCs w:val="24"/>
          <w:lang w:val="en-AU" w:eastAsia="en-AU"/>
        </w:rPr>
        <w:t xml:space="preserve"> to the other suburbs within the </w:t>
      </w:r>
      <w:r w:rsidR="00B52421">
        <w:rPr>
          <w:rFonts w:ascii="Arial" w:eastAsia="Times New Roman" w:hAnsi="Arial" w:cs="Arial"/>
          <w:szCs w:val="24"/>
          <w:lang w:val="en-AU" w:eastAsia="en-AU"/>
        </w:rPr>
        <w:t xml:space="preserve">LCA. </w:t>
      </w:r>
      <w:r w:rsidR="006867ED">
        <w:rPr>
          <w:rFonts w:ascii="Arial" w:eastAsia="Times New Roman" w:hAnsi="Arial" w:cs="Arial"/>
          <w:szCs w:val="24"/>
          <w:lang w:val="en-AU" w:eastAsia="en-AU"/>
        </w:rPr>
        <w:t xml:space="preserve"> </w:t>
      </w:r>
      <w:r w:rsidR="00B52421">
        <w:rPr>
          <w:rFonts w:ascii="Arial" w:eastAsia="Times New Roman" w:hAnsi="Arial" w:cs="Arial"/>
          <w:szCs w:val="24"/>
          <w:lang w:val="en-AU" w:eastAsia="en-AU"/>
        </w:rPr>
        <w:t xml:space="preserve">The CIA notes that the explanation for the low </w:t>
      </w:r>
      <w:proofErr w:type="spellStart"/>
      <w:r w:rsidR="00B52421">
        <w:rPr>
          <w:rFonts w:ascii="Arial" w:eastAsia="Times New Roman" w:hAnsi="Arial" w:cs="Arial"/>
          <w:szCs w:val="24"/>
          <w:lang w:val="en-AU" w:eastAsia="en-AU"/>
        </w:rPr>
        <w:t>decile</w:t>
      </w:r>
      <w:proofErr w:type="spellEnd"/>
      <w:r w:rsidR="00B52421">
        <w:rPr>
          <w:rFonts w:ascii="Arial" w:eastAsia="Times New Roman" w:hAnsi="Arial" w:cs="Arial"/>
          <w:szCs w:val="24"/>
          <w:lang w:val="en-AU" w:eastAsia="en-AU"/>
        </w:rPr>
        <w:t xml:space="preserve"> ratings for Gray and </w:t>
      </w:r>
      <w:r w:rsidR="00CA7915">
        <w:rPr>
          <w:rFonts w:ascii="Arial" w:eastAsia="Times New Roman" w:hAnsi="Arial" w:cs="Arial"/>
          <w:szCs w:val="24"/>
          <w:lang w:val="en-AU" w:eastAsia="en-AU"/>
        </w:rPr>
        <w:t xml:space="preserve">Moulden </w:t>
      </w:r>
      <w:r w:rsidR="00B52421">
        <w:rPr>
          <w:rFonts w:ascii="Arial" w:eastAsia="Times New Roman" w:hAnsi="Arial" w:cs="Arial"/>
          <w:szCs w:val="24"/>
          <w:lang w:val="en-AU" w:eastAsia="en-AU"/>
        </w:rPr>
        <w:t>appear</w:t>
      </w:r>
      <w:r w:rsidR="00CA7915">
        <w:rPr>
          <w:rFonts w:ascii="Arial" w:eastAsia="Times New Roman" w:hAnsi="Arial" w:cs="Arial"/>
          <w:szCs w:val="24"/>
          <w:lang w:val="en-AU" w:eastAsia="en-AU"/>
        </w:rPr>
        <w:t>s</w:t>
      </w:r>
      <w:r w:rsidR="00B52421">
        <w:rPr>
          <w:rFonts w:ascii="Arial" w:eastAsia="Times New Roman" w:hAnsi="Arial" w:cs="Arial"/>
          <w:szCs w:val="24"/>
          <w:lang w:val="en-AU" w:eastAsia="en-AU"/>
        </w:rPr>
        <w:t xml:space="preserve"> to be linked to the fact that more public housing has been grouped into these suburbs which is stated to have substantially contributed to the comparativ</w:t>
      </w:r>
      <w:r w:rsidR="00050D38">
        <w:rPr>
          <w:rFonts w:ascii="Arial" w:eastAsia="Times New Roman" w:hAnsi="Arial" w:cs="Arial"/>
          <w:szCs w:val="24"/>
          <w:lang w:val="en-AU" w:eastAsia="en-AU"/>
        </w:rPr>
        <w:t>e disadvantage.</w:t>
      </w:r>
    </w:p>
    <w:p w:rsidR="00B52421" w:rsidRPr="00050D38" w:rsidRDefault="00E43C72" w:rsidP="00050D3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w:t>
      </w:r>
      <w:r w:rsidR="00B52421">
        <w:rPr>
          <w:rFonts w:ascii="Arial" w:eastAsia="Times New Roman" w:hAnsi="Arial" w:cs="Arial"/>
          <w:szCs w:val="24"/>
          <w:lang w:val="en-AU" w:eastAsia="en-AU"/>
        </w:rPr>
        <w:t>rough no fault of the authors of the CIA, the data provided in respect of the number of gaming machines located within proximity to the Tavern is dated due to a number of the identified venues having received authorisation for additional gaming machines since the CIA was prepared.  The CIA states that there are 132 gaming machines located in the Palmerston Area.  That number has increased though recent authorisations to 175.</w:t>
      </w:r>
      <w:r w:rsidR="00FE0B6C">
        <w:rPr>
          <w:rFonts w:ascii="Arial" w:eastAsia="Times New Roman" w:hAnsi="Arial" w:cs="Arial"/>
          <w:szCs w:val="24"/>
          <w:lang w:val="en-AU" w:eastAsia="en-AU"/>
        </w:rPr>
        <w:t xml:space="preserve">  On the revised figures, and adopting an estimated adult population of 22</w:t>
      </w:r>
      <w:r w:rsidR="006867ED">
        <w:rPr>
          <w:rFonts w:ascii="Arial" w:eastAsia="Times New Roman" w:hAnsi="Arial" w:cs="Arial"/>
          <w:szCs w:val="24"/>
          <w:lang w:val="en-AU" w:eastAsia="en-AU"/>
        </w:rPr>
        <w:t xml:space="preserve"> </w:t>
      </w:r>
      <w:r w:rsidR="00FE0B6C">
        <w:rPr>
          <w:rFonts w:ascii="Arial" w:eastAsia="Times New Roman" w:hAnsi="Arial" w:cs="Arial"/>
          <w:szCs w:val="24"/>
          <w:lang w:val="en-AU" w:eastAsia="en-AU"/>
        </w:rPr>
        <w:t xml:space="preserve">795 </w:t>
      </w:r>
      <w:r w:rsidR="005B25CD">
        <w:rPr>
          <w:rFonts w:ascii="Arial" w:eastAsia="Times New Roman" w:hAnsi="Arial" w:cs="Arial"/>
          <w:szCs w:val="24"/>
          <w:lang w:val="en-AU" w:eastAsia="en-AU"/>
        </w:rPr>
        <w:t xml:space="preserve">adult </w:t>
      </w:r>
      <w:r w:rsidR="00FE0B6C">
        <w:rPr>
          <w:rFonts w:ascii="Arial" w:eastAsia="Times New Roman" w:hAnsi="Arial" w:cs="Arial"/>
          <w:szCs w:val="24"/>
          <w:lang w:val="en-AU" w:eastAsia="en-AU"/>
        </w:rPr>
        <w:t xml:space="preserve">residents for the LCA, the ratio is estimated at </w:t>
      </w:r>
      <w:r w:rsidR="00FE0B6C" w:rsidRPr="00FE0B6C">
        <w:rPr>
          <w:rFonts w:ascii="Arial" w:eastAsia="Times New Roman" w:hAnsi="Arial" w:cs="Arial"/>
          <w:lang w:val="en-AU" w:eastAsia="en-AU"/>
        </w:rPr>
        <w:t>76 gaming machines per 10</w:t>
      </w:r>
      <w:r w:rsidR="006867ED">
        <w:rPr>
          <w:rFonts w:ascii="Arial" w:eastAsia="Times New Roman" w:hAnsi="Arial" w:cs="Arial"/>
          <w:lang w:val="en-AU" w:eastAsia="en-AU"/>
        </w:rPr>
        <w:t xml:space="preserve"> </w:t>
      </w:r>
      <w:r w:rsidR="00FE0B6C" w:rsidRPr="00FE0B6C">
        <w:rPr>
          <w:rFonts w:ascii="Arial" w:eastAsia="Times New Roman" w:hAnsi="Arial" w:cs="Arial"/>
          <w:lang w:val="en-AU" w:eastAsia="en-AU"/>
        </w:rPr>
        <w:t xml:space="preserve">000 adult residents.  That figure is significantly lower than that </w:t>
      </w:r>
      <w:r w:rsidR="00FE0B6C" w:rsidRPr="00FE0B6C">
        <w:rPr>
          <w:rFonts w:ascii="Arial" w:hAnsi="Arial" w:cs="Arial"/>
          <w:bCs/>
        </w:rPr>
        <w:t>for the Greater Darwin Area of 142 machines per 10</w:t>
      </w:r>
      <w:r w:rsidR="006867ED">
        <w:rPr>
          <w:rFonts w:ascii="Arial" w:hAnsi="Arial" w:cs="Arial"/>
          <w:bCs/>
        </w:rPr>
        <w:t xml:space="preserve"> </w:t>
      </w:r>
      <w:r w:rsidR="00FE0B6C" w:rsidRPr="00FE0B6C">
        <w:rPr>
          <w:rFonts w:ascii="Arial" w:hAnsi="Arial" w:cs="Arial"/>
          <w:bCs/>
        </w:rPr>
        <w:t>000 adult residents</w:t>
      </w:r>
      <w:r w:rsidR="00050D38">
        <w:rPr>
          <w:rFonts w:ascii="Arial" w:hAnsi="Arial" w:cs="Arial"/>
          <w:bCs/>
        </w:rPr>
        <w:t xml:space="preserve">.  </w:t>
      </w:r>
      <w:r w:rsidR="00050D38">
        <w:rPr>
          <w:rFonts w:ascii="Arial" w:eastAsia="Times New Roman" w:hAnsi="Arial" w:cs="Arial"/>
          <w:szCs w:val="24"/>
          <w:lang w:val="en-AU" w:eastAsia="en-AU"/>
        </w:rPr>
        <w:t>It should also be noted that of the 175 gaming machines located in the LCA 155 are located within clubs with only one other licenced public tavern offering gaming machines.</w:t>
      </w:r>
    </w:p>
    <w:p w:rsidR="00DA2BC5" w:rsidRPr="00050D38" w:rsidRDefault="00E43C72" w:rsidP="00050D38">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050D38">
        <w:rPr>
          <w:rFonts w:ascii="Arial" w:eastAsia="Times New Roman" w:hAnsi="Arial" w:cs="Arial"/>
          <w:szCs w:val="24"/>
          <w:lang w:val="en-AU" w:eastAsia="en-AU"/>
        </w:rPr>
        <w:lastRenderedPageBreak/>
        <w:t xml:space="preserve">Pursuant to 41A(2)(c) of the Act, the CIA must provide details with respect to the proximity of the premises to sensitive areas such as schools, shopping centres, other community congregation facilities, welfare agencies, banks and pawn brokers. </w:t>
      </w:r>
      <w:r w:rsidR="00173767" w:rsidRPr="00050D38">
        <w:rPr>
          <w:rFonts w:ascii="Arial" w:eastAsia="Times New Roman" w:hAnsi="Arial" w:cs="Arial"/>
          <w:szCs w:val="24"/>
          <w:lang w:val="en-AU" w:eastAsia="en-AU"/>
        </w:rPr>
        <w:t xml:space="preserve"> </w:t>
      </w:r>
      <w:r w:rsidR="00050D38">
        <w:rPr>
          <w:rFonts w:ascii="Arial" w:eastAsia="Times New Roman" w:hAnsi="Arial" w:cs="Arial"/>
          <w:szCs w:val="24"/>
          <w:lang w:val="en-AU" w:eastAsia="en-AU"/>
        </w:rPr>
        <w:t xml:space="preserve">The subject premises are in proximity to numerous gaming sensitive sites, not surprisingly allowing that the Tavern is located in the Palmerston CBD.  The CIA lists numerous sensitive sites within the Palmerston Area including schools, shopping centres, welfare agencies, places of worship and the like where members of the public are likely to congregate.  As noted in the CIA and supported by records held by Licensing NT, the Tavern has not been the subject of any </w:t>
      </w:r>
      <w:r w:rsidR="005B25CD">
        <w:rPr>
          <w:rFonts w:ascii="Arial" w:eastAsia="Times New Roman" w:hAnsi="Arial" w:cs="Arial"/>
          <w:szCs w:val="24"/>
          <w:lang w:val="en-AU" w:eastAsia="en-AU"/>
        </w:rPr>
        <w:t xml:space="preserve">negative </w:t>
      </w:r>
      <w:r w:rsidR="00050D38">
        <w:rPr>
          <w:rFonts w:ascii="Arial" w:eastAsia="Times New Roman" w:hAnsi="Arial" w:cs="Arial"/>
          <w:szCs w:val="24"/>
          <w:lang w:val="en-AU" w:eastAsia="en-AU"/>
        </w:rPr>
        <w:t>findings in respect of adverse impacts on sensitive sites, or the community in general, despite having operated gaming machines from the venue since the late 1990’s.</w:t>
      </w:r>
      <w:r w:rsidR="003156CB">
        <w:rPr>
          <w:rFonts w:ascii="Arial" w:eastAsia="Times New Roman" w:hAnsi="Arial" w:cs="Arial"/>
          <w:szCs w:val="24"/>
          <w:lang w:val="en-AU" w:eastAsia="en-AU"/>
        </w:rPr>
        <w:t xml:space="preserve">  The CIA notes further in that regard that none of the community groups contacted during the preparation of the CIA suggested that there were any problems with the manner in which the Applicant currently conducts the gaming machine component of its business.</w:t>
      </w:r>
    </w:p>
    <w:p w:rsidR="00DA2BC5" w:rsidRPr="00E209FB" w:rsidRDefault="00E43C72" w:rsidP="004B21BA">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Tavern currently holds a gaming machine licence and has done so for some considerable time.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On the basis of the available information and the material presented in the CIA, I am satisfied that the venue's location continues to be suitable for the operation of gaming machines.</w:t>
      </w:r>
    </w:p>
    <w:p w:rsidR="00DA2BC5" w:rsidRPr="00074203" w:rsidRDefault="00E43C72" w:rsidP="00074203">
      <w:pPr>
        <w:pStyle w:val="ListParagraph"/>
        <w:widowControl/>
        <w:spacing w:before="240" w:after="120"/>
        <w:jc w:val="both"/>
        <w:rPr>
          <w:rStyle w:val="Emphasis"/>
          <w:rFonts w:ascii="Arial" w:eastAsia="Times New Roman" w:hAnsi="Arial" w:cs="Times New Roman"/>
          <w:b/>
          <w:i w:val="0"/>
          <w:szCs w:val="20"/>
          <w:lang w:val="en-AU" w:eastAsia="en-AU"/>
        </w:rPr>
      </w:pPr>
      <w:r w:rsidRPr="00074203">
        <w:rPr>
          <w:rStyle w:val="Emphasis"/>
          <w:rFonts w:ascii="Arial" w:eastAsia="Times New Roman" w:hAnsi="Arial" w:cs="Times New Roman"/>
          <w:b/>
          <w:i w:val="0"/>
          <w:szCs w:val="20"/>
          <w:lang w:val="en-AU" w:eastAsia="en-AU"/>
        </w:rPr>
        <w:t>Appr</w:t>
      </w:r>
      <w:r w:rsidR="00E209FB" w:rsidRPr="00074203">
        <w:rPr>
          <w:rStyle w:val="Emphasis"/>
          <w:rFonts w:ascii="Arial" w:eastAsia="Times New Roman" w:hAnsi="Arial" w:cs="Times New Roman"/>
          <w:b/>
          <w:i w:val="0"/>
          <w:szCs w:val="20"/>
          <w:lang w:val="en-AU" w:eastAsia="en-AU"/>
        </w:rPr>
        <w:t xml:space="preserve">opriateness </w:t>
      </w:r>
      <w:r w:rsidRPr="00074203">
        <w:rPr>
          <w:rStyle w:val="Emphasis"/>
          <w:rFonts w:ascii="Arial" w:eastAsia="Times New Roman" w:hAnsi="Arial" w:cs="Times New Roman"/>
          <w:b/>
          <w:i w:val="0"/>
          <w:szCs w:val="20"/>
          <w:lang w:val="en-AU" w:eastAsia="en-AU"/>
        </w:rPr>
        <w:t>of problem gambling risk management</w:t>
      </w:r>
      <w:r w:rsidR="00E209FB"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and responsible gambling strategies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CIA reports that Young Doran Markham (2014) research of problem gambling by NT residents for the purpose of the 2014 report 'Gambling Harm in the Northern Territory: An Atlas of Venue Catchments' confirms that problem gamblers make up a small percentage in the number of gamblers but account for 30% of the total gambling expenditure.</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Approximately 600</w:t>
      </w:r>
      <w:r w:rsidR="00E50D63">
        <w:rPr>
          <w:rFonts w:ascii="Arial" w:eastAsia="Times New Roman" w:hAnsi="Arial" w:cs="Arial"/>
          <w:szCs w:val="24"/>
          <w:lang w:val="en-AU" w:eastAsia="en-AU"/>
        </w:rPr>
        <w:t> </w:t>
      </w:r>
      <w:r w:rsidRPr="00E209FB">
        <w:rPr>
          <w:rFonts w:ascii="Arial" w:eastAsia="Times New Roman" w:hAnsi="Arial" w:cs="Arial"/>
          <w:szCs w:val="24"/>
          <w:lang w:val="en-AU" w:eastAsia="en-AU"/>
        </w:rPr>
        <w:t>000 Australians play gaming machines weekly, equating to 4% of the adult population, and of that group 15% are considered to be problem gamblers who spent around 40% of the total spending on gaming machines.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CIA also</w:t>
      </w:r>
      <w:r w:rsidR="003156CB">
        <w:rPr>
          <w:rFonts w:ascii="Arial" w:eastAsia="Times New Roman" w:hAnsi="Arial" w:cs="Arial"/>
          <w:szCs w:val="24"/>
          <w:lang w:val="en-AU" w:eastAsia="en-AU"/>
        </w:rPr>
        <w:t xml:space="preserve"> states that the </w:t>
      </w:r>
      <w:r w:rsidRPr="00E209FB">
        <w:rPr>
          <w:rFonts w:ascii="Arial" w:eastAsia="Times New Roman" w:hAnsi="Arial" w:cs="Arial"/>
          <w:szCs w:val="24"/>
          <w:lang w:val="en-AU" w:eastAsia="en-AU"/>
        </w:rPr>
        <w:t>Young Doran Markham</w:t>
      </w:r>
      <w:r w:rsidR="006D0F45">
        <w:rPr>
          <w:rFonts w:ascii="Arial" w:eastAsia="Times New Roman" w:hAnsi="Arial" w:cs="Arial"/>
          <w:szCs w:val="24"/>
          <w:lang w:val="en-AU" w:eastAsia="en-AU"/>
        </w:rPr>
        <w:t xml:space="preserve"> (2014) research found that 89.4</w:t>
      </w:r>
      <w:r w:rsidR="003156CB">
        <w:rPr>
          <w:rFonts w:ascii="Arial" w:eastAsia="Times New Roman" w:hAnsi="Arial" w:cs="Arial"/>
          <w:szCs w:val="24"/>
          <w:lang w:val="en-AU" w:eastAsia="en-AU"/>
        </w:rPr>
        <w:t>% of client</w:t>
      </w:r>
      <w:r w:rsidRPr="00E209FB">
        <w:rPr>
          <w:rFonts w:ascii="Arial" w:eastAsia="Times New Roman" w:hAnsi="Arial" w:cs="Arial"/>
          <w:szCs w:val="24"/>
          <w:lang w:val="en-AU" w:eastAsia="en-AU"/>
        </w:rPr>
        <w:t xml:space="preserve">s of the </w:t>
      </w:r>
      <w:r w:rsidR="006D0F45">
        <w:rPr>
          <w:rFonts w:ascii="Arial" w:eastAsia="Times New Roman" w:hAnsi="Arial" w:cs="Arial"/>
          <w:szCs w:val="24"/>
          <w:lang w:val="en-AU" w:eastAsia="en-AU"/>
        </w:rPr>
        <w:t>Palmerston</w:t>
      </w:r>
      <w:r w:rsidRPr="00E209FB">
        <w:rPr>
          <w:rFonts w:ascii="Arial" w:eastAsia="Times New Roman" w:hAnsi="Arial" w:cs="Arial"/>
          <w:szCs w:val="24"/>
          <w:lang w:val="en-AU" w:eastAsia="en-AU"/>
        </w:rPr>
        <w:t xml:space="preserve"> Tavern were considered</w:t>
      </w:r>
      <w:r w:rsidR="006D0F45">
        <w:rPr>
          <w:rFonts w:ascii="Arial" w:eastAsia="Times New Roman" w:hAnsi="Arial" w:cs="Arial"/>
          <w:szCs w:val="24"/>
          <w:lang w:val="en-AU" w:eastAsia="en-AU"/>
        </w:rPr>
        <w:t xml:space="preserve"> to be non problem gamblers, 6.3% we</w:t>
      </w:r>
      <w:r w:rsidR="001E2789">
        <w:rPr>
          <w:rFonts w:ascii="Arial" w:eastAsia="Times New Roman" w:hAnsi="Arial" w:cs="Arial"/>
          <w:szCs w:val="24"/>
          <w:lang w:val="en-AU" w:eastAsia="en-AU"/>
        </w:rPr>
        <w:t>re considered low risk, 3.5% were moderate risk and 0.7</w:t>
      </w:r>
      <w:r w:rsidRPr="00E209FB">
        <w:rPr>
          <w:rFonts w:ascii="Arial" w:eastAsia="Times New Roman" w:hAnsi="Arial" w:cs="Arial"/>
          <w:szCs w:val="24"/>
          <w:lang w:val="en-AU" w:eastAsia="en-AU"/>
        </w:rPr>
        <w:t xml:space="preserve">% were considered to be high risk problem gamblers. </w:t>
      </w:r>
      <w:r w:rsidR="00173767">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Those figures must be viewed with some caution due to the low response rate of the survey conducted</w:t>
      </w:r>
      <w:r w:rsidR="001E2789">
        <w:rPr>
          <w:rFonts w:ascii="Arial" w:eastAsia="Times New Roman" w:hAnsi="Arial" w:cs="Arial"/>
          <w:szCs w:val="24"/>
          <w:lang w:val="en-AU" w:eastAsia="en-AU"/>
        </w:rPr>
        <w:t xml:space="preserve"> however it should be noted that the percentages of moderate to high risk gamblers is considerably lower that for similar venues in Palmerston and the Greater Darwin Area</w:t>
      </w:r>
      <w:r w:rsidRPr="00E209FB">
        <w:rPr>
          <w:rFonts w:ascii="Arial" w:eastAsia="Times New Roman" w:hAnsi="Arial" w:cs="Arial"/>
          <w:szCs w:val="24"/>
          <w:lang w:val="en-AU" w:eastAsia="en-AU"/>
        </w:rPr>
        <w:t>.</w:t>
      </w:r>
    </w:p>
    <w:p w:rsidR="00DA2BC5" w:rsidRPr="001E2789" w:rsidRDefault="006D0F45" w:rsidP="001E2789">
      <w:pPr>
        <w:pStyle w:val="ListParagraph"/>
        <w:widowControl/>
        <w:numPr>
          <w:ilvl w:val="0"/>
          <w:numId w:val="3"/>
        </w:numPr>
        <w:spacing w:after="240"/>
        <w:ind w:left="567" w:hanging="425"/>
        <w:jc w:val="both"/>
        <w:rPr>
          <w:rFonts w:ascii="Arial" w:eastAsia="Times New Roman" w:hAnsi="Arial" w:cs="Arial"/>
          <w:szCs w:val="24"/>
          <w:lang w:val="en-AU" w:eastAsia="en-AU"/>
        </w:rPr>
      </w:pPr>
      <w:r w:rsidRPr="001E2789">
        <w:rPr>
          <w:rFonts w:ascii="Arial" w:eastAsia="Times New Roman" w:hAnsi="Arial" w:cs="Arial"/>
          <w:szCs w:val="24"/>
          <w:lang w:val="en-AU" w:eastAsia="en-AU"/>
        </w:rPr>
        <w:t xml:space="preserve">Mr Wilson submits in his statement accompanying the CIA that the Applicant demonstrates a best practice approach to the management of the gaming element of the Tavern’s business. </w:t>
      </w:r>
      <w:r w:rsidR="00E50D63">
        <w:rPr>
          <w:rFonts w:ascii="Arial" w:eastAsia="Times New Roman" w:hAnsi="Arial" w:cs="Arial"/>
          <w:szCs w:val="24"/>
          <w:lang w:val="en-AU" w:eastAsia="en-AU"/>
        </w:rPr>
        <w:t xml:space="preserve"> </w:t>
      </w:r>
      <w:r w:rsidRPr="001E2789">
        <w:rPr>
          <w:rFonts w:ascii="Arial" w:eastAsia="Times New Roman" w:hAnsi="Arial" w:cs="Arial"/>
          <w:szCs w:val="24"/>
          <w:lang w:val="en-AU" w:eastAsia="en-AU"/>
        </w:rPr>
        <w:t xml:space="preserve">The current approach includes periodic training of relevant staff, participation in the self-exclusion program and other initiatives mandated by the NT Responsible Gambling Code of Practice.  Of significance in that regard is the </w:t>
      </w:r>
      <w:r w:rsidR="0046226A">
        <w:rPr>
          <w:rFonts w:ascii="Arial" w:eastAsia="Times New Roman" w:hAnsi="Arial" w:cs="Arial"/>
          <w:szCs w:val="24"/>
          <w:lang w:val="en-AU" w:eastAsia="en-AU"/>
        </w:rPr>
        <w:t xml:space="preserve">Applicant’s </w:t>
      </w:r>
      <w:r w:rsidRPr="001E2789">
        <w:rPr>
          <w:rFonts w:ascii="Arial" w:eastAsia="Times New Roman" w:hAnsi="Arial" w:cs="Arial"/>
          <w:szCs w:val="24"/>
          <w:lang w:val="en-AU" w:eastAsia="en-AU"/>
        </w:rPr>
        <w:t xml:space="preserve">voluntary </w:t>
      </w:r>
      <w:r w:rsidR="0046226A">
        <w:rPr>
          <w:rFonts w:ascii="Arial" w:eastAsia="Times New Roman" w:hAnsi="Arial" w:cs="Arial"/>
          <w:szCs w:val="24"/>
          <w:lang w:val="en-AU" w:eastAsia="en-AU"/>
        </w:rPr>
        <w:t xml:space="preserve">commitment to introduce </w:t>
      </w:r>
      <w:r w:rsidRPr="001E2789">
        <w:rPr>
          <w:rFonts w:ascii="Arial" w:eastAsia="Times New Roman" w:hAnsi="Arial" w:cs="Arial"/>
          <w:szCs w:val="24"/>
          <w:lang w:val="en-AU" w:eastAsia="en-AU"/>
        </w:rPr>
        <w:t xml:space="preserve">pre-commitment technology at the Tavern </w:t>
      </w:r>
      <w:r w:rsidR="0046226A">
        <w:rPr>
          <w:rFonts w:ascii="Arial" w:eastAsia="Times New Roman" w:hAnsi="Arial" w:cs="Arial"/>
          <w:szCs w:val="24"/>
          <w:lang w:val="en-AU" w:eastAsia="en-AU"/>
        </w:rPr>
        <w:t>in the near future</w:t>
      </w:r>
      <w:r w:rsidR="001E2789">
        <w:rPr>
          <w:rFonts w:ascii="Arial" w:eastAsia="Times New Roman" w:hAnsi="Arial" w:cs="Arial"/>
          <w:szCs w:val="24"/>
          <w:lang w:val="en-AU" w:eastAsia="en-AU"/>
        </w:rPr>
        <w:t xml:space="preserve">. </w:t>
      </w:r>
      <w:r w:rsidR="00E50D63">
        <w:rPr>
          <w:rFonts w:ascii="Arial" w:eastAsia="Times New Roman" w:hAnsi="Arial" w:cs="Arial"/>
          <w:szCs w:val="24"/>
          <w:lang w:val="en-AU" w:eastAsia="en-AU"/>
        </w:rPr>
        <w:t xml:space="preserve"> </w:t>
      </w:r>
      <w:r w:rsidR="001E2789">
        <w:rPr>
          <w:rFonts w:ascii="Arial" w:eastAsia="Times New Roman" w:hAnsi="Arial" w:cs="Arial"/>
          <w:szCs w:val="24"/>
          <w:lang w:val="en-AU" w:eastAsia="en-AU"/>
        </w:rPr>
        <w:t>T</w:t>
      </w:r>
      <w:r w:rsidR="00E43C72" w:rsidRPr="001E2789">
        <w:rPr>
          <w:rFonts w:ascii="Arial" w:eastAsia="Times New Roman" w:hAnsi="Arial" w:cs="Arial"/>
          <w:szCs w:val="24"/>
          <w:lang w:val="en-AU" w:eastAsia="en-AU"/>
        </w:rPr>
        <w:t>he Applicant</w:t>
      </w:r>
      <w:r w:rsidR="001E2789">
        <w:rPr>
          <w:rFonts w:ascii="Arial" w:eastAsia="Times New Roman" w:hAnsi="Arial" w:cs="Arial"/>
          <w:szCs w:val="24"/>
          <w:lang w:val="en-AU" w:eastAsia="en-AU"/>
        </w:rPr>
        <w:t xml:space="preserve">’s voluntary implementation and promotion of pre-commitment </w:t>
      </w:r>
      <w:r w:rsidR="00E43C72" w:rsidRPr="001E2789">
        <w:rPr>
          <w:rFonts w:ascii="Arial" w:eastAsia="Times New Roman" w:hAnsi="Arial" w:cs="Arial"/>
          <w:szCs w:val="24"/>
          <w:lang w:val="en-AU" w:eastAsia="en-AU"/>
        </w:rPr>
        <w:t>demonstrates a proactive approach to the man</w:t>
      </w:r>
      <w:r w:rsidR="001E2789">
        <w:rPr>
          <w:rFonts w:ascii="Arial" w:eastAsia="Times New Roman" w:hAnsi="Arial" w:cs="Arial"/>
          <w:szCs w:val="24"/>
          <w:lang w:val="en-AU" w:eastAsia="en-AU"/>
        </w:rPr>
        <w:t>agement of the gambling component</w:t>
      </w:r>
      <w:r w:rsidR="00E43C72" w:rsidRPr="001E2789">
        <w:rPr>
          <w:rFonts w:ascii="Arial" w:eastAsia="Times New Roman" w:hAnsi="Arial" w:cs="Arial"/>
          <w:szCs w:val="24"/>
          <w:lang w:val="en-AU" w:eastAsia="en-AU"/>
        </w:rPr>
        <w:t xml:space="preserve"> of its business. </w:t>
      </w:r>
    </w:p>
    <w:p w:rsidR="00DA2BC5" w:rsidRPr="00E209FB" w:rsidRDefault="00E43C72" w:rsidP="006C18E9">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Tavern has in place a responsible gambling incident register and ensures recording of action taken by staff in respect of enforcement of the code of conduct for responsible gambling. </w:t>
      </w:r>
      <w:r w:rsidR="00173767">
        <w:rPr>
          <w:rFonts w:ascii="Arial" w:eastAsia="Times New Roman" w:hAnsi="Arial" w:cs="Arial"/>
          <w:szCs w:val="24"/>
          <w:lang w:val="en-AU" w:eastAsia="en-AU"/>
        </w:rPr>
        <w:t xml:space="preserve"> </w:t>
      </w:r>
      <w:r w:rsidR="009A0B1B" w:rsidRPr="00E209FB">
        <w:rPr>
          <w:rFonts w:ascii="Arial" w:eastAsia="Times New Roman" w:hAnsi="Arial" w:cs="Arial"/>
          <w:szCs w:val="24"/>
          <w:lang w:val="en-AU" w:eastAsia="en-AU"/>
        </w:rPr>
        <w:t>An inspection of samples from the incident register indicates</w:t>
      </w:r>
      <w:r w:rsidRPr="00E209FB">
        <w:rPr>
          <w:rFonts w:ascii="Arial" w:eastAsia="Times New Roman" w:hAnsi="Arial" w:cs="Arial"/>
          <w:szCs w:val="24"/>
          <w:lang w:val="en-AU" w:eastAsia="en-AU"/>
        </w:rPr>
        <w:t xml:space="preserve"> that the Tavern staff take a proactive and responsible approach to their obligations in dealing with customers utilising the gaming machines.</w:t>
      </w:r>
    </w:p>
    <w:p w:rsidR="00DA2BC5" w:rsidRPr="00074203" w:rsidRDefault="00E43C72" w:rsidP="00E50D63">
      <w:pPr>
        <w:pStyle w:val="ListParagraph"/>
        <w:keepNext/>
        <w:keepLines/>
        <w:widowControl/>
        <w:spacing w:before="240" w:after="120"/>
        <w:jc w:val="both"/>
        <w:rPr>
          <w:rStyle w:val="Emphasis"/>
          <w:rFonts w:ascii="Arial" w:eastAsia="Times New Roman" w:hAnsi="Arial" w:cs="Times New Roman"/>
          <w:i w:val="0"/>
          <w:szCs w:val="20"/>
          <w:lang w:val="en-AU" w:eastAsia="en-AU"/>
        </w:rPr>
      </w:pPr>
      <w:r w:rsidRPr="00074203">
        <w:rPr>
          <w:rStyle w:val="Emphasis"/>
          <w:rFonts w:ascii="Arial" w:eastAsia="Times New Roman" w:hAnsi="Arial" w:cs="Times New Roman"/>
          <w:b/>
          <w:i w:val="0"/>
          <w:szCs w:val="20"/>
          <w:lang w:val="en-AU" w:eastAsia="en-AU"/>
        </w:rPr>
        <w:lastRenderedPageBreak/>
        <w:t>Economic</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impact</w:t>
      </w:r>
      <w:r w:rsidR="001A7CB4" w:rsidRPr="00074203">
        <w:rPr>
          <w:rStyle w:val="Emphasis"/>
          <w:rFonts w:ascii="Arial" w:eastAsia="Times New Roman" w:hAnsi="Arial" w:cs="Times New Roman"/>
          <w:b/>
          <w:i w:val="0"/>
          <w:szCs w:val="20"/>
          <w:lang w:val="en-AU" w:eastAsia="en-AU"/>
        </w:rPr>
        <w:t xml:space="preserve"> – </w:t>
      </w:r>
      <w:r w:rsidRPr="00074203">
        <w:rPr>
          <w:rStyle w:val="Emphasis"/>
          <w:rFonts w:ascii="Arial" w:eastAsia="Times New Roman" w:hAnsi="Arial" w:cs="Times New Roman"/>
          <w:b/>
          <w:i w:val="0"/>
          <w:szCs w:val="20"/>
          <w:lang w:val="en-AU" w:eastAsia="en-AU"/>
        </w:rPr>
        <w:t>contribution</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to</w:t>
      </w:r>
      <w:r w:rsidR="001A7CB4" w:rsidRPr="00074203">
        <w:rPr>
          <w:rStyle w:val="Emphasis"/>
          <w:rFonts w:ascii="Arial" w:eastAsia="Times New Roman" w:hAnsi="Arial" w:cs="Times New Roman"/>
          <w:b/>
          <w:i w:val="0"/>
          <w:szCs w:val="20"/>
          <w:lang w:val="en-AU" w:eastAsia="en-AU"/>
        </w:rPr>
        <w:t xml:space="preserve"> the community, employment </w:t>
      </w:r>
      <w:r w:rsidRPr="00074203">
        <w:rPr>
          <w:rStyle w:val="Emphasis"/>
          <w:rFonts w:ascii="Arial" w:eastAsia="Times New Roman" w:hAnsi="Arial" w:cs="Times New Roman"/>
          <w:b/>
          <w:i w:val="0"/>
          <w:szCs w:val="20"/>
          <w:lang w:val="en-AU" w:eastAsia="en-AU"/>
        </w:rPr>
        <w:t>creation</w:t>
      </w:r>
      <w:r w:rsidR="001A7CB4" w:rsidRPr="00074203">
        <w:rPr>
          <w:rStyle w:val="Emphasis"/>
          <w:rFonts w:ascii="Arial" w:eastAsia="Times New Roman" w:hAnsi="Arial" w:cs="Times New Roman"/>
          <w:b/>
          <w:i w:val="0"/>
          <w:szCs w:val="20"/>
          <w:lang w:val="en-AU" w:eastAsia="en-AU"/>
        </w:rPr>
        <w:t xml:space="preserve"> </w:t>
      </w:r>
      <w:r w:rsidRPr="00074203">
        <w:rPr>
          <w:rStyle w:val="Emphasis"/>
          <w:rFonts w:ascii="Arial" w:eastAsia="Times New Roman" w:hAnsi="Arial" w:cs="Times New Roman"/>
          <w:b/>
          <w:i w:val="0"/>
          <w:szCs w:val="20"/>
          <w:lang w:val="en-AU" w:eastAsia="en-AU"/>
        </w:rPr>
        <w:t>and significance/reliance of the venue to or on tourism</w:t>
      </w:r>
    </w:p>
    <w:p w:rsidR="001E2789" w:rsidRDefault="00E43C72" w:rsidP="00E50D63">
      <w:pPr>
        <w:pStyle w:val="ListParagraph"/>
        <w:keepNext/>
        <w:keepLines/>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CIA includes the Tavern's financial data from </w:t>
      </w:r>
      <w:r w:rsidR="001E2789">
        <w:rPr>
          <w:rFonts w:ascii="Arial" w:eastAsia="Times New Roman" w:hAnsi="Arial" w:cs="Arial"/>
          <w:szCs w:val="24"/>
          <w:lang w:val="en-AU" w:eastAsia="en-AU"/>
        </w:rPr>
        <w:t xml:space="preserve">2014 / 2015 financial year. </w:t>
      </w:r>
      <w:r w:rsidR="00E50D63">
        <w:rPr>
          <w:rFonts w:ascii="Arial" w:eastAsia="Times New Roman" w:hAnsi="Arial" w:cs="Arial"/>
          <w:szCs w:val="24"/>
          <w:lang w:val="en-AU" w:eastAsia="en-AU"/>
        </w:rPr>
        <w:t xml:space="preserve"> </w:t>
      </w:r>
      <w:r w:rsidR="001E2789">
        <w:rPr>
          <w:rFonts w:ascii="Arial" w:eastAsia="Times New Roman" w:hAnsi="Arial" w:cs="Arial"/>
          <w:szCs w:val="24"/>
          <w:lang w:val="en-AU" w:eastAsia="en-AU"/>
        </w:rPr>
        <w:t xml:space="preserve">The CIA reports that </w:t>
      </w:r>
      <w:r w:rsidR="009A0B1B">
        <w:rPr>
          <w:rFonts w:ascii="Arial" w:eastAsia="Times New Roman" w:hAnsi="Arial" w:cs="Arial"/>
          <w:szCs w:val="24"/>
          <w:lang w:val="en-AU" w:eastAsia="en-AU"/>
        </w:rPr>
        <w:t>there</w:t>
      </w:r>
      <w:r w:rsidR="001E2789">
        <w:rPr>
          <w:rFonts w:ascii="Arial" w:eastAsia="Times New Roman" w:hAnsi="Arial" w:cs="Arial"/>
          <w:szCs w:val="24"/>
          <w:lang w:val="en-AU" w:eastAsia="en-AU"/>
        </w:rPr>
        <w:t xml:space="preserve"> has been a steady growth in gaming machine turnover at the Tavern over the past three financial years, demonstrating a demand for that form of entertainment by clients.  The venue has generated considerable gaming taxes over the same period together with significant levies</w:t>
      </w:r>
      <w:r w:rsidR="003156CB">
        <w:rPr>
          <w:rFonts w:ascii="Arial" w:eastAsia="Times New Roman" w:hAnsi="Arial" w:cs="Arial"/>
          <w:szCs w:val="24"/>
          <w:lang w:val="en-AU" w:eastAsia="en-AU"/>
        </w:rPr>
        <w:t xml:space="preserve"> paid to the Community Benefit F</w:t>
      </w:r>
      <w:r w:rsidR="001E2789">
        <w:rPr>
          <w:rFonts w:ascii="Arial" w:eastAsia="Times New Roman" w:hAnsi="Arial" w:cs="Arial"/>
          <w:szCs w:val="24"/>
          <w:lang w:val="en-AU" w:eastAsia="en-AU"/>
        </w:rPr>
        <w:t>und.  Not surprisingly</w:t>
      </w:r>
      <w:r w:rsidR="003156CB">
        <w:rPr>
          <w:rFonts w:ascii="Arial" w:eastAsia="Times New Roman" w:hAnsi="Arial" w:cs="Arial"/>
          <w:szCs w:val="24"/>
          <w:lang w:val="en-AU" w:eastAsia="en-AU"/>
        </w:rPr>
        <w:t>,</w:t>
      </w:r>
      <w:r w:rsidR="001E2789">
        <w:rPr>
          <w:rFonts w:ascii="Arial" w:eastAsia="Times New Roman" w:hAnsi="Arial" w:cs="Arial"/>
          <w:szCs w:val="24"/>
          <w:lang w:val="en-AU" w:eastAsia="en-AU"/>
        </w:rPr>
        <w:t xml:space="preserve"> the CIA reports that an increase in gaming machines to the maximum allowable number of 20 will result in a significant increase in both gaming tax and Community Benefit levies.</w:t>
      </w:r>
    </w:p>
    <w:p w:rsidR="00DD0737"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DD0737">
        <w:rPr>
          <w:rFonts w:ascii="Arial" w:eastAsia="Times New Roman" w:hAnsi="Arial" w:cs="Arial"/>
          <w:szCs w:val="24"/>
          <w:lang w:val="en-AU" w:eastAsia="en-AU"/>
        </w:rPr>
        <w:t xml:space="preserve">In terms of employment, the Tavern currently employs </w:t>
      </w:r>
      <w:r w:rsidR="00DD0737" w:rsidRPr="00DD0737">
        <w:rPr>
          <w:rFonts w:ascii="Arial" w:eastAsia="Times New Roman" w:hAnsi="Arial" w:cs="Arial"/>
          <w:szCs w:val="24"/>
          <w:lang w:val="en-AU" w:eastAsia="en-AU"/>
        </w:rPr>
        <w:t>45 to 50</w:t>
      </w:r>
      <w:r w:rsidRPr="00DD0737">
        <w:rPr>
          <w:rFonts w:ascii="Arial" w:eastAsia="Times New Roman" w:hAnsi="Arial" w:cs="Arial"/>
          <w:szCs w:val="24"/>
          <w:lang w:val="en-AU" w:eastAsia="en-AU"/>
        </w:rPr>
        <w:t xml:space="preserve"> permanen</w:t>
      </w:r>
      <w:r w:rsidR="00DD0737" w:rsidRPr="00DD0737">
        <w:rPr>
          <w:rFonts w:ascii="Arial" w:eastAsia="Times New Roman" w:hAnsi="Arial" w:cs="Arial"/>
          <w:szCs w:val="24"/>
          <w:lang w:val="en-AU" w:eastAsia="en-AU"/>
        </w:rPr>
        <w:t>t full time or casual staff, a significant number by Territory standards</w:t>
      </w:r>
      <w:r w:rsidRPr="00DD0737">
        <w:rPr>
          <w:rFonts w:ascii="Arial" w:eastAsia="Times New Roman" w:hAnsi="Arial" w:cs="Arial"/>
          <w:szCs w:val="24"/>
          <w:lang w:val="en-AU" w:eastAsia="en-AU"/>
        </w:rPr>
        <w:t xml:space="preserve">. </w:t>
      </w:r>
      <w:r w:rsidR="00173767" w:rsidRPr="00DD0737">
        <w:rPr>
          <w:rFonts w:ascii="Arial" w:eastAsia="Times New Roman" w:hAnsi="Arial" w:cs="Arial"/>
          <w:szCs w:val="24"/>
          <w:lang w:val="en-AU" w:eastAsia="en-AU"/>
        </w:rPr>
        <w:t xml:space="preserve"> </w:t>
      </w:r>
      <w:r w:rsidR="00DD0737">
        <w:rPr>
          <w:rFonts w:ascii="Arial" w:eastAsia="Times New Roman" w:hAnsi="Arial" w:cs="Arial"/>
          <w:szCs w:val="24"/>
          <w:lang w:val="en-AU" w:eastAsia="en-AU"/>
        </w:rPr>
        <w:t>Mr Wilson states that with very few exceptions most staff employed at the Tavern are from the Palmerston Local Community area or surrounding areas</w:t>
      </w:r>
      <w:proofErr w:type="gramStart"/>
      <w:r w:rsidR="00DD0737">
        <w:rPr>
          <w:rFonts w:ascii="Arial" w:eastAsia="Times New Roman" w:hAnsi="Arial" w:cs="Arial"/>
          <w:szCs w:val="24"/>
          <w:lang w:val="en-AU" w:eastAsia="en-AU"/>
        </w:rPr>
        <w:t xml:space="preserve">. </w:t>
      </w:r>
      <w:r w:rsidR="00E50D63">
        <w:rPr>
          <w:rFonts w:ascii="Arial" w:eastAsia="Times New Roman" w:hAnsi="Arial" w:cs="Arial"/>
          <w:szCs w:val="24"/>
          <w:lang w:val="en-AU" w:eastAsia="en-AU"/>
        </w:rPr>
        <w:t xml:space="preserve"> </w:t>
      </w:r>
      <w:proofErr w:type="gramEnd"/>
      <w:r w:rsidRPr="00DD0737">
        <w:rPr>
          <w:rFonts w:ascii="Arial" w:eastAsia="Times New Roman" w:hAnsi="Arial" w:cs="Arial"/>
          <w:szCs w:val="24"/>
          <w:lang w:val="en-AU" w:eastAsia="en-AU"/>
        </w:rPr>
        <w:t xml:space="preserve">The </w:t>
      </w:r>
      <w:r w:rsidR="00173767" w:rsidRPr="00DD0737">
        <w:rPr>
          <w:rFonts w:ascii="Arial" w:eastAsia="Times New Roman" w:hAnsi="Arial" w:cs="Arial"/>
          <w:szCs w:val="24"/>
          <w:lang w:val="en-AU" w:eastAsia="en-AU"/>
        </w:rPr>
        <w:t>A</w:t>
      </w:r>
      <w:r w:rsidRPr="00DD0737">
        <w:rPr>
          <w:rFonts w:ascii="Arial" w:eastAsia="Times New Roman" w:hAnsi="Arial" w:cs="Arial"/>
          <w:szCs w:val="24"/>
          <w:lang w:val="en-AU" w:eastAsia="en-AU"/>
        </w:rPr>
        <w:t xml:space="preserve">pplicant intends to employ an additional </w:t>
      </w:r>
      <w:r w:rsidR="00DD0737" w:rsidRPr="00DD0737">
        <w:rPr>
          <w:rFonts w:ascii="Arial" w:eastAsia="Times New Roman" w:hAnsi="Arial" w:cs="Arial"/>
          <w:szCs w:val="24"/>
          <w:lang w:val="en-AU" w:eastAsia="en-AU"/>
        </w:rPr>
        <w:t>five full time or part time staff should this application be approved.</w:t>
      </w:r>
      <w:r w:rsidRPr="00DD0737">
        <w:rPr>
          <w:rFonts w:ascii="Arial" w:eastAsia="Times New Roman" w:hAnsi="Arial" w:cs="Arial"/>
          <w:szCs w:val="24"/>
          <w:lang w:val="en-AU" w:eastAsia="en-AU"/>
        </w:rPr>
        <w:t xml:space="preserve"> </w:t>
      </w:r>
    </w:p>
    <w:p w:rsidR="00DD0737" w:rsidRPr="00E209FB" w:rsidRDefault="00E43C72" w:rsidP="00DD0737">
      <w:pPr>
        <w:pStyle w:val="ListParagraph"/>
        <w:widowControl/>
        <w:numPr>
          <w:ilvl w:val="0"/>
          <w:numId w:val="3"/>
        </w:numPr>
        <w:spacing w:after="240"/>
        <w:ind w:left="567" w:hanging="425"/>
        <w:jc w:val="both"/>
        <w:rPr>
          <w:rFonts w:ascii="Arial" w:eastAsia="Times New Roman" w:hAnsi="Arial" w:cs="Arial"/>
          <w:szCs w:val="24"/>
          <w:lang w:val="en-AU" w:eastAsia="en-AU"/>
        </w:rPr>
      </w:pPr>
      <w:r w:rsidRPr="00DD0737">
        <w:rPr>
          <w:rFonts w:ascii="Arial" w:eastAsia="Times New Roman" w:hAnsi="Arial" w:cs="Arial"/>
          <w:szCs w:val="24"/>
          <w:lang w:val="en-AU" w:eastAsia="en-AU"/>
        </w:rPr>
        <w:t xml:space="preserve">The CIA states that </w:t>
      </w:r>
      <w:r w:rsidR="003156CB">
        <w:rPr>
          <w:rFonts w:ascii="Arial" w:eastAsia="Times New Roman" w:hAnsi="Arial" w:cs="Arial"/>
          <w:szCs w:val="24"/>
          <w:lang w:val="en-AU" w:eastAsia="en-AU"/>
        </w:rPr>
        <w:t xml:space="preserve">the </w:t>
      </w:r>
      <w:r w:rsidRPr="00DD0737">
        <w:rPr>
          <w:rFonts w:ascii="Arial" w:eastAsia="Times New Roman" w:hAnsi="Arial" w:cs="Arial"/>
          <w:szCs w:val="24"/>
          <w:lang w:val="en-AU" w:eastAsia="en-AU"/>
        </w:rPr>
        <w:t>Tavern contributes to various charities</w:t>
      </w:r>
      <w:r w:rsidR="00DD0737">
        <w:rPr>
          <w:rFonts w:ascii="Arial" w:eastAsia="Times New Roman" w:hAnsi="Arial" w:cs="Arial"/>
          <w:szCs w:val="24"/>
          <w:lang w:val="en-AU" w:eastAsia="en-AU"/>
        </w:rPr>
        <w:t>, sporting bodies</w:t>
      </w:r>
      <w:r w:rsidRPr="00DD0737">
        <w:rPr>
          <w:rFonts w:ascii="Arial" w:eastAsia="Times New Roman" w:hAnsi="Arial" w:cs="Arial"/>
          <w:szCs w:val="24"/>
          <w:lang w:val="en-AU" w:eastAsia="en-AU"/>
        </w:rPr>
        <w:t xml:space="preserve"> and community groups, including </w:t>
      </w:r>
      <w:r w:rsidR="00DD0737">
        <w:rPr>
          <w:rFonts w:ascii="Arial" w:eastAsia="Times New Roman" w:hAnsi="Arial" w:cs="Arial"/>
          <w:szCs w:val="24"/>
          <w:lang w:val="en-AU" w:eastAsia="en-AU"/>
        </w:rPr>
        <w:t xml:space="preserve">McKillop Sharks, Children’s Cancer Foundation, Epilepsy Foundation, Beyond Blue, Territory Thunder and Relay for Life.  </w:t>
      </w:r>
      <w:r w:rsidR="00DD0737" w:rsidRPr="00DD0737">
        <w:rPr>
          <w:rFonts w:ascii="Arial" w:eastAsia="Times New Roman" w:hAnsi="Arial" w:cs="Arial"/>
          <w:szCs w:val="24"/>
          <w:lang w:val="en-AU" w:eastAsia="en-AU"/>
        </w:rPr>
        <w:t xml:space="preserve">The CIA also </w:t>
      </w:r>
      <w:r w:rsidRPr="00DD0737">
        <w:rPr>
          <w:rFonts w:ascii="Arial" w:eastAsia="Times New Roman" w:hAnsi="Arial" w:cs="Arial"/>
          <w:szCs w:val="24"/>
          <w:lang w:val="en-AU" w:eastAsia="en-AU"/>
        </w:rPr>
        <w:t xml:space="preserve">refers to the Applicant's contributions to the community in interstate jurisdictions where its involvement in the hotel industry has existed for a longer period. </w:t>
      </w:r>
      <w:r w:rsidR="00583F9B" w:rsidRPr="00DD0737">
        <w:rPr>
          <w:rFonts w:ascii="Arial" w:eastAsia="Times New Roman" w:hAnsi="Arial" w:cs="Arial"/>
          <w:szCs w:val="24"/>
          <w:lang w:val="en-AU" w:eastAsia="en-AU"/>
        </w:rPr>
        <w:t xml:space="preserve"> </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In respect of the net economic impact, the CIA states that the Tavern is a significant contributor to the local economy as is apparent from the vast list of </w:t>
      </w:r>
      <w:r w:rsidR="005B25CD">
        <w:rPr>
          <w:rFonts w:ascii="Arial" w:eastAsia="Times New Roman" w:hAnsi="Arial" w:cs="Arial"/>
          <w:szCs w:val="24"/>
          <w:lang w:val="en-AU" w:eastAsia="en-AU"/>
        </w:rPr>
        <w:t xml:space="preserve">local </w:t>
      </w:r>
      <w:r w:rsidRPr="00E209FB">
        <w:rPr>
          <w:rFonts w:ascii="Arial" w:eastAsia="Times New Roman" w:hAnsi="Arial" w:cs="Arial"/>
          <w:szCs w:val="24"/>
          <w:lang w:val="en-AU" w:eastAsia="en-AU"/>
        </w:rPr>
        <w:t>businesses who supply goods and services to the venue and the employment of a significant number of local residents.</w:t>
      </w:r>
      <w:r w:rsidR="003156CB">
        <w:rPr>
          <w:rFonts w:ascii="Arial" w:eastAsia="Times New Roman" w:hAnsi="Arial" w:cs="Arial"/>
          <w:szCs w:val="24"/>
          <w:lang w:val="en-AU" w:eastAsia="en-AU"/>
        </w:rPr>
        <w:t xml:space="preserve">  The Applicant is said to have a policy of using local suppliers and services where possible.</w:t>
      </w:r>
    </w:p>
    <w:p w:rsidR="00DA2BC5" w:rsidRPr="00074022" w:rsidRDefault="00E43C72" w:rsidP="00074203">
      <w:pPr>
        <w:pStyle w:val="Heading3"/>
        <w:keepNext/>
        <w:widowControl/>
        <w:spacing w:before="240" w:after="120"/>
        <w:ind w:left="0"/>
        <w:rPr>
          <w:rFonts w:eastAsia="Times New Roman" w:cs="Arial"/>
          <w:sz w:val="22"/>
          <w:szCs w:val="22"/>
          <w:lang w:val="en-AU" w:eastAsia="en-AU"/>
        </w:rPr>
      </w:pPr>
      <w:r w:rsidRPr="00074022">
        <w:rPr>
          <w:rFonts w:eastAsia="Times New Roman" w:cs="Arial"/>
          <w:sz w:val="22"/>
          <w:szCs w:val="22"/>
          <w:lang w:val="en-AU" w:eastAsia="en-AU"/>
        </w:rPr>
        <w:t>Written submissions in response to the application</w:t>
      </w:r>
    </w:p>
    <w:p w:rsidR="00DD0737" w:rsidRPr="006867ED" w:rsidRDefault="00E43C72" w:rsidP="00DD0737">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As required by section 41B of the Act, notification of the application was advertised in the Northern Territory News on Wednesday </w:t>
      </w:r>
      <w:r w:rsidR="00DD0737">
        <w:rPr>
          <w:rFonts w:ascii="Arial" w:eastAsia="Times New Roman" w:hAnsi="Arial" w:cs="Arial"/>
          <w:szCs w:val="24"/>
          <w:lang w:val="en-AU" w:eastAsia="en-AU"/>
        </w:rPr>
        <w:t>16 September</w:t>
      </w:r>
      <w:r w:rsidRPr="00E209FB">
        <w:rPr>
          <w:rFonts w:ascii="Arial" w:eastAsia="Times New Roman" w:hAnsi="Arial" w:cs="Arial"/>
          <w:szCs w:val="24"/>
          <w:lang w:val="en-AU" w:eastAsia="en-AU"/>
        </w:rPr>
        <w:t xml:space="preserve"> 2015. Pursuant to the Act, a written submission may be made to the Director-General within 30 days of the notification.  </w:t>
      </w:r>
      <w:r w:rsidR="00BD77A0">
        <w:rPr>
          <w:rFonts w:ascii="Arial" w:eastAsia="Times New Roman" w:hAnsi="Arial" w:cs="Arial"/>
          <w:szCs w:val="24"/>
          <w:lang w:val="en-AU" w:eastAsia="en-AU"/>
        </w:rPr>
        <w:t>No submissions were received by the Directo</w:t>
      </w:r>
      <w:r w:rsidR="005B25CD">
        <w:rPr>
          <w:rFonts w:ascii="Arial" w:eastAsia="Times New Roman" w:hAnsi="Arial" w:cs="Arial"/>
          <w:szCs w:val="24"/>
          <w:lang w:val="en-AU" w:eastAsia="en-AU"/>
        </w:rPr>
        <w:t>r-General during the submission</w:t>
      </w:r>
      <w:r w:rsidR="00BD77A0">
        <w:rPr>
          <w:rFonts w:ascii="Arial" w:eastAsia="Times New Roman" w:hAnsi="Arial" w:cs="Arial"/>
          <w:szCs w:val="24"/>
          <w:lang w:val="en-AU" w:eastAsia="en-AU"/>
        </w:rPr>
        <w:t xml:space="preserve"> period</w:t>
      </w:r>
      <w:r w:rsidR="00DD0737" w:rsidRPr="00DD0737">
        <w:rPr>
          <w:rFonts w:ascii="Arial" w:hAnsi="Arial" w:cs="Arial"/>
        </w:rPr>
        <w:t>.</w:t>
      </w:r>
    </w:p>
    <w:p w:rsidR="00BD77A0" w:rsidRPr="00DD0737" w:rsidRDefault="00BD77A0" w:rsidP="00DD0737">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The authors of the CIA did carry out community consultati</w:t>
      </w:r>
      <w:r w:rsidR="005B25CD">
        <w:rPr>
          <w:rFonts w:ascii="Arial" w:eastAsia="Times New Roman" w:hAnsi="Arial" w:cs="Arial"/>
          <w:szCs w:val="24"/>
          <w:lang w:val="en-AU" w:eastAsia="en-AU"/>
        </w:rPr>
        <w:t>on as a component of the prepar</w:t>
      </w:r>
      <w:r>
        <w:rPr>
          <w:rFonts w:ascii="Arial" w:eastAsia="Times New Roman" w:hAnsi="Arial" w:cs="Arial"/>
          <w:szCs w:val="24"/>
          <w:lang w:val="en-AU" w:eastAsia="en-AU"/>
        </w:rPr>
        <w:t>ation of their assessment of the application</w:t>
      </w:r>
      <w:r w:rsidR="005B25CD">
        <w:rPr>
          <w:rFonts w:ascii="Arial" w:eastAsia="Times New Roman" w:hAnsi="Arial" w:cs="Arial"/>
          <w:szCs w:val="24"/>
          <w:lang w:val="en-AU" w:eastAsia="en-AU"/>
        </w:rPr>
        <w:t xml:space="preserve"> in the CIA</w:t>
      </w:r>
      <w:r>
        <w:rPr>
          <w:rFonts w:ascii="Arial" w:eastAsia="Times New Roman" w:hAnsi="Arial" w:cs="Arial"/>
          <w:szCs w:val="24"/>
          <w:lang w:val="en-AU" w:eastAsia="en-AU"/>
        </w:rPr>
        <w:t xml:space="preserve">.  In the course of that consultation </w:t>
      </w:r>
      <w:r w:rsidR="005B25CD">
        <w:rPr>
          <w:rFonts w:ascii="Arial" w:eastAsia="Times New Roman" w:hAnsi="Arial" w:cs="Arial"/>
          <w:szCs w:val="24"/>
          <w:lang w:val="en-AU" w:eastAsia="en-AU"/>
        </w:rPr>
        <w:t xml:space="preserve">written </w:t>
      </w:r>
      <w:r>
        <w:rPr>
          <w:rFonts w:ascii="Arial" w:eastAsia="Times New Roman" w:hAnsi="Arial" w:cs="Arial"/>
          <w:szCs w:val="24"/>
          <w:lang w:val="en-AU" w:eastAsia="en-AU"/>
        </w:rPr>
        <w:t xml:space="preserve">submissions were received from NT Shelter, </w:t>
      </w:r>
      <w:r w:rsidRPr="000350C7">
        <w:rPr>
          <w:rFonts w:ascii="Arial" w:eastAsia="Times New Roman" w:hAnsi="Arial" w:cs="Arial"/>
          <w:szCs w:val="24"/>
          <w:lang w:val="en-AU" w:eastAsia="en-AU"/>
        </w:rPr>
        <w:t>St Vincent de Paul Society (NT) Inc.</w:t>
      </w:r>
      <w:r>
        <w:rPr>
          <w:rFonts w:ascii="Arial" w:eastAsia="Times New Roman" w:hAnsi="Arial" w:cs="Arial"/>
          <w:szCs w:val="24"/>
          <w:lang w:val="en-AU" w:eastAsia="en-AU"/>
        </w:rPr>
        <w:t xml:space="preserve"> and </w:t>
      </w:r>
      <w:r w:rsidRPr="00BE7E52">
        <w:rPr>
          <w:rFonts w:ascii="Arial" w:hAnsi="Arial" w:cs="Arial"/>
          <w:color w:val="000000" w:themeColor="text1"/>
        </w:rPr>
        <w:t>Amity Community Services Inc.</w:t>
      </w:r>
    </w:p>
    <w:p w:rsidR="00294110" w:rsidRPr="00294110" w:rsidRDefault="001F347B" w:rsidP="00257365">
      <w:pPr>
        <w:pStyle w:val="ListParagraph"/>
        <w:widowControl/>
        <w:numPr>
          <w:ilvl w:val="0"/>
          <w:numId w:val="3"/>
        </w:numPr>
        <w:spacing w:after="240"/>
        <w:ind w:left="567" w:hanging="425"/>
        <w:jc w:val="both"/>
        <w:rPr>
          <w:rFonts w:ascii="Arial" w:eastAsia="Times New Roman" w:hAnsi="Arial" w:cs="Arial"/>
          <w:szCs w:val="24"/>
          <w:lang w:val="en-AU" w:eastAsia="en-AU"/>
        </w:rPr>
      </w:pPr>
      <w:r w:rsidRPr="00294110">
        <w:rPr>
          <w:rFonts w:ascii="Arial" w:eastAsia="Times New Roman" w:hAnsi="Arial" w:cs="Arial"/>
          <w:szCs w:val="24"/>
          <w:lang w:val="en-AU" w:eastAsia="en-AU"/>
        </w:rPr>
        <w:t xml:space="preserve">NT Shelter is the peak non-government housing and homelessness advocacy body in the NT and does not support </w:t>
      </w:r>
      <w:r w:rsidR="00294110" w:rsidRPr="00294110">
        <w:rPr>
          <w:rFonts w:ascii="Arial" w:eastAsia="Times New Roman" w:hAnsi="Arial" w:cs="Arial"/>
          <w:szCs w:val="24"/>
          <w:lang w:val="en-AU" w:eastAsia="en-AU"/>
        </w:rPr>
        <w:t>the installation of a further ten gaming machines at the Tavern.</w:t>
      </w:r>
      <w:r w:rsidR="00294110">
        <w:rPr>
          <w:rFonts w:ascii="Arial" w:eastAsia="Times New Roman" w:hAnsi="Arial" w:cs="Arial"/>
          <w:szCs w:val="24"/>
          <w:lang w:val="en-AU" w:eastAsia="en-AU"/>
        </w:rPr>
        <w:t xml:space="preserve">  NT Shelter’s submission raises concerns that the additional gaming machines with have an adverse effect on the local community due to the number of licensed venues in the Palmerston town centre and the potential for a proliferation of gaming machines.  The submission refers to studies which have established a strong link between the number of poker machines in Victorian local government areas and the amount of harm generated for problem gamblers and the subsequent increase in the need for counselling services</w:t>
      </w:r>
      <w:r w:rsidR="003156CB">
        <w:rPr>
          <w:rFonts w:ascii="Arial" w:eastAsia="Times New Roman" w:hAnsi="Arial" w:cs="Arial"/>
          <w:szCs w:val="24"/>
          <w:lang w:val="en-AU" w:eastAsia="en-AU"/>
        </w:rPr>
        <w:t>.  NT Shelter submits</w:t>
      </w:r>
      <w:r w:rsidR="00294110">
        <w:rPr>
          <w:rFonts w:ascii="Arial" w:eastAsia="Times New Roman" w:hAnsi="Arial" w:cs="Arial"/>
          <w:szCs w:val="24"/>
          <w:lang w:val="en-AU" w:eastAsia="en-AU"/>
        </w:rPr>
        <w:t xml:space="preserve"> that increased access to gaming opportunities </w:t>
      </w:r>
      <w:r w:rsidR="003156CB">
        <w:rPr>
          <w:rFonts w:ascii="Arial" w:eastAsia="Times New Roman" w:hAnsi="Arial" w:cs="Arial"/>
          <w:szCs w:val="24"/>
          <w:lang w:val="en-AU" w:eastAsia="en-AU"/>
        </w:rPr>
        <w:t xml:space="preserve">directly </w:t>
      </w:r>
      <w:r w:rsidR="00294110">
        <w:rPr>
          <w:rFonts w:ascii="Arial" w:eastAsia="Times New Roman" w:hAnsi="Arial" w:cs="Arial"/>
          <w:szCs w:val="24"/>
          <w:lang w:val="en-AU" w:eastAsia="en-AU"/>
        </w:rPr>
        <w:t>results in increased problems.  NT Shelte</w:t>
      </w:r>
      <w:r w:rsidR="003B6F78">
        <w:rPr>
          <w:rFonts w:ascii="Arial" w:eastAsia="Times New Roman" w:hAnsi="Arial" w:cs="Arial"/>
          <w:szCs w:val="24"/>
          <w:lang w:val="en-AU" w:eastAsia="en-AU"/>
        </w:rPr>
        <w:t>r also submits that a lower socio-</w:t>
      </w:r>
      <w:r w:rsidR="00294110">
        <w:rPr>
          <w:rFonts w:ascii="Arial" w:eastAsia="Times New Roman" w:hAnsi="Arial" w:cs="Arial"/>
          <w:szCs w:val="24"/>
          <w:lang w:val="en-AU" w:eastAsia="en-AU"/>
        </w:rPr>
        <w:t>economic</w:t>
      </w:r>
      <w:r w:rsidR="003B6F78">
        <w:rPr>
          <w:rFonts w:ascii="Arial" w:eastAsia="Times New Roman" w:hAnsi="Arial" w:cs="Arial"/>
          <w:szCs w:val="24"/>
          <w:lang w:val="en-AU" w:eastAsia="en-AU"/>
        </w:rPr>
        <w:t xml:space="preserve"> status generates a higher rate</w:t>
      </w:r>
      <w:r w:rsidR="00294110">
        <w:rPr>
          <w:rFonts w:ascii="Arial" w:eastAsia="Times New Roman" w:hAnsi="Arial" w:cs="Arial"/>
          <w:szCs w:val="24"/>
          <w:lang w:val="en-AU" w:eastAsia="en-AU"/>
        </w:rPr>
        <w:t xml:space="preserve"> of counselling requirements</w:t>
      </w:r>
      <w:r w:rsidR="003B6F78">
        <w:rPr>
          <w:rFonts w:ascii="Arial" w:eastAsia="Times New Roman" w:hAnsi="Arial" w:cs="Arial"/>
          <w:szCs w:val="24"/>
          <w:lang w:val="en-AU" w:eastAsia="en-AU"/>
        </w:rPr>
        <w:t xml:space="preserve"> and</w:t>
      </w:r>
      <w:r w:rsidR="00294110">
        <w:rPr>
          <w:rFonts w:ascii="Arial" w:eastAsia="Times New Roman" w:hAnsi="Arial" w:cs="Arial"/>
          <w:szCs w:val="24"/>
          <w:lang w:val="en-AU" w:eastAsia="en-AU"/>
        </w:rPr>
        <w:t xml:space="preserve"> that there is a need to undertake robust rese</w:t>
      </w:r>
      <w:r w:rsidR="000350C7">
        <w:rPr>
          <w:rFonts w:ascii="Arial" w:eastAsia="Times New Roman" w:hAnsi="Arial" w:cs="Arial"/>
          <w:szCs w:val="24"/>
          <w:lang w:val="en-AU" w:eastAsia="en-AU"/>
        </w:rPr>
        <w:t>arch on the impact of such a ve</w:t>
      </w:r>
      <w:r w:rsidR="00294110">
        <w:rPr>
          <w:rFonts w:ascii="Arial" w:eastAsia="Times New Roman" w:hAnsi="Arial" w:cs="Arial"/>
          <w:szCs w:val="24"/>
          <w:lang w:val="en-AU" w:eastAsia="en-AU"/>
        </w:rPr>
        <w:t>nture on the Palmerston community</w:t>
      </w:r>
      <w:r w:rsidR="009A0B1B">
        <w:rPr>
          <w:rFonts w:ascii="Arial" w:eastAsia="Times New Roman" w:hAnsi="Arial" w:cs="Arial"/>
          <w:szCs w:val="24"/>
          <w:lang w:val="en-AU" w:eastAsia="en-AU"/>
        </w:rPr>
        <w:t>.</w:t>
      </w:r>
    </w:p>
    <w:p w:rsidR="00257365" w:rsidRPr="00294110" w:rsidRDefault="00294110" w:rsidP="00FE1D77">
      <w:pPr>
        <w:pStyle w:val="ListParagraph"/>
        <w:keepLines/>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lastRenderedPageBreak/>
        <w:t>In response to the submission from NT Shelter, the CIA states tha</w:t>
      </w:r>
      <w:r w:rsidR="000350C7">
        <w:rPr>
          <w:rFonts w:ascii="Arial" w:eastAsia="Times New Roman" w:hAnsi="Arial" w:cs="Arial"/>
          <w:szCs w:val="24"/>
          <w:lang w:val="en-AU" w:eastAsia="en-AU"/>
        </w:rPr>
        <w:t>t</w:t>
      </w:r>
      <w:r>
        <w:rPr>
          <w:rFonts w:ascii="Arial" w:eastAsia="Times New Roman" w:hAnsi="Arial" w:cs="Arial"/>
          <w:szCs w:val="24"/>
          <w:lang w:val="en-AU" w:eastAsia="en-AU"/>
        </w:rPr>
        <w:t xml:space="preserve"> the views expressed are no</w:t>
      </w:r>
      <w:r w:rsidR="003B6F78">
        <w:rPr>
          <w:rFonts w:ascii="Arial" w:eastAsia="Times New Roman" w:hAnsi="Arial" w:cs="Arial"/>
          <w:szCs w:val="24"/>
          <w:lang w:val="en-AU" w:eastAsia="en-AU"/>
        </w:rPr>
        <w:t>t confined in the factual sense</w:t>
      </w:r>
      <w:r>
        <w:rPr>
          <w:rFonts w:ascii="Arial" w:eastAsia="Times New Roman" w:hAnsi="Arial" w:cs="Arial"/>
          <w:szCs w:val="24"/>
          <w:lang w:val="en-AU" w:eastAsia="en-AU"/>
        </w:rPr>
        <w:t xml:space="preserve"> to the situation within the Palmerston Area.  </w:t>
      </w:r>
      <w:r w:rsidR="003C6AF0">
        <w:rPr>
          <w:rFonts w:ascii="Arial" w:eastAsia="Times New Roman" w:hAnsi="Arial" w:cs="Arial"/>
          <w:szCs w:val="24"/>
          <w:lang w:val="en-AU" w:eastAsia="en-AU"/>
        </w:rPr>
        <w:t>The CIA notes that the characterisation of the Palmerston Area and the customers of the Tavern as being of a lower socio-economic status has some validity when considering the data in the SEIFA index for two of the suburbs in the LCA</w:t>
      </w:r>
      <w:proofErr w:type="gramStart"/>
      <w:r w:rsidR="003C6AF0">
        <w:rPr>
          <w:rFonts w:ascii="Arial" w:eastAsia="Times New Roman" w:hAnsi="Arial" w:cs="Arial"/>
          <w:szCs w:val="24"/>
          <w:lang w:val="en-AU" w:eastAsia="en-AU"/>
        </w:rPr>
        <w:t xml:space="preserve">. </w:t>
      </w:r>
      <w:r w:rsidR="00FE1D77">
        <w:rPr>
          <w:rFonts w:ascii="Arial" w:eastAsia="Times New Roman" w:hAnsi="Arial" w:cs="Arial"/>
          <w:szCs w:val="24"/>
          <w:lang w:val="en-AU" w:eastAsia="en-AU"/>
        </w:rPr>
        <w:t xml:space="preserve"> </w:t>
      </w:r>
      <w:proofErr w:type="gramEnd"/>
      <w:r w:rsidR="003B6F78">
        <w:rPr>
          <w:rFonts w:ascii="Arial" w:eastAsia="Times New Roman" w:hAnsi="Arial" w:cs="Arial"/>
          <w:szCs w:val="24"/>
          <w:lang w:val="en-AU" w:eastAsia="en-AU"/>
        </w:rPr>
        <w:t>H</w:t>
      </w:r>
      <w:r w:rsidR="000350C7">
        <w:rPr>
          <w:rFonts w:ascii="Arial" w:eastAsia="Times New Roman" w:hAnsi="Arial" w:cs="Arial"/>
          <w:szCs w:val="24"/>
          <w:lang w:val="en-AU" w:eastAsia="en-AU"/>
        </w:rPr>
        <w:t>owever</w:t>
      </w:r>
      <w:r w:rsidR="003B6F78">
        <w:rPr>
          <w:rFonts w:ascii="Arial" w:eastAsia="Times New Roman" w:hAnsi="Arial" w:cs="Arial"/>
          <w:szCs w:val="24"/>
          <w:lang w:val="en-AU" w:eastAsia="en-AU"/>
        </w:rPr>
        <w:t>, as noted above,</w:t>
      </w:r>
      <w:r w:rsidR="000350C7">
        <w:rPr>
          <w:rFonts w:ascii="Arial" w:eastAsia="Times New Roman" w:hAnsi="Arial" w:cs="Arial"/>
          <w:szCs w:val="24"/>
          <w:lang w:val="en-AU" w:eastAsia="en-AU"/>
        </w:rPr>
        <w:t xml:space="preserve"> other suburbs within the LCA are rated between decile 5 (average) and decile 10 (most advantaged</w:t>
      </w:r>
      <w:r w:rsidR="003B6F78">
        <w:rPr>
          <w:rFonts w:ascii="Arial" w:eastAsia="Times New Roman" w:hAnsi="Arial" w:cs="Arial"/>
          <w:szCs w:val="24"/>
          <w:lang w:val="en-AU" w:eastAsia="en-AU"/>
        </w:rPr>
        <w:t>)</w:t>
      </w:r>
      <w:r w:rsidR="000350C7">
        <w:rPr>
          <w:rFonts w:ascii="Arial" w:eastAsia="Times New Roman" w:hAnsi="Arial" w:cs="Arial"/>
          <w:szCs w:val="24"/>
          <w:lang w:val="en-AU" w:eastAsia="en-AU"/>
        </w:rPr>
        <w:t xml:space="preserve">.  The CIA states that the Palmerston Area in general cannot be described as being of lower socio-economic status however there are two suburbs </w:t>
      </w:r>
      <w:r w:rsidR="00911155">
        <w:rPr>
          <w:rFonts w:ascii="Arial" w:eastAsia="Times New Roman" w:hAnsi="Arial" w:cs="Arial"/>
          <w:szCs w:val="24"/>
          <w:lang w:val="en-AU" w:eastAsia="en-AU"/>
        </w:rPr>
        <w:t xml:space="preserve">within the LCA </w:t>
      </w:r>
      <w:r w:rsidR="000350C7">
        <w:rPr>
          <w:rFonts w:ascii="Arial" w:eastAsia="Times New Roman" w:hAnsi="Arial" w:cs="Arial"/>
          <w:szCs w:val="24"/>
          <w:lang w:val="en-AU" w:eastAsia="en-AU"/>
        </w:rPr>
        <w:t>that do fit that description.</w:t>
      </w:r>
    </w:p>
    <w:p w:rsidR="000350C7" w:rsidRDefault="00257365" w:rsidP="00257365">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350C7">
        <w:rPr>
          <w:rFonts w:ascii="Arial" w:eastAsia="Times New Roman" w:hAnsi="Arial" w:cs="Arial"/>
          <w:szCs w:val="24"/>
          <w:lang w:val="en-AU" w:eastAsia="en-AU"/>
        </w:rPr>
        <w:t xml:space="preserve">The submission from St Vincent de Paul Society (NT) Inc. opposes the application and enclosed the Society's National Policy </w:t>
      </w:r>
      <w:r w:rsidR="00911155">
        <w:rPr>
          <w:rFonts w:ascii="Arial" w:eastAsia="Times New Roman" w:hAnsi="Arial" w:cs="Arial"/>
          <w:szCs w:val="24"/>
          <w:lang w:val="en-AU" w:eastAsia="en-AU"/>
        </w:rPr>
        <w:t>S</w:t>
      </w:r>
      <w:r w:rsidRPr="000350C7">
        <w:rPr>
          <w:rFonts w:ascii="Arial" w:eastAsia="Times New Roman" w:hAnsi="Arial" w:cs="Arial"/>
          <w:szCs w:val="24"/>
          <w:lang w:val="en-AU" w:eastAsia="en-AU"/>
        </w:rPr>
        <w:t xml:space="preserve">tatement on Harm Minimisation in the Poker Machine Industry, published in December 2010.  That policy statement includes reference to pre­commitment technologies and policies aimed at reducing the prospect of harm to potential problem gamblers.  </w:t>
      </w:r>
    </w:p>
    <w:p w:rsidR="00A86094" w:rsidRDefault="000350C7" w:rsidP="00A86094">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350C7">
        <w:rPr>
          <w:rFonts w:ascii="Arial" w:eastAsia="Times New Roman" w:hAnsi="Arial" w:cs="Arial"/>
          <w:szCs w:val="24"/>
          <w:lang w:val="en-AU" w:eastAsia="en-AU"/>
        </w:rPr>
        <w:t>The CIA addresses the submission from the St Vincent de Paul Society and notes the general nature of the objection to the poker machine industry per se.  The CIA notes the support</w:t>
      </w:r>
      <w:r w:rsidR="003B6F78">
        <w:rPr>
          <w:rFonts w:ascii="Arial" w:eastAsia="Times New Roman" w:hAnsi="Arial" w:cs="Arial"/>
          <w:szCs w:val="24"/>
          <w:lang w:val="en-AU" w:eastAsia="en-AU"/>
        </w:rPr>
        <w:t xml:space="preserve"> for harm minimisation measures and emphasises </w:t>
      </w:r>
      <w:r>
        <w:rPr>
          <w:rFonts w:ascii="Arial" w:eastAsia="Times New Roman" w:hAnsi="Arial" w:cs="Arial"/>
          <w:szCs w:val="24"/>
          <w:lang w:val="en-AU" w:eastAsia="en-AU"/>
        </w:rPr>
        <w:t>that t</w:t>
      </w:r>
      <w:r w:rsidRPr="000350C7">
        <w:rPr>
          <w:rFonts w:ascii="Arial" w:eastAsia="Times New Roman" w:hAnsi="Arial" w:cs="Arial"/>
          <w:szCs w:val="24"/>
          <w:lang w:val="en-AU" w:eastAsia="en-AU"/>
        </w:rPr>
        <w:t xml:space="preserve">he Applicant's </w:t>
      </w:r>
      <w:r w:rsidR="0046226A">
        <w:rPr>
          <w:rFonts w:ascii="Arial" w:eastAsia="Times New Roman" w:hAnsi="Arial" w:cs="Arial"/>
          <w:szCs w:val="24"/>
          <w:lang w:val="en-AU" w:eastAsia="en-AU"/>
        </w:rPr>
        <w:t xml:space="preserve">proposal to introduce </w:t>
      </w:r>
      <w:r w:rsidRPr="000350C7">
        <w:rPr>
          <w:rFonts w:ascii="Arial" w:eastAsia="Times New Roman" w:hAnsi="Arial" w:cs="Arial"/>
          <w:szCs w:val="24"/>
          <w:lang w:val="en-AU" w:eastAsia="en-AU"/>
        </w:rPr>
        <w:t>pre</w:t>
      </w:r>
      <w:r w:rsidR="00FE1D77">
        <w:rPr>
          <w:rFonts w:ascii="Arial" w:eastAsia="Times New Roman" w:hAnsi="Arial" w:cs="Arial"/>
          <w:szCs w:val="24"/>
          <w:lang w:val="en-AU" w:eastAsia="en-AU"/>
        </w:rPr>
        <w:noBreakHyphen/>
      </w:r>
      <w:r w:rsidRPr="000350C7">
        <w:rPr>
          <w:rFonts w:ascii="Arial" w:eastAsia="Times New Roman" w:hAnsi="Arial" w:cs="Arial"/>
          <w:szCs w:val="24"/>
          <w:lang w:val="en-AU" w:eastAsia="en-AU"/>
        </w:rPr>
        <w:t>commitment technology at the Palmerston Tavern is significant</w:t>
      </w:r>
      <w:r>
        <w:rPr>
          <w:rFonts w:ascii="Arial" w:eastAsia="Times New Roman" w:hAnsi="Arial" w:cs="Arial"/>
          <w:szCs w:val="24"/>
          <w:lang w:val="en-AU" w:eastAsia="en-AU"/>
        </w:rPr>
        <w:t xml:space="preserve"> in terms of the response to the </w:t>
      </w:r>
      <w:r w:rsidR="00A86094">
        <w:rPr>
          <w:rFonts w:ascii="Arial" w:eastAsia="Times New Roman" w:hAnsi="Arial" w:cs="Arial"/>
          <w:szCs w:val="24"/>
          <w:lang w:val="en-AU" w:eastAsia="en-AU"/>
        </w:rPr>
        <w:t>Society’s submission</w:t>
      </w:r>
      <w:r w:rsidRPr="000350C7">
        <w:rPr>
          <w:rFonts w:ascii="Arial" w:eastAsia="Times New Roman" w:hAnsi="Arial" w:cs="Arial"/>
          <w:szCs w:val="24"/>
          <w:lang w:val="en-AU" w:eastAsia="en-AU"/>
        </w:rPr>
        <w:t xml:space="preserve">, more so as that technology is not </w:t>
      </w:r>
      <w:r w:rsidR="00A86094">
        <w:rPr>
          <w:rFonts w:ascii="Arial" w:eastAsia="Times New Roman" w:hAnsi="Arial" w:cs="Arial"/>
          <w:szCs w:val="24"/>
          <w:lang w:val="en-AU" w:eastAsia="en-AU"/>
        </w:rPr>
        <w:t xml:space="preserve">currently </w:t>
      </w:r>
      <w:r w:rsidRPr="000350C7">
        <w:rPr>
          <w:rFonts w:ascii="Arial" w:eastAsia="Times New Roman" w:hAnsi="Arial" w:cs="Arial"/>
          <w:szCs w:val="24"/>
          <w:lang w:val="en-AU" w:eastAsia="en-AU"/>
        </w:rPr>
        <w:t>mandated by any NT law, guideline or policy.</w:t>
      </w:r>
    </w:p>
    <w:p w:rsidR="00A86094" w:rsidRPr="00BE7E52" w:rsidRDefault="00A86094" w:rsidP="00A86094">
      <w:pPr>
        <w:pStyle w:val="ListParagraph"/>
        <w:widowControl/>
        <w:numPr>
          <w:ilvl w:val="0"/>
          <w:numId w:val="3"/>
        </w:numPr>
        <w:spacing w:after="240"/>
        <w:ind w:left="567" w:hanging="425"/>
        <w:jc w:val="both"/>
        <w:rPr>
          <w:rFonts w:ascii="Arial" w:eastAsia="Times New Roman" w:hAnsi="Arial" w:cs="Arial"/>
          <w:lang w:val="en-AU" w:eastAsia="en-AU"/>
        </w:rPr>
      </w:pPr>
      <w:r w:rsidRPr="00BE7E52">
        <w:rPr>
          <w:rFonts w:ascii="Arial" w:hAnsi="Arial" w:cs="Arial"/>
          <w:bCs/>
        </w:rPr>
        <w:t xml:space="preserve">On 10 August 2015 Mr Bernard Dwyer, on behalf of </w:t>
      </w:r>
      <w:r w:rsidRPr="00BE7E52">
        <w:rPr>
          <w:rFonts w:ascii="Arial" w:hAnsi="Arial" w:cs="Arial"/>
          <w:color w:val="000000" w:themeColor="text1"/>
        </w:rPr>
        <w:t xml:space="preserve">Amity Community Services Inc., lodged a written submission titled “Community Impact Analysis – Palmerston Tavern” in respect of the within application.  </w:t>
      </w:r>
      <w:r w:rsidRPr="00BE7E52">
        <w:rPr>
          <w:rFonts w:ascii="Arial" w:hAnsi="Arial" w:cs="Arial"/>
          <w:bCs/>
          <w:color w:val="000000" w:themeColor="text1"/>
          <w:kern w:val="32"/>
        </w:rPr>
        <w:t xml:space="preserve">Mr Dwyer states that Amity has been working in the area of gambling for over two decades and their programs are underpinned by the Public Health Model.  </w:t>
      </w:r>
      <w:r w:rsidRPr="00BE7E52">
        <w:rPr>
          <w:rFonts w:ascii="Arial" w:hAnsi="Arial" w:cs="Arial"/>
          <w:bCs/>
          <w:kern w:val="32"/>
        </w:rPr>
        <w:t xml:space="preserve">Amity works predominately in the areas of prevention of and intervention in problem gambling areas by providing extensive training, education, </w:t>
      </w:r>
      <w:proofErr w:type="gramStart"/>
      <w:r w:rsidRPr="00BE7E52">
        <w:rPr>
          <w:rFonts w:ascii="Arial" w:hAnsi="Arial" w:cs="Arial"/>
          <w:bCs/>
          <w:kern w:val="32"/>
        </w:rPr>
        <w:t>community</w:t>
      </w:r>
      <w:proofErr w:type="gramEnd"/>
      <w:r w:rsidRPr="00BE7E52">
        <w:rPr>
          <w:rFonts w:ascii="Arial" w:hAnsi="Arial" w:cs="Arial"/>
          <w:bCs/>
          <w:kern w:val="32"/>
        </w:rPr>
        <w:t xml:space="preserve"> liaison and health promotion in consultation with the gambling industry.</w:t>
      </w:r>
      <w:r w:rsidR="00FE1D77">
        <w:rPr>
          <w:rFonts w:ascii="Arial" w:hAnsi="Arial" w:cs="Arial"/>
          <w:bCs/>
          <w:kern w:val="32"/>
        </w:rPr>
        <w:t xml:space="preserve"> </w:t>
      </w:r>
      <w:r w:rsidRPr="00BE7E52">
        <w:rPr>
          <w:rFonts w:ascii="Arial" w:hAnsi="Arial" w:cs="Arial"/>
          <w:bCs/>
          <w:kern w:val="32"/>
        </w:rPr>
        <w:t xml:space="preserve"> Amity provides its services throughout the Territory with the aim of implementing harm minimisation strategies for safer gambling.</w:t>
      </w:r>
    </w:p>
    <w:p w:rsidR="00A86094" w:rsidRPr="00BE7E52" w:rsidRDefault="00A86094" w:rsidP="00A86094">
      <w:pPr>
        <w:pStyle w:val="ListParagraph"/>
        <w:widowControl/>
        <w:numPr>
          <w:ilvl w:val="0"/>
          <w:numId w:val="3"/>
        </w:numPr>
        <w:spacing w:after="240"/>
        <w:ind w:left="567" w:hanging="425"/>
        <w:jc w:val="both"/>
        <w:rPr>
          <w:rFonts w:ascii="Arial" w:eastAsia="Times New Roman" w:hAnsi="Arial" w:cs="Arial"/>
          <w:lang w:val="en-AU" w:eastAsia="en-AU"/>
        </w:rPr>
      </w:pPr>
      <w:r w:rsidRPr="00BE7E52">
        <w:rPr>
          <w:rFonts w:ascii="Arial" w:hAnsi="Arial" w:cs="Arial"/>
          <w:bCs/>
          <w:kern w:val="32"/>
        </w:rPr>
        <w:t xml:space="preserve">Amity does not support an increase in the number of gaming machines in the Palmerston </w:t>
      </w:r>
      <w:r w:rsidR="00911155">
        <w:rPr>
          <w:rFonts w:ascii="Arial" w:hAnsi="Arial" w:cs="Arial"/>
          <w:bCs/>
          <w:kern w:val="32"/>
        </w:rPr>
        <w:t>A</w:t>
      </w:r>
      <w:r w:rsidRPr="00BE7E52">
        <w:rPr>
          <w:rFonts w:ascii="Arial" w:hAnsi="Arial" w:cs="Arial"/>
          <w:bCs/>
          <w:kern w:val="32"/>
        </w:rPr>
        <w:t>rea and is of the view, based on the balance of research on the issue of gambling outcomes, that an increase in gaming machines in the community will have an overall negative effect on the health, social and economic welfare of at least a proportion of the population of the NT.  Amity submits that aside from the identified harms to the community arising from gambling, evidence indicates that a clear, albeit complex</w:t>
      </w:r>
      <w:r w:rsidR="00911155">
        <w:rPr>
          <w:rFonts w:ascii="Arial" w:hAnsi="Arial" w:cs="Arial"/>
          <w:bCs/>
          <w:kern w:val="32"/>
        </w:rPr>
        <w:t>,</w:t>
      </w:r>
      <w:r w:rsidRPr="00BE7E52">
        <w:rPr>
          <w:rFonts w:ascii="Arial" w:hAnsi="Arial" w:cs="Arial"/>
          <w:bCs/>
          <w:kern w:val="32"/>
        </w:rPr>
        <w:t xml:space="preserve"> relationship exists between increasing availability and/or density of gambling opportunities and increased levels of associated problems.</w:t>
      </w:r>
    </w:p>
    <w:p w:rsidR="00BE7E52" w:rsidRPr="00BE7E52" w:rsidRDefault="00A86094" w:rsidP="00BE7E52">
      <w:pPr>
        <w:pStyle w:val="ListParagraph"/>
        <w:widowControl/>
        <w:numPr>
          <w:ilvl w:val="0"/>
          <w:numId w:val="3"/>
        </w:numPr>
        <w:spacing w:after="240"/>
        <w:ind w:left="567" w:hanging="425"/>
        <w:jc w:val="both"/>
        <w:rPr>
          <w:rFonts w:ascii="Arial" w:eastAsia="Times New Roman" w:hAnsi="Arial" w:cs="Arial"/>
          <w:lang w:val="en-AU" w:eastAsia="en-AU"/>
        </w:rPr>
      </w:pPr>
      <w:r w:rsidRPr="00BE7E52">
        <w:rPr>
          <w:rFonts w:ascii="Arial" w:hAnsi="Arial" w:cs="Arial"/>
          <w:bCs/>
          <w:kern w:val="32"/>
        </w:rPr>
        <w:t>Amity’s submission refers to the recommendation of the Productivity Commission’s 2010 reporting that applications for increased gaming machines should be assessed on the basis of the net detriment to the Community.  The submission queries industry’s argument, as</w:t>
      </w:r>
      <w:r w:rsidR="003B6F78">
        <w:rPr>
          <w:rFonts w:ascii="Arial" w:hAnsi="Arial" w:cs="Arial"/>
          <w:bCs/>
          <w:kern w:val="32"/>
        </w:rPr>
        <w:t xml:space="preserve"> evidenced in Community Impact A</w:t>
      </w:r>
      <w:r w:rsidRPr="00BE7E52">
        <w:rPr>
          <w:rFonts w:ascii="Arial" w:hAnsi="Arial" w:cs="Arial"/>
          <w:bCs/>
          <w:kern w:val="32"/>
        </w:rPr>
        <w:t>nalysis reports in the public domain, that increased gaming revenue over the past few years is indicative of a demand for more gaming machines.  The submission notes that in the NT player expenditure has increased over the last 12 months and contends that gross profit is actually net player loss.</w:t>
      </w:r>
    </w:p>
    <w:p w:rsidR="00A86094" w:rsidRPr="00BE7E52" w:rsidRDefault="00A86094" w:rsidP="00BE7E52">
      <w:pPr>
        <w:pStyle w:val="ListParagraph"/>
        <w:widowControl/>
        <w:numPr>
          <w:ilvl w:val="0"/>
          <w:numId w:val="3"/>
        </w:numPr>
        <w:spacing w:after="240"/>
        <w:ind w:left="567" w:hanging="425"/>
        <w:jc w:val="both"/>
        <w:rPr>
          <w:rFonts w:ascii="Arial" w:eastAsia="Times New Roman" w:hAnsi="Arial" w:cs="Arial"/>
          <w:lang w:val="en-AU" w:eastAsia="en-AU"/>
        </w:rPr>
      </w:pPr>
      <w:r w:rsidRPr="00BE7E52">
        <w:rPr>
          <w:rFonts w:ascii="Arial" w:hAnsi="Arial" w:cs="Arial"/>
          <w:bCs/>
          <w:kern w:val="32"/>
        </w:rPr>
        <w:t>Amity submits that the average net player loss in community venues in the NT was $159.69 per machine per day, an increase from the net player loss in the previous year of $141 and representing a 12% increase, indicative of an increase in harms.  Amity suggests that decreasing density of gaming machines is likely to significantly reduce gambling harms.</w:t>
      </w:r>
      <w:r w:rsidR="00BE7E52" w:rsidRPr="00BE7E52">
        <w:rPr>
          <w:rFonts w:ascii="Arial" w:hAnsi="Arial" w:cs="Arial"/>
          <w:bCs/>
          <w:kern w:val="32"/>
        </w:rPr>
        <w:t xml:space="preserve">  </w:t>
      </w:r>
      <w:r w:rsidRPr="00BE7E52">
        <w:rPr>
          <w:rFonts w:ascii="Arial" w:hAnsi="Arial" w:cs="Arial"/>
          <w:bCs/>
          <w:kern w:val="32"/>
        </w:rPr>
        <w:t>Amity also notes that catchment areas for gambling venues often extend further than has previously been predicted and may lead to the understatement of density in some areas.  Amity is of the view the evidence demonstrates that communities experiencing widespread social and economic problems are those communities that have higher concentrations of convenience gambling venues.</w:t>
      </w:r>
    </w:p>
    <w:p w:rsidR="003B6F78" w:rsidRPr="003B6F78" w:rsidRDefault="00BE7E52" w:rsidP="00BE7E52">
      <w:pPr>
        <w:pStyle w:val="ListParagraph"/>
        <w:widowControl/>
        <w:numPr>
          <w:ilvl w:val="0"/>
          <w:numId w:val="3"/>
        </w:numPr>
        <w:spacing w:after="240"/>
        <w:ind w:left="567" w:hanging="425"/>
        <w:jc w:val="both"/>
        <w:rPr>
          <w:rFonts w:ascii="Arial" w:eastAsia="Times New Roman" w:hAnsi="Arial" w:cs="Arial"/>
          <w:lang w:val="en-AU" w:eastAsia="en-AU"/>
        </w:rPr>
      </w:pPr>
      <w:r>
        <w:rPr>
          <w:rFonts w:ascii="Arial" w:hAnsi="Arial" w:cs="Arial"/>
          <w:bCs/>
          <w:kern w:val="32"/>
        </w:rPr>
        <w:lastRenderedPageBreak/>
        <w:t xml:space="preserve">In response to the submission from Amity, the CIA notes that the Applicant has indicated on its website that it considers the concerns that have been expressed in various reports and </w:t>
      </w:r>
      <w:r w:rsidR="009A0B1B">
        <w:rPr>
          <w:rFonts w:ascii="Arial" w:hAnsi="Arial" w:cs="Arial"/>
          <w:bCs/>
          <w:kern w:val="32"/>
        </w:rPr>
        <w:t>studies</w:t>
      </w:r>
      <w:r>
        <w:rPr>
          <w:rFonts w:ascii="Arial" w:hAnsi="Arial" w:cs="Arial"/>
          <w:bCs/>
          <w:kern w:val="32"/>
        </w:rPr>
        <w:t xml:space="preserve"> associated with </w:t>
      </w:r>
      <w:r w:rsidR="003B6F78">
        <w:rPr>
          <w:rFonts w:ascii="Arial" w:hAnsi="Arial" w:cs="Arial"/>
          <w:bCs/>
          <w:kern w:val="32"/>
        </w:rPr>
        <w:t xml:space="preserve">harm arising from the use of </w:t>
      </w:r>
      <w:r>
        <w:rPr>
          <w:rFonts w:ascii="Arial" w:hAnsi="Arial" w:cs="Arial"/>
          <w:bCs/>
          <w:kern w:val="32"/>
        </w:rPr>
        <w:t xml:space="preserve">gaming machines are legitimate and must accordingly be taken seriously and addressed appropriately.  The CIA states </w:t>
      </w:r>
      <w:r w:rsidR="009A0B1B">
        <w:rPr>
          <w:rFonts w:ascii="Arial" w:hAnsi="Arial" w:cs="Arial"/>
          <w:bCs/>
          <w:kern w:val="32"/>
        </w:rPr>
        <w:t>that</w:t>
      </w:r>
      <w:r>
        <w:rPr>
          <w:rFonts w:ascii="Arial" w:hAnsi="Arial" w:cs="Arial"/>
          <w:bCs/>
          <w:kern w:val="32"/>
        </w:rPr>
        <w:t xml:space="preserve"> the approach to mitigation adopted by the Applicant appears to be a reasonable and proportionate</w:t>
      </w:r>
      <w:r w:rsidR="003B6F78">
        <w:rPr>
          <w:rFonts w:ascii="Arial" w:hAnsi="Arial" w:cs="Arial"/>
          <w:bCs/>
          <w:kern w:val="32"/>
        </w:rPr>
        <w:t xml:space="preserve"> response to managing that</w:t>
      </w:r>
      <w:r>
        <w:rPr>
          <w:rFonts w:ascii="Arial" w:hAnsi="Arial" w:cs="Arial"/>
          <w:bCs/>
          <w:kern w:val="32"/>
        </w:rPr>
        <w:t xml:space="preserve"> risk.  </w:t>
      </w:r>
    </w:p>
    <w:p w:rsidR="00BE7E52" w:rsidRPr="00BE7E52" w:rsidRDefault="00BE7E52" w:rsidP="00BE7E52">
      <w:pPr>
        <w:pStyle w:val="ListParagraph"/>
        <w:widowControl/>
        <w:numPr>
          <w:ilvl w:val="0"/>
          <w:numId w:val="3"/>
        </w:numPr>
        <w:spacing w:after="240"/>
        <w:ind w:left="567" w:hanging="425"/>
        <w:jc w:val="both"/>
        <w:rPr>
          <w:rFonts w:ascii="Arial" w:eastAsia="Times New Roman" w:hAnsi="Arial" w:cs="Arial"/>
          <w:lang w:val="en-AU" w:eastAsia="en-AU"/>
        </w:rPr>
      </w:pPr>
      <w:r>
        <w:rPr>
          <w:rFonts w:ascii="Arial" w:hAnsi="Arial" w:cs="Arial"/>
          <w:bCs/>
          <w:kern w:val="32"/>
        </w:rPr>
        <w:t>The CIA also notes that of the submissions received, none have suggested that the gaming machines operated at the Tavern have been inappropriately managed.</w:t>
      </w:r>
    </w:p>
    <w:p w:rsidR="00DA2BC5" w:rsidRPr="00074022" w:rsidRDefault="00E43C72" w:rsidP="00074203">
      <w:pPr>
        <w:pStyle w:val="Heading3"/>
        <w:keepNext/>
        <w:widowControl/>
        <w:spacing w:before="240" w:after="120"/>
        <w:ind w:left="0"/>
        <w:rPr>
          <w:rFonts w:eastAsia="Times New Roman" w:cs="Arial"/>
          <w:sz w:val="22"/>
          <w:szCs w:val="22"/>
          <w:lang w:val="en-AU" w:eastAsia="en-AU"/>
        </w:rPr>
      </w:pPr>
      <w:r w:rsidRPr="00074022">
        <w:rPr>
          <w:rFonts w:eastAsia="Times New Roman" w:cs="Arial"/>
          <w:sz w:val="22"/>
          <w:szCs w:val="22"/>
          <w:lang w:val="en-AU" w:eastAsia="en-AU"/>
        </w:rPr>
        <w:t>Gross monthly profit of existing gaming machines operated on the premises</w:t>
      </w:r>
    </w:p>
    <w:p w:rsidR="00DA2BC5" w:rsidRPr="006B5BD2" w:rsidRDefault="006B5BD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6B5BD2">
        <w:rPr>
          <w:rFonts w:ascii="Arial" w:eastAsia="Times New Roman" w:hAnsi="Arial" w:cs="Arial"/>
          <w:szCs w:val="24"/>
          <w:lang w:val="en-AU" w:eastAsia="en-AU"/>
        </w:rPr>
        <w:t>As noted elsewhere in this decision, t</w:t>
      </w:r>
      <w:r w:rsidR="00E43C72" w:rsidRPr="006B5BD2">
        <w:rPr>
          <w:rFonts w:ascii="Arial" w:eastAsia="Times New Roman" w:hAnsi="Arial" w:cs="Arial"/>
          <w:szCs w:val="24"/>
          <w:lang w:val="en-AU" w:eastAsia="en-AU"/>
        </w:rPr>
        <w:t xml:space="preserve">he CIA reports that there has been a steady growth in gaming revenue at the Tavern over the past three years, demonstrating a demand for that form of entertainment. </w:t>
      </w:r>
      <w:r w:rsidR="00583F9B" w:rsidRPr="006B5BD2">
        <w:rPr>
          <w:rFonts w:ascii="Arial" w:eastAsia="Times New Roman" w:hAnsi="Arial" w:cs="Arial"/>
          <w:szCs w:val="24"/>
          <w:lang w:val="en-AU" w:eastAsia="en-AU"/>
        </w:rPr>
        <w:t xml:space="preserve"> </w:t>
      </w:r>
      <w:r w:rsidR="00E43C72" w:rsidRPr="006B5BD2">
        <w:rPr>
          <w:rFonts w:ascii="Arial" w:eastAsia="Times New Roman" w:hAnsi="Arial" w:cs="Arial"/>
          <w:szCs w:val="24"/>
          <w:lang w:val="en-AU" w:eastAsia="en-AU"/>
        </w:rPr>
        <w:t>The Tavern has generated significant taxes and contributions to the Community Benefit Fund over the same period.</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Financial Analysis provided within the CIA indicates that the venue is currently profitable and would still be a profitable enterprise even without the revenue derived from gaming mac</w:t>
      </w:r>
      <w:r w:rsidR="003B6F78">
        <w:rPr>
          <w:rFonts w:ascii="Arial" w:eastAsia="Times New Roman" w:hAnsi="Arial" w:cs="Arial"/>
          <w:szCs w:val="24"/>
          <w:lang w:val="en-AU" w:eastAsia="en-AU"/>
        </w:rPr>
        <w:t>hines</w:t>
      </w:r>
      <w:r w:rsidR="00583F9B">
        <w:rPr>
          <w:rFonts w:ascii="Arial" w:eastAsia="Times New Roman" w:hAnsi="Arial" w:cs="Arial"/>
          <w:szCs w:val="24"/>
          <w:lang w:val="en-AU" w:eastAsia="en-AU"/>
        </w:rPr>
        <w:t>.</w:t>
      </w:r>
    </w:p>
    <w:p w:rsidR="00DA2BC5" w:rsidRPr="00074203"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74203">
        <w:rPr>
          <w:rFonts w:ascii="Arial" w:eastAsia="Times New Roman" w:hAnsi="Arial" w:cs="Arial"/>
          <w:szCs w:val="24"/>
          <w:lang w:val="en-AU" w:eastAsia="en-AU"/>
        </w:rPr>
        <w:t xml:space="preserve">The trading hours for the Tavern vary for the different areas within the premises. </w:t>
      </w:r>
      <w:r w:rsidR="00583F9B">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 xml:space="preserve">The trading hours for the </w:t>
      </w:r>
      <w:r w:rsidR="002C1182">
        <w:rPr>
          <w:rFonts w:ascii="Arial" w:eastAsia="Times New Roman" w:hAnsi="Arial" w:cs="Arial"/>
          <w:szCs w:val="24"/>
          <w:lang w:val="en-AU" w:eastAsia="en-AU"/>
        </w:rPr>
        <w:t>Palm Bar and Beer Garden are</w:t>
      </w:r>
      <w:r w:rsidRPr="00074203">
        <w:rPr>
          <w:rFonts w:ascii="Arial" w:eastAsia="Times New Roman" w:hAnsi="Arial" w:cs="Arial"/>
          <w:szCs w:val="24"/>
          <w:lang w:val="en-AU" w:eastAsia="en-AU"/>
        </w:rPr>
        <w:t xml:space="preserve"> 10.00</w:t>
      </w:r>
      <w:r w:rsidR="003B6F78">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am to 23.59</w:t>
      </w:r>
      <w:r w:rsidR="003B6F78">
        <w:rPr>
          <w:rFonts w:ascii="Arial" w:eastAsia="Times New Roman" w:hAnsi="Arial" w:cs="Arial"/>
          <w:szCs w:val="24"/>
          <w:lang w:val="en-AU" w:eastAsia="en-AU"/>
        </w:rPr>
        <w:t xml:space="preserve"> </w:t>
      </w:r>
      <w:r w:rsidRPr="00074203">
        <w:rPr>
          <w:rFonts w:ascii="Arial" w:eastAsia="Times New Roman" w:hAnsi="Arial" w:cs="Arial"/>
          <w:szCs w:val="24"/>
          <w:lang w:val="en-AU" w:eastAsia="en-AU"/>
        </w:rPr>
        <w:t xml:space="preserve">pm </w:t>
      </w:r>
      <w:r w:rsidR="002C1182">
        <w:rPr>
          <w:rFonts w:ascii="Arial" w:eastAsia="Times New Roman" w:hAnsi="Arial" w:cs="Arial"/>
          <w:szCs w:val="24"/>
          <w:lang w:val="en-AU" w:eastAsia="en-AU"/>
        </w:rPr>
        <w:t>seven days per week</w:t>
      </w:r>
      <w:r w:rsidRPr="00074203">
        <w:rPr>
          <w:rFonts w:ascii="Arial" w:eastAsia="Times New Roman" w:hAnsi="Arial" w:cs="Arial"/>
          <w:szCs w:val="24"/>
          <w:lang w:val="en-AU" w:eastAsia="en-AU"/>
        </w:rPr>
        <w:t xml:space="preserve"> with no trading permitted on Good Friday and Christmas Day. </w:t>
      </w:r>
      <w:r w:rsidR="00074203">
        <w:rPr>
          <w:rFonts w:ascii="Arial" w:eastAsia="Times New Roman" w:hAnsi="Arial" w:cs="Arial"/>
          <w:szCs w:val="24"/>
          <w:lang w:val="en-AU" w:eastAsia="en-AU"/>
        </w:rPr>
        <w:t xml:space="preserve"> </w:t>
      </w:r>
      <w:r w:rsidR="002C1182">
        <w:rPr>
          <w:rFonts w:ascii="Arial" w:eastAsia="Times New Roman" w:hAnsi="Arial" w:cs="Arial"/>
          <w:szCs w:val="24"/>
          <w:lang w:val="en-AU" w:eastAsia="en-AU"/>
        </w:rPr>
        <w:t>For the 11-10 Bar and Bistro, including the Courtyard, the trading hours are 10.00 am to 23.59 pm Sunday to Tuesday, 10.00</w:t>
      </w:r>
      <w:r w:rsidR="00FE1D77">
        <w:rPr>
          <w:rFonts w:ascii="Arial" w:eastAsia="Times New Roman" w:hAnsi="Arial" w:cs="Arial"/>
          <w:szCs w:val="24"/>
          <w:lang w:val="en-AU" w:eastAsia="en-AU"/>
        </w:rPr>
        <w:t> </w:t>
      </w:r>
      <w:r w:rsidR="002C1182">
        <w:rPr>
          <w:rFonts w:ascii="Arial" w:eastAsia="Times New Roman" w:hAnsi="Arial" w:cs="Arial"/>
          <w:szCs w:val="24"/>
          <w:lang w:val="en-AU" w:eastAsia="en-AU"/>
        </w:rPr>
        <w:t>am to 2.00 am the following day on Wednesday and Thursday and from 10.00 am to 4.00</w:t>
      </w:r>
      <w:r w:rsidR="00FE1D77">
        <w:rPr>
          <w:rFonts w:ascii="Arial" w:eastAsia="Times New Roman" w:hAnsi="Arial" w:cs="Arial"/>
          <w:szCs w:val="24"/>
          <w:lang w:val="en-AU" w:eastAsia="en-AU"/>
        </w:rPr>
        <w:t> </w:t>
      </w:r>
      <w:r w:rsidR="002C1182">
        <w:rPr>
          <w:rFonts w:ascii="Arial" w:eastAsia="Times New Roman" w:hAnsi="Arial" w:cs="Arial"/>
          <w:szCs w:val="24"/>
          <w:lang w:val="en-AU" w:eastAsia="en-AU"/>
        </w:rPr>
        <w:t xml:space="preserve">am the following day on Friday and Saturday.  </w:t>
      </w:r>
      <w:r w:rsidRPr="00074203">
        <w:rPr>
          <w:rFonts w:ascii="Arial" w:eastAsia="Times New Roman" w:hAnsi="Arial" w:cs="Arial"/>
          <w:szCs w:val="24"/>
          <w:lang w:val="en-AU" w:eastAsia="en-AU"/>
        </w:rPr>
        <w:t xml:space="preserve">Those hours are typical of those applicable to Taverns in the </w:t>
      </w:r>
      <w:r w:rsidR="003B6F78">
        <w:rPr>
          <w:rFonts w:ascii="Arial" w:eastAsia="Times New Roman" w:hAnsi="Arial" w:cs="Arial"/>
          <w:szCs w:val="24"/>
          <w:lang w:val="en-AU" w:eastAsia="en-AU"/>
        </w:rPr>
        <w:t xml:space="preserve">Greater </w:t>
      </w:r>
      <w:r w:rsidRPr="00074203">
        <w:rPr>
          <w:rFonts w:ascii="Arial" w:eastAsia="Times New Roman" w:hAnsi="Arial" w:cs="Arial"/>
          <w:szCs w:val="24"/>
          <w:lang w:val="en-AU" w:eastAsia="en-AU"/>
        </w:rPr>
        <w:t xml:space="preserve">Darwin </w:t>
      </w:r>
      <w:r w:rsidR="003B6F78">
        <w:rPr>
          <w:rFonts w:ascii="Arial" w:eastAsia="Times New Roman" w:hAnsi="Arial" w:cs="Arial"/>
          <w:szCs w:val="24"/>
          <w:lang w:val="en-AU" w:eastAsia="en-AU"/>
        </w:rPr>
        <w:t xml:space="preserve">and Palmerston </w:t>
      </w:r>
      <w:r w:rsidRPr="00074203">
        <w:rPr>
          <w:rFonts w:ascii="Arial" w:eastAsia="Times New Roman" w:hAnsi="Arial" w:cs="Arial"/>
          <w:szCs w:val="24"/>
          <w:lang w:val="en-AU" w:eastAsia="en-AU"/>
        </w:rPr>
        <w:t>region</w:t>
      </w:r>
      <w:r w:rsidR="003B6F78">
        <w:rPr>
          <w:rFonts w:ascii="Arial" w:eastAsia="Times New Roman" w:hAnsi="Arial" w:cs="Arial"/>
          <w:szCs w:val="24"/>
          <w:lang w:val="en-AU" w:eastAsia="en-AU"/>
        </w:rPr>
        <w:t>s</w:t>
      </w:r>
      <w:r w:rsidR="002C1182">
        <w:rPr>
          <w:rFonts w:ascii="Arial" w:eastAsia="Times New Roman" w:hAnsi="Arial" w:cs="Arial"/>
          <w:szCs w:val="24"/>
          <w:lang w:val="en-AU" w:eastAsia="en-AU"/>
        </w:rPr>
        <w:t xml:space="preserve"> where the </w:t>
      </w:r>
      <w:r w:rsidR="003B6F78">
        <w:rPr>
          <w:rFonts w:ascii="Arial" w:eastAsia="Times New Roman" w:hAnsi="Arial" w:cs="Arial"/>
          <w:szCs w:val="24"/>
          <w:lang w:val="en-AU" w:eastAsia="en-AU"/>
        </w:rPr>
        <w:t xml:space="preserve">liquor </w:t>
      </w:r>
      <w:r w:rsidR="002C1182">
        <w:rPr>
          <w:rFonts w:ascii="Arial" w:eastAsia="Times New Roman" w:hAnsi="Arial" w:cs="Arial"/>
          <w:szCs w:val="24"/>
          <w:lang w:val="en-AU" w:eastAsia="en-AU"/>
        </w:rPr>
        <w:t>licence provides for late night trading</w:t>
      </w:r>
      <w:r w:rsidRPr="00074203">
        <w:rPr>
          <w:rFonts w:ascii="Arial" w:eastAsia="Times New Roman" w:hAnsi="Arial" w:cs="Arial"/>
          <w:szCs w:val="24"/>
          <w:lang w:val="en-AU" w:eastAsia="en-AU"/>
        </w:rPr>
        <w:t>.</w:t>
      </w:r>
    </w:p>
    <w:p w:rsidR="00DA2BC5" w:rsidRPr="00074203" w:rsidRDefault="00E43C72" w:rsidP="00074203">
      <w:pPr>
        <w:pStyle w:val="ListParagraph"/>
        <w:widowControl/>
        <w:spacing w:before="240" w:after="120"/>
        <w:jc w:val="both"/>
        <w:rPr>
          <w:rStyle w:val="Emphasis"/>
          <w:rFonts w:ascii="Arial" w:eastAsia="Times New Roman" w:hAnsi="Arial" w:cs="Times New Roman"/>
          <w:i w:val="0"/>
          <w:szCs w:val="20"/>
          <w:lang w:val="en-AU" w:eastAsia="en-AU"/>
        </w:rPr>
      </w:pPr>
      <w:r w:rsidRPr="00074203">
        <w:rPr>
          <w:rStyle w:val="Emphasis"/>
          <w:rFonts w:ascii="Arial" w:eastAsia="Times New Roman" w:hAnsi="Arial" w:cs="Times New Roman"/>
          <w:b/>
          <w:i w:val="0"/>
          <w:szCs w:val="20"/>
          <w:lang w:val="en-AU" w:eastAsia="en-AU"/>
        </w:rPr>
        <w:t>Size, layout and facilities of the premises</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This issue is discussed earlier in this decision and the ratio of floor space allocated to the gaming room in comparison to the other public areas of the Tavern is reasonable and commensurate with that of a tavern offering gaming machine activity.</w:t>
      </w:r>
    </w:p>
    <w:p w:rsidR="00DA2BC5" w:rsidRPr="00074022" w:rsidRDefault="00E43C72" w:rsidP="00074203">
      <w:pPr>
        <w:pStyle w:val="Heading3"/>
        <w:keepNext/>
        <w:widowControl/>
        <w:spacing w:before="240" w:after="120"/>
        <w:ind w:left="0"/>
        <w:rPr>
          <w:rFonts w:eastAsia="Times New Roman" w:cs="Arial"/>
          <w:sz w:val="22"/>
          <w:szCs w:val="22"/>
          <w:lang w:val="en-AU" w:eastAsia="en-AU"/>
        </w:rPr>
      </w:pPr>
      <w:r w:rsidRPr="00074022">
        <w:rPr>
          <w:rFonts w:eastAsia="Times New Roman" w:cs="Arial"/>
          <w:sz w:val="22"/>
          <w:szCs w:val="22"/>
          <w:lang w:val="en-AU" w:eastAsia="en-AU"/>
        </w:rPr>
        <w:t>Other matters the Director-General considers relevant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Gaming and Liquor Amendment Bill of 2015 amended the Act to effectively lift the previously imposed cap on authorisations of gaming machines in licensed hotels, taverns and clubs in the Northern Territory.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As well as lifting the overall cap, the amendments also provided for an increase in the number of gaming machines for hotels and taverns with existing gaming machines from ten to a maximum of 20 gaming machines.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At the time of introducing the amendments, the Minister for Racing, Gaming and Licensing noted that the arbitrary Territory</w:t>
      </w:r>
      <w:r w:rsidR="00334575">
        <w:rPr>
          <w:rFonts w:ascii="Arial" w:eastAsia="Times New Roman" w:hAnsi="Arial" w:cs="Arial"/>
          <w:szCs w:val="24"/>
          <w:lang w:val="en-AU" w:eastAsia="en-AU"/>
        </w:rPr>
        <w:noBreakHyphen/>
      </w:r>
      <w:r w:rsidRPr="00E209FB">
        <w:rPr>
          <w:rFonts w:ascii="Arial" w:eastAsia="Times New Roman" w:hAnsi="Arial" w:cs="Arial"/>
          <w:szCs w:val="24"/>
          <w:lang w:val="en-AU" w:eastAsia="en-AU"/>
        </w:rPr>
        <w:t>wide cap was abolished in favour of a rigorous community impact assessment process for new applications and for applications seeking additional gaming machines.</w:t>
      </w:r>
    </w:p>
    <w:p w:rsidR="00DA2BC5" w:rsidRPr="006B5BD2" w:rsidRDefault="00E43C72" w:rsidP="006B5BD2">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Against that background the Applicant the subject of this decision has presented a </w:t>
      </w:r>
      <w:r w:rsidR="006B5BD2">
        <w:rPr>
          <w:rFonts w:ascii="Arial" w:eastAsia="Times New Roman" w:hAnsi="Arial" w:cs="Arial"/>
          <w:szCs w:val="24"/>
          <w:lang w:val="en-AU" w:eastAsia="en-AU"/>
        </w:rPr>
        <w:t>comprehensive CIA</w:t>
      </w:r>
      <w:r w:rsidRPr="00E209FB">
        <w:rPr>
          <w:rFonts w:ascii="Arial" w:eastAsia="Times New Roman" w:hAnsi="Arial" w:cs="Arial"/>
          <w:szCs w:val="24"/>
          <w:lang w:val="en-AU" w:eastAsia="en-AU"/>
        </w:rPr>
        <w:t xml:space="preserve"> with strong supporting evidence indicating that this application meets the requirements of the Act in relation to an increase in the authorised number of gaming machines.</w:t>
      </w:r>
      <w:r w:rsidR="006B5BD2">
        <w:rPr>
          <w:rFonts w:ascii="Arial" w:eastAsia="Times New Roman" w:hAnsi="Arial" w:cs="Arial"/>
          <w:szCs w:val="24"/>
          <w:lang w:val="en-AU" w:eastAsia="en-AU"/>
        </w:rPr>
        <w:t xml:space="preserve">  </w:t>
      </w:r>
      <w:r w:rsidRPr="006B5BD2">
        <w:rPr>
          <w:rFonts w:ascii="Arial" w:eastAsia="Times New Roman" w:hAnsi="Arial" w:cs="Arial"/>
          <w:szCs w:val="24"/>
          <w:lang w:val="en-AU" w:eastAsia="en-AU"/>
        </w:rPr>
        <w:t xml:space="preserve">The fact that the Tavern is now owned by a national company with a clear strategy for the management of gaming machines </w:t>
      </w:r>
      <w:r w:rsidR="003B6F78">
        <w:rPr>
          <w:rFonts w:ascii="Arial" w:eastAsia="Times New Roman" w:hAnsi="Arial" w:cs="Arial"/>
          <w:szCs w:val="24"/>
          <w:lang w:val="en-AU" w:eastAsia="en-AU"/>
        </w:rPr>
        <w:t xml:space="preserve">and the associated potential for harm </w:t>
      </w:r>
      <w:r w:rsidRPr="006B5BD2">
        <w:rPr>
          <w:rFonts w:ascii="Arial" w:eastAsia="Times New Roman" w:hAnsi="Arial" w:cs="Arial"/>
          <w:szCs w:val="24"/>
          <w:lang w:val="en-AU" w:eastAsia="en-AU"/>
        </w:rPr>
        <w:t>is also objectively a significant development in terms of the implementation of responsible gambling practices and procedures.</w:t>
      </w:r>
      <w:r w:rsidR="006B5BD2">
        <w:rPr>
          <w:rFonts w:ascii="Arial" w:eastAsia="Times New Roman" w:hAnsi="Arial" w:cs="Arial"/>
          <w:szCs w:val="24"/>
          <w:lang w:val="en-AU" w:eastAsia="en-AU"/>
        </w:rPr>
        <w:t xml:space="preserve">  As is the Applicant’s </w:t>
      </w:r>
      <w:r w:rsidR="003B6F78">
        <w:rPr>
          <w:rFonts w:ascii="Arial" w:eastAsia="Times New Roman" w:hAnsi="Arial" w:cs="Arial"/>
          <w:szCs w:val="24"/>
          <w:lang w:val="en-AU" w:eastAsia="en-AU"/>
        </w:rPr>
        <w:t xml:space="preserve">voluntary </w:t>
      </w:r>
      <w:r w:rsidR="0046226A">
        <w:rPr>
          <w:rFonts w:ascii="Arial" w:eastAsia="Times New Roman" w:hAnsi="Arial" w:cs="Arial"/>
          <w:szCs w:val="24"/>
          <w:lang w:val="en-AU" w:eastAsia="en-AU"/>
        </w:rPr>
        <w:t>intent to implement and promote</w:t>
      </w:r>
      <w:r w:rsidR="006B5BD2">
        <w:rPr>
          <w:rFonts w:ascii="Arial" w:eastAsia="Times New Roman" w:hAnsi="Arial" w:cs="Arial"/>
          <w:szCs w:val="24"/>
          <w:lang w:val="en-AU" w:eastAsia="en-AU"/>
        </w:rPr>
        <w:t xml:space="preserve"> pre-commitment technology</w:t>
      </w:r>
      <w:r w:rsidR="0046226A">
        <w:rPr>
          <w:rFonts w:ascii="Arial" w:eastAsia="Times New Roman" w:hAnsi="Arial" w:cs="Arial"/>
          <w:szCs w:val="24"/>
          <w:lang w:val="en-AU" w:eastAsia="en-AU"/>
        </w:rPr>
        <w:t xml:space="preserve"> in the near future and once the appropriate approvals for the technology have been obtained</w:t>
      </w:r>
      <w:r w:rsidR="006B5BD2">
        <w:rPr>
          <w:rFonts w:ascii="Arial" w:eastAsia="Times New Roman" w:hAnsi="Arial" w:cs="Arial"/>
          <w:szCs w:val="24"/>
          <w:lang w:val="en-AU" w:eastAsia="en-AU"/>
        </w:rPr>
        <w:t>.</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lastRenderedPageBreak/>
        <w:t>The comprehensive CIA prepared for the purpose of this application is analysed in some detail above and raises</w:t>
      </w:r>
      <w:r w:rsidR="006B5BD2">
        <w:rPr>
          <w:rFonts w:ascii="Arial" w:eastAsia="Times New Roman" w:hAnsi="Arial" w:cs="Arial"/>
          <w:szCs w:val="24"/>
          <w:lang w:val="en-AU" w:eastAsia="en-AU"/>
        </w:rPr>
        <w:t xml:space="preserve"> no issues specific to the Palmerston</w:t>
      </w:r>
      <w:r w:rsidRPr="00E209FB">
        <w:rPr>
          <w:rFonts w:ascii="Arial" w:eastAsia="Times New Roman" w:hAnsi="Arial" w:cs="Arial"/>
          <w:szCs w:val="24"/>
          <w:lang w:val="en-AU" w:eastAsia="en-AU"/>
        </w:rPr>
        <w:t xml:space="preserve"> Tavern that would persuade me to reject the application.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The harms associated with gaming machines and problem gambling are well documented and well known within the general community.</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 I am satisfied that the Applicant in this instance has in place policies and procedures that will have the effect of minimising the harms associated with gambling generally and the use of gaming machines specifically at the </w:t>
      </w:r>
      <w:r w:rsidR="00911155">
        <w:rPr>
          <w:rFonts w:ascii="Arial" w:eastAsia="Times New Roman" w:hAnsi="Arial" w:cs="Arial"/>
          <w:szCs w:val="24"/>
          <w:lang w:val="en-AU" w:eastAsia="en-AU"/>
        </w:rPr>
        <w:t>Palmerston</w:t>
      </w:r>
      <w:r w:rsidR="00911155" w:rsidRPr="00E209FB">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Tavern.</w:t>
      </w:r>
    </w:p>
    <w:p w:rsidR="00DA2BC5" w:rsidRPr="00074022" w:rsidRDefault="0007402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074022">
        <w:rPr>
          <w:rFonts w:ascii="Arial" w:eastAsia="Times New Roman" w:hAnsi="Arial" w:cs="Arial"/>
          <w:szCs w:val="24"/>
          <w:lang w:val="en-AU" w:eastAsia="en-AU"/>
        </w:rPr>
        <w:t xml:space="preserve">The </w:t>
      </w:r>
      <w:r w:rsidR="00E43C72" w:rsidRPr="00074022">
        <w:rPr>
          <w:rFonts w:ascii="Arial" w:eastAsia="Times New Roman" w:hAnsi="Arial" w:cs="Arial"/>
          <w:szCs w:val="24"/>
          <w:lang w:val="en-AU" w:eastAsia="en-AU"/>
        </w:rPr>
        <w:t xml:space="preserve">non-government community welfare agencies who </w:t>
      </w:r>
      <w:r w:rsidR="00BD77A0">
        <w:rPr>
          <w:rFonts w:ascii="Arial" w:eastAsia="Times New Roman" w:hAnsi="Arial" w:cs="Arial"/>
          <w:szCs w:val="24"/>
          <w:lang w:val="en-AU" w:eastAsia="en-AU"/>
        </w:rPr>
        <w:t xml:space="preserve">submitted responses to the community consultation conducted by </w:t>
      </w:r>
      <w:r w:rsidRPr="00074022">
        <w:rPr>
          <w:rFonts w:ascii="Arial" w:eastAsia="Times New Roman" w:hAnsi="Arial" w:cs="Arial"/>
          <w:szCs w:val="24"/>
          <w:lang w:val="en-AU" w:eastAsia="en-AU"/>
        </w:rPr>
        <w:t>the authors of the CIA in respect of this a</w:t>
      </w:r>
      <w:r w:rsidR="00E43C72" w:rsidRPr="00074022">
        <w:rPr>
          <w:rFonts w:ascii="Arial" w:eastAsia="Times New Roman" w:hAnsi="Arial" w:cs="Arial"/>
          <w:szCs w:val="24"/>
          <w:lang w:val="en-AU" w:eastAsia="en-AU"/>
        </w:rPr>
        <w:t xml:space="preserve">pplication </w:t>
      </w:r>
      <w:r w:rsidRPr="00074022">
        <w:rPr>
          <w:rFonts w:ascii="Arial" w:eastAsia="Times New Roman" w:hAnsi="Arial" w:cs="Arial"/>
          <w:szCs w:val="24"/>
          <w:lang w:val="en-AU" w:eastAsia="en-AU"/>
        </w:rPr>
        <w:t>generally submit</w:t>
      </w:r>
      <w:r w:rsidR="00E43C72" w:rsidRPr="00074022">
        <w:rPr>
          <w:rFonts w:ascii="Arial" w:eastAsia="Times New Roman" w:hAnsi="Arial" w:cs="Arial"/>
          <w:szCs w:val="24"/>
          <w:lang w:val="en-AU" w:eastAsia="en-AU"/>
        </w:rPr>
        <w:t xml:space="preserve"> the increase in gaming machines will have a negative effect on the community an</w:t>
      </w:r>
      <w:r w:rsidRPr="00074022">
        <w:rPr>
          <w:rFonts w:ascii="Arial" w:eastAsia="Times New Roman" w:hAnsi="Arial" w:cs="Arial"/>
          <w:szCs w:val="24"/>
          <w:lang w:val="en-AU" w:eastAsia="en-AU"/>
        </w:rPr>
        <w:t xml:space="preserve">d, as a result, </w:t>
      </w:r>
      <w:r w:rsidR="00E43C72" w:rsidRPr="00074022">
        <w:rPr>
          <w:rFonts w:ascii="Arial" w:eastAsia="Times New Roman" w:hAnsi="Arial" w:cs="Arial"/>
          <w:szCs w:val="24"/>
          <w:lang w:val="en-AU" w:eastAsia="en-AU"/>
        </w:rPr>
        <w:t>those organisations do not support the application.</w:t>
      </w:r>
      <w:r w:rsidR="00334575" w:rsidRPr="00074022">
        <w:rPr>
          <w:rFonts w:ascii="Arial" w:eastAsia="Times New Roman" w:hAnsi="Arial" w:cs="Arial"/>
          <w:szCs w:val="24"/>
          <w:lang w:val="en-AU" w:eastAsia="en-AU"/>
        </w:rPr>
        <w:t xml:space="preserve"> </w:t>
      </w:r>
      <w:r w:rsidR="00E43C72" w:rsidRPr="00074022">
        <w:rPr>
          <w:rFonts w:ascii="Arial" w:eastAsia="Times New Roman" w:hAnsi="Arial" w:cs="Arial"/>
          <w:szCs w:val="24"/>
          <w:lang w:val="en-AU" w:eastAsia="en-AU"/>
        </w:rPr>
        <w:t xml:space="preserve"> Whilst those comments and submissions are properly made and no doubt indicative of the views of the organisations represented, they do not provide any specific details of prospective harms or potential adverse community outcomes directly related to the venue under consideration.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In addition, as evidenced by the Applicant's submissions in support of the application, including the content of the CIA, the Applicant intends to maintain strategies aimed at reducing gaming-related harm if the application is approved.</w:t>
      </w:r>
      <w:r w:rsidR="00074022">
        <w:rPr>
          <w:rFonts w:ascii="Arial" w:eastAsia="Times New Roman" w:hAnsi="Arial" w:cs="Arial"/>
          <w:szCs w:val="24"/>
          <w:lang w:val="en-AU" w:eastAsia="en-AU"/>
        </w:rPr>
        <w:t xml:space="preserve">  It should also be noted that the Applicant has, to its credit, </w:t>
      </w:r>
      <w:r w:rsidR="00397AD0">
        <w:rPr>
          <w:rFonts w:ascii="Arial" w:eastAsia="Times New Roman" w:hAnsi="Arial" w:cs="Arial"/>
          <w:szCs w:val="24"/>
          <w:lang w:val="en-AU" w:eastAsia="en-AU"/>
        </w:rPr>
        <w:t xml:space="preserve">proposes to voluntarily implement </w:t>
      </w:r>
      <w:r w:rsidR="00074022">
        <w:rPr>
          <w:rFonts w:ascii="Arial" w:eastAsia="Times New Roman" w:hAnsi="Arial" w:cs="Arial"/>
          <w:szCs w:val="24"/>
          <w:lang w:val="en-AU" w:eastAsia="en-AU"/>
        </w:rPr>
        <w:t>pre-commitment technology at the Palmerston Tavern</w:t>
      </w:r>
      <w:r w:rsidR="00397AD0">
        <w:rPr>
          <w:rFonts w:ascii="Arial" w:eastAsia="Times New Roman" w:hAnsi="Arial" w:cs="Arial"/>
          <w:szCs w:val="24"/>
          <w:lang w:val="en-AU" w:eastAsia="en-AU"/>
        </w:rPr>
        <w:t xml:space="preserve"> in the near future</w:t>
      </w:r>
      <w:r w:rsidR="00074022">
        <w:rPr>
          <w:rFonts w:ascii="Arial" w:eastAsia="Times New Roman" w:hAnsi="Arial" w:cs="Arial"/>
          <w:szCs w:val="24"/>
          <w:lang w:val="en-AU" w:eastAsia="en-AU"/>
        </w:rPr>
        <w:t xml:space="preserve">, an initiative recommended by numerous studies into the means of minimising the harm associated with problem gambling involving gaming machines.  </w:t>
      </w:r>
      <w:r w:rsidR="009A0B1B">
        <w:rPr>
          <w:rFonts w:ascii="Arial" w:eastAsia="Times New Roman" w:hAnsi="Arial" w:cs="Arial"/>
          <w:szCs w:val="24"/>
          <w:lang w:val="en-AU" w:eastAsia="en-AU"/>
        </w:rPr>
        <w:t>Whilst a number of Australian jurisdictions are considering mandatory pre-commitment technologies that is not the case presently in the NT.</w:t>
      </w:r>
    </w:p>
    <w:p w:rsidR="00DA2BC5" w:rsidRPr="00074022" w:rsidRDefault="00E43C72" w:rsidP="00203F88">
      <w:pPr>
        <w:pStyle w:val="Heading2"/>
        <w:keepNext/>
        <w:widowControl/>
        <w:spacing w:before="360" w:after="120"/>
        <w:ind w:left="0"/>
        <w:rPr>
          <w:rFonts w:eastAsiaTheme="majorEastAsia" w:cs="Arial"/>
          <w:b/>
          <w:bCs/>
          <w:iCs/>
          <w:sz w:val="22"/>
          <w:szCs w:val="22"/>
          <w:lang w:val="en-AU" w:eastAsia="en-AU"/>
        </w:rPr>
      </w:pPr>
      <w:r w:rsidRPr="00FE1D77">
        <w:rPr>
          <w:rFonts w:eastAsiaTheme="majorEastAsia" w:cstheme="majorBidi"/>
          <w:b/>
          <w:bCs/>
          <w:iCs/>
          <w:sz w:val="28"/>
          <w:szCs w:val="28"/>
          <w:lang w:val="en-AU" w:eastAsia="en-AU"/>
        </w:rPr>
        <w:t>Decision</w:t>
      </w:r>
    </w:p>
    <w:p w:rsidR="00DA2BC5" w:rsidRPr="00E209FB" w:rsidRDefault="00E43C72" w:rsidP="00203F88">
      <w:pPr>
        <w:pStyle w:val="ListParagraph"/>
        <w:widowControl/>
        <w:numPr>
          <w:ilvl w:val="0"/>
          <w:numId w:val="3"/>
        </w:numPr>
        <w:spacing w:after="240"/>
        <w:ind w:left="567" w:hanging="425"/>
        <w:jc w:val="both"/>
        <w:rPr>
          <w:rFonts w:ascii="Arial" w:eastAsia="Times New Roman" w:hAnsi="Arial" w:cs="Arial"/>
          <w:szCs w:val="24"/>
          <w:lang w:val="en-AU" w:eastAsia="en-AU"/>
        </w:rPr>
      </w:pPr>
      <w:r w:rsidRPr="00FE1D77">
        <w:rPr>
          <w:rFonts w:ascii="Arial" w:hAnsi="Arial" w:cs="Arial"/>
          <w:color w:val="0E0E0E"/>
        </w:rPr>
        <w:t>F</w:t>
      </w:r>
      <w:r w:rsidRPr="00FE1D77">
        <w:rPr>
          <w:rFonts w:ascii="Arial" w:eastAsia="Times New Roman" w:hAnsi="Arial" w:cs="Arial"/>
          <w:szCs w:val="24"/>
          <w:lang w:val="en-AU" w:eastAsia="en-AU"/>
        </w:rPr>
        <w:t xml:space="preserve">or </w:t>
      </w:r>
      <w:r w:rsidRPr="00E209FB">
        <w:rPr>
          <w:rFonts w:ascii="Arial" w:eastAsia="Times New Roman" w:hAnsi="Arial" w:cs="Arial"/>
          <w:szCs w:val="24"/>
          <w:lang w:val="en-AU" w:eastAsia="en-AU"/>
        </w:rPr>
        <w:t>the reasons set out above, and in accordance with section 41(3) of the Act I have determined to grant the application lodged by Australian Leisure and Hospitality Group Pty Ltd and authorise the increase of the number of gami</w:t>
      </w:r>
      <w:r w:rsidR="006B5BD2">
        <w:rPr>
          <w:rFonts w:ascii="Arial" w:eastAsia="Times New Roman" w:hAnsi="Arial" w:cs="Arial"/>
          <w:szCs w:val="24"/>
          <w:lang w:val="en-AU" w:eastAsia="en-AU"/>
        </w:rPr>
        <w:t>ng machines located at the Palmerston</w:t>
      </w:r>
      <w:r w:rsidRPr="00E209FB">
        <w:rPr>
          <w:rFonts w:ascii="Arial" w:eastAsia="Times New Roman" w:hAnsi="Arial" w:cs="Arial"/>
          <w:szCs w:val="24"/>
          <w:lang w:val="en-AU" w:eastAsia="en-AU"/>
        </w:rPr>
        <w:t xml:space="preserve"> Tavern from the current limit of ten gaming machines to the maximum allowable for the holder of a tavern liquor licence, namely a maximum of 20 gaming machines.</w:t>
      </w:r>
    </w:p>
    <w:p w:rsidR="00834ACA" w:rsidRDefault="00E43C72" w:rsidP="00834ACA">
      <w:pPr>
        <w:pStyle w:val="ListParagraph"/>
        <w:widowControl/>
        <w:numPr>
          <w:ilvl w:val="0"/>
          <w:numId w:val="3"/>
        </w:numPr>
        <w:spacing w:after="240"/>
        <w:ind w:left="567" w:hanging="425"/>
        <w:jc w:val="both"/>
        <w:rPr>
          <w:rFonts w:ascii="Arial" w:eastAsia="Times New Roman" w:hAnsi="Arial" w:cs="Arial"/>
          <w:szCs w:val="24"/>
          <w:lang w:val="en-AU" w:eastAsia="en-AU"/>
        </w:rPr>
      </w:pPr>
      <w:r w:rsidRPr="00E209FB">
        <w:rPr>
          <w:rFonts w:ascii="Arial" w:eastAsia="Times New Roman" w:hAnsi="Arial" w:cs="Arial"/>
          <w:szCs w:val="24"/>
          <w:lang w:val="en-AU" w:eastAsia="en-AU"/>
        </w:rPr>
        <w:t xml:space="preserve">The additional approved ten gaming machines are required to be included in the schedule attached to the gaming machine licence in which each individual gaming machine is identified and authorised for use. </w:t>
      </w:r>
      <w:r w:rsidR="00334575">
        <w:rPr>
          <w:rFonts w:ascii="Arial" w:eastAsia="Times New Roman" w:hAnsi="Arial" w:cs="Arial"/>
          <w:szCs w:val="24"/>
          <w:lang w:val="en-AU" w:eastAsia="en-AU"/>
        </w:rPr>
        <w:t xml:space="preserve"> </w:t>
      </w:r>
      <w:r w:rsidRPr="00E209FB">
        <w:rPr>
          <w:rFonts w:ascii="Arial" w:eastAsia="Times New Roman" w:hAnsi="Arial" w:cs="Arial"/>
          <w:szCs w:val="24"/>
          <w:lang w:val="en-AU" w:eastAsia="en-AU"/>
        </w:rPr>
        <w:t xml:space="preserve">The schedule will be updated upon submission by the Applicant of the details pertaining to </w:t>
      </w:r>
      <w:r w:rsidRPr="00834ACA">
        <w:rPr>
          <w:rFonts w:ascii="Arial" w:eastAsia="Times New Roman" w:hAnsi="Arial" w:cs="Arial"/>
          <w:szCs w:val="24"/>
          <w:lang w:val="en-AU" w:eastAsia="en-AU"/>
        </w:rPr>
        <w:t>the additional ten gaming ma</w:t>
      </w:r>
      <w:r w:rsidR="00834ACA" w:rsidRPr="00834ACA">
        <w:rPr>
          <w:rFonts w:ascii="Arial" w:eastAsia="Times New Roman" w:hAnsi="Arial" w:cs="Arial"/>
          <w:szCs w:val="24"/>
          <w:lang w:val="en-AU" w:eastAsia="en-AU"/>
        </w:rPr>
        <w:t>chines, once they are purchased</w:t>
      </w:r>
      <w:r w:rsidR="008847DB">
        <w:rPr>
          <w:rFonts w:ascii="Arial" w:eastAsia="Times New Roman" w:hAnsi="Arial" w:cs="Arial"/>
          <w:szCs w:val="24"/>
          <w:lang w:val="en-AU" w:eastAsia="en-AU"/>
        </w:rPr>
        <w:t>.</w:t>
      </w:r>
    </w:p>
    <w:p w:rsidR="008847DB" w:rsidRDefault="008847DB" w:rsidP="008847DB">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 xml:space="preserve">As noted above, the Applicant has advised that there will be a requirement for some minor alterations to the fit out of the premises to accommodate the additional ten gaming machines, </w:t>
      </w:r>
      <w:r w:rsidRPr="00DA1326">
        <w:rPr>
          <w:rFonts w:ascii="Arial" w:eastAsia="Times New Roman" w:hAnsi="Arial" w:cs="Arial"/>
          <w:szCs w:val="24"/>
          <w:lang w:val="en-AU" w:eastAsia="en-AU"/>
        </w:rPr>
        <w:t>including the construction of an interior wall to separate the gaming room from the bistro and bar areas.</w:t>
      </w:r>
      <w:r>
        <w:rPr>
          <w:rFonts w:ascii="Arial" w:eastAsia="Times New Roman" w:hAnsi="Arial" w:cs="Arial"/>
          <w:szCs w:val="24"/>
          <w:lang w:val="en-AU" w:eastAsia="en-AU"/>
        </w:rPr>
        <w:t xml:space="preserve">  The proposed alterations are not significant in nature and will most likely have the effect of separating and screening the gaming room from clients using the bar and bistro.  </w:t>
      </w:r>
      <w:r w:rsidR="00371B1E">
        <w:rPr>
          <w:rFonts w:ascii="Arial" w:eastAsia="Times New Roman" w:hAnsi="Arial" w:cs="Arial"/>
          <w:szCs w:val="24"/>
          <w:lang w:val="en-AU" w:eastAsia="en-AU"/>
        </w:rPr>
        <w:t>Once the</w:t>
      </w:r>
      <w:r>
        <w:rPr>
          <w:rFonts w:ascii="Arial" w:eastAsia="Times New Roman" w:hAnsi="Arial" w:cs="Arial"/>
          <w:szCs w:val="24"/>
          <w:lang w:val="en-AU" w:eastAsia="en-AU"/>
        </w:rPr>
        <w:t xml:space="preserve"> plans for the alterations to the </w:t>
      </w:r>
      <w:r w:rsidR="003C6AF0">
        <w:rPr>
          <w:rFonts w:ascii="Arial" w:eastAsia="Times New Roman" w:hAnsi="Arial" w:cs="Arial"/>
          <w:szCs w:val="24"/>
          <w:lang w:val="en-AU" w:eastAsia="en-AU"/>
        </w:rPr>
        <w:t>premises</w:t>
      </w:r>
      <w:r>
        <w:rPr>
          <w:rFonts w:ascii="Arial" w:eastAsia="Times New Roman" w:hAnsi="Arial" w:cs="Arial"/>
          <w:szCs w:val="24"/>
          <w:lang w:val="en-AU" w:eastAsia="en-AU"/>
        </w:rPr>
        <w:t xml:space="preserve"> </w:t>
      </w:r>
      <w:r w:rsidR="00371B1E">
        <w:rPr>
          <w:rFonts w:ascii="Arial" w:eastAsia="Times New Roman" w:hAnsi="Arial" w:cs="Arial"/>
          <w:szCs w:val="24"/>
          <w:lang w:val="en-AU" w:eastAsia="en-AU"/>
        </w:rPr>
        <w:t xml:space="preserve">are finalised the licensee </w:t>
      </w:r>
      <w:r>
        <w:rPr>
          <w:rFonts w:ascii="Arial" w:eastAsia="Times New Roman" w:hAnsi="Arial" w:cs="Arial"/>
          <w:szCs w:val="24"/>
          <w:lang w:val="en-AU" w:eastAsia="en-AU"/>
        </w:rPr>
        <w:t xml:space="preserve">will be required to lodge an application for approval of the alterations </w:t>
      </w:r>
      <w:r w:rsidR="00371B1E">
        <w:rPr>
          <w:rFonts w:ascii="Arial" w:eastAsia="Times New Roman" w:hAnsi="Arial" w:cs="Arial"/>
          <w:szCs w:val="24"/>
          <w:lang w:val="en-AU" w:eastAsia="en-AU"/>
        </w:rPr>
        <w:t>by the Director-General and comply with the relevant provisions of section 43 of the Act.</w:t>
      </w:r>
    </w:p>
    <w:p w:rsidR="00911155" w:rsidRPr="00DA1326" w:rsidRDefault="00AF33F1" w:rsidP="008847DB">
      <w:pPr>
        <w:pStyle w:val="ListParagraph"/>
        <w:widowControl/>
        <w:numPr>
          <w:ilvl w:val="0"/>
          <w:numId w:val="3"/>
        </w:numPr>
        <w:spacing w:after="240"/>
        <w:ind w:left="567" w:hanging="425"/>
        <w:jc w:val="both"/>
        <w:rPr>
          <w:rFonts w:ascii="Arial" w:eastAsia="Times New Roman" w:hAnsi="Arial" w:cs="Arial"/>
          <w:szCs w:val="24"/>
          <w:lang w:val="en-AU" w:eastAsia="en-AU"/>
        </w:rPr>
      </w:pPr>
      <w:r>
        <w:rPr>
          <w:rFonts w:ascii="Arial" w:eastAsia="Times New Roman" w:hAnsi="Arial" w:cs="Arial"/>
          <w:szCs w:val="24"/>
          <w:lang w:val="en-AU" w:eastAsia="en-AU"/>
        </w:rPr>
        <w:t>In addition, section 119</w:t>
      </w:r>
      <w:r w:rsidR="00911155">
        <w:rPr>
          <w:rFonts w:ascii="Arial" w:eastAsia="Times New Roman" w:hAnsi="Arial" w:cs="Arial"/>
          <w:szCs w:val="24"/>
          <w:lang w:val="en-AU" w:eastAsia="en-AU"/>
        </w:rPr>
        <w:t xml:space="preserve"> of the Liquor Act</w:t>
      </w:r>
      <w:r>
        <w:rPr>
          <w:rFonts w:ascii="Arial" w:eastAsia="Times New Roman" w:hAnsi="Arial" w:cs="Arial"/>
          <w:szCs w:val="24"/>
          <w:lang w:val="en-AU" w:eastAsia="en-AU"/>
        </w:rPr>
        <w:t xml:space="preserve"> directs that a licensee must not make a material alteration to the licensed premises without the Director-General’s approval.  As noted above, the alterations proposed by the Applicant are not significant so as to constitute a material alteration.  The proposed alterations will in fact enhance the gaming room and assist in screening the gaming room from patrons who do not wish to use them.  I have determined that the minor alterations proposed do not require approval under section 119 of the Liquor Act however the Applicant will need to comply with section 43 of the Gaming Machine Act, including the lodgement of the statutory declaration referred to in section 43(3) of the Act. </w:t>
      </w:r>
    </w:p>
    <w:p w:rsidR="00834ACA" w:rsidRPr="00FE1D77" w:rsidRDefault="00E43C72" w:rsidP="00FE1D77">
      <w:pPr>
        <w:pStyle w:val="Heading2"/>
        <w:keepNext/>
        <w:widowControl/>
        <w:spacing w:before="360" w:after="120"/>
        <w:ind w:left="0"/>
        <w:rPr>
          <w:rFonts w:eastAsiaTheme="majorEastAsia" w:cstheme="majorBidi"/>
          <w:b/>
          <w:bCs/>
          <w:iCs/>
          <w:sz w:val="28"/>
          <w:szCs w:val="28"/>
          <w:lang w:val="en-AU" w:eastAsia="en-AU"/>
        </w:rPr>
      </w:pPr>
      <w:r w:rsidRPr="00FE1D77">
        <w:rPr>
          <w:rFonts w:eastAsiaTheme="majorEastAsia" w:cstheme="majorBidi"/>
          <w:b/>
          <w:bCs/>
          <w:iCs/>
          <w:sz w:val="28"/>
          <w:szCs w:val="28"/>
          <w:lang w:val="en-AU" w:eastAsia="en-AU"/>
        </w:rPr>
        <w:lastRenderedPageBreak/>
        <w:t>Review of Decision</w:t>
      </w:r>
    </w:p>
    <w:p w:rsidR="00DA2BC5" w:rsidRPr="00834ACA" w:rsidRDefault="00E43C72" w:rsidP="00834ACA">
      <w:pPr>
        <w:pStyle w:val="ListParagraph"/>
        <w:widowControl/>
        <w:numPr>
          <w:ilvl w:val="0"/>
          <w:numId w:val="3"/>
        </w:numPr>
        <w:spacing w:after="240"/>
        <w:ind w:left="567" w:hanging="425"/>
        <w:jc w:val="both"/>
        <w:rPr>
          <w:rFonts w:ascii="Arial" w:eastAsia="Times New Roman" w:hAnsi="Arial" w:cs="Arial"/>
          <w:szCs w:val="24"/>
          <w:lang w:val="en-AU" w:eastAsia="en-AU"/>
        </w:rPr>
      </w:pPr>
      <w:r w:rsidRPr="00834ACA">
        <w:rPr>
          <w:rFonts w:ascii="Arial" w:eastAsia="Times New Roman" w:hAnsi="Arial" w:cs="Arial"/>
          <w:szCs w:val="24"/>
          <w:lang w:val="en-AU" w:eastAsia="en-AU"/>
        </w:rPr>
        <w:t xml:space="preserve">Section 166A of the Act provides that a decision of the Director-General, as specified in the Schedule to the Act, is a reviewable decision. </w:t>
      </w:r>
      <w:r w:rsidR="00334575" w:rsidRPr="00834ACA">
        <w:rPr>
          <w:rFonts w:ascii="Arial" w:eastAsia="Times New Roman" w:hAnsi="Arial" w:cs="Arial"/>
          <w:szCs w:val="24"/>
          <w:lang w:val="en-AU" w:eastAsia="en-AU"/>
        </w:rPr>
        <w:t xml:space="preserve"> </w:t>
      </w:r>
      <w:r w:rsidRPr="00834ACA">
        <w:rPr>
          <w:rFonts w:ascii="Arial" w:eastAsia="Times New Roman" w:hAnsi="Arial" w:cs="Arial"/>
          <w:szCs w:val="24"/>
          <w:lang w:val="en-AU" w:eastAsia="en-AU"/>
        </w:rPr>
        <w:t xml:space="preserve">An application under section 41 for an increase in the number of authorised gaming machines is specified in the Schedule and is a reviewable decision. </w:t>
      </w:r>
      <w:r w:rsidR="00E509A4">
        <w:rPr>
          <w:rFonts w:ascii="Arial" w:eastAsia="Times New Roman" w:hAnsi="Arial" w:cs="Arial"/>
          <w:szCs w:val="24"/>
          <w:lang w:val="en-AU" w:eastAsia="en-AU"/>
        </w:rPr>
        <w:t xml:space="preserve"> </w:t>
      </w:r>
      <w:r w:rsidRPr="00834ACA">
        <w:rPr>
          <w:rFonts w:ascii="Arial" w:eastAsia="Times New Roman" w:hAnsi="Arial" w:cs="Arial"/>
          <w:szCs w:val="24"/>
          <w:lang w:val="en-AU" w:eastAsia="en-AU"/>
        </w:rPr>
        <w:t xml:space="preserve">Section 166C of the Act provides that a person affected by this decision may seek a review before the Northern Territory Civil and Administrative Tribunal. </w:t>
      </w:r>
      <w:r w:rsidR="00334575" w:rsidRPr="00834ACA">
        <w:rPr>
          <w:rFonts w:ascii="Arial" w:eastAsia="Times New Roman" w:hAnsi="Arial" w:cs="Arial"/>
          <w:szCs w:val="24"/>
          <w:lang w:val="en-AU" w:eastAsia="en-AU"/>
        </w:rPr>
        <w:t xml:space="preserve"> </w:t>
      </w:r>
      <w:r w:rsidRPr="00834ACA">
        <w:rPr>
          <w:rFonts w:ascii="Arial" w:eastAsia="Times New Roman" w:hAnsi="Arial" w:cs="Arial"/>
          <w:szCs w:val="24"/>
          <w:lang w:val="en-AU" w:eastAsia="en-AU"/>
        </w:rPr>
        <w:t xml:space="preserve">Any application for review of this decision must be lodged within 28 days of the date of this decision. </w:t>
      </w:r>
      <w:r w:rsidR="00096C76">
        <w:rPr>
          <w:rFonts w:ascii="Arial" w:eastAsia="Times New Roman" w:hAnsi="Arial" w:cs="Arial"/>
          <w:szCs w:val="24"/>
          <w:lang w:val="en-AU" w:eastAsia="en-AU"/>
        </w:rPr>
        <w:t xml:space="preserve">Section 166B of the Act provides that defines “aggrieved person” as </w:t>
      </w:r>
      <w:r w:rsidR="003C6AF0">
        <w:rPr>
          <w:rFonts w:ascii="Arial" w:eastAsia="Times New Roman" w:hAnsi="Arial" w:cs="Arial"/>
          <w:szCs w:val="24"/>
          <w:lang w:val="en-AU" w:eastAsia="en-AU"/>
        </w:rPr>
        <w:t>including</w:t>
      </w:r>
      <w:r w:rsidR="00096C76">
        <w:rPr>
          <w:rFonts w:ascii="Arial" w:eastAsia="Times New Roman" w:hAnsi="Arial" w:cs="Arial"/>
          <w:szCs w:val="24"/>
          <w:lang w:val="en-AU" w:eastAsia="en-AU"/>
        </w:rPr>
        <w:t xml:space="preserve"> a person who made a submission, complaint or objection (however described) during the process that resulted in the decision being made.  </w:t>
      </w:r>
      <w:r w:rsidR="003C6AF0">
        <w:rPr>
          <w:rFonts w:ascii="Arial" w:eastAsia="Times New Roman" w:hAnsi="Arial" w:cs="Arial"/>
          <w:szCs w:val="24"/>
          <w:lang w:val="en-AU" w:eastAsia="en-AU"/>
        </w:rPr>
        <w:t>Whilst</w:t>
      </w:r>
      <w:r w:rsidR="00096C76">
        <w:rPr>
          <w:rFonts w:ascii="Arial" w:eastAsia="Times New Roman" w:hAnsi="Arial" w:cs="Arial"/>
          <w:szCs w:val="24"/>
          <w:lang w:val="en-AU" w:eastAsia="en-AU"/>
        </w:rPr>
        <w:t xml:space="preserve"> no submissions were lodged with the Director-General in respect of the within application, the community welfare agencies identified in this decision did make submissions to the authors of the CIA.  As a result the affected persons in respect of </w:t>
      </w:r>
      <w:r w:rsidR="003C6AF0">
        <w:rPr>
          <w:rFonts w:ascii="Arial" w:eastAsia="Times New Roman" w:hAnsi="Arial" w:cs="Arial"/>
          <w:szCs w:val="24"/>
          <w:lang w:val="en-AU" w:eastAsia="en-AU"/>
        </w:rPr>
        <w:t>this</w:t>
      </w:r>
      <w:r w:rsidR="00096C76">
        <w:rPr>
          <w:rFonts w:ascii="Arial" w:eastAsia="Times New Roman" w:hAnsi="Arial" w:cs="Arial"/>
          <w:szCs w:val="24"/>
          <w:lang w:val="en-AU" w:eastAsia="en-AU"/>
        </w:rPr>
        <w:t xml:space="preserve"> application are NT Shelter, St Vincent de Paul Society (NT) Inc. and Amity Community Services</w:t>
      </w:r>
      <w:r w:rsidR="00E509A4">
        <w:rPr>
          <w:rFonts w:ascii="Arial" w:eastAsia="Times New Roman" w:hAnsi="Arial" w:cs="Arial"/>
          <w:szCs w:val="24"/>
          <w:lang w:val="en-AU" w:eastAsia="en-AU"/>
        </w:rPr>
        <w:t> </w:t>
      </w:r>
      <w:r w:rsidR="003C6AF0">
        <w:rPr>
          <w:rFonts w:ascii="Arial" w:eastAsia="Times New Roman" w:hAnsi="Arial" w:cs="Arial"/>
          <w:szCs w:val="24"/>
          <w:lang w:val="en-AU" w:eastAsia="en-AU"/>
        </w:rPr>
        <w:t>Inc.</w:t>
      </w:r>
      <w:r w:rsidR="00096C76">
        <w:rPr>
          <w:rFonts w:ascii="Arial" w:eastAsia="Times New Roman" w:hAnsi="Arial" w:cs="Arial"/>
          <w:szCs w:val="24"/>
          <w:lang w:val="en-AU" w:eastAsia="en-AU"/>
        </w:rPr>
        <w:t xml:space="preserve"> and</w:t>
      </w:r>
      <w:r w:rsidR="00834ACA" w:rsidRPr="00834ACA">
        <w:rPr>
          <w:rFonts w:ascii="Arial" w:hAnsi="Arial" w:cs="Arial"/>
          <w:bCs/>
        </w:rPr>
        <w:t xml:space="preserve"> the Applicant.</w:t>
      </w:r>
    </w:p>
    <w:p w:rsidR="00DA2BC5" w:rsidRPr="00FE1D77" w:rsidRDefault="00E43C72" w:rsidP="00FE1D77">
      <w:pPr>
        <w:pStyle w:val="Signature"/>
        <w:spacing w:before="1320" w:after="0"/>
        <w:rPr>
          <w:rFonts w:cs="Arial"/>
          <w:sz w:val="24"/>
          <w:szCs w:val="24"/>
        </w:rPr>
      </w:pPr>
      <w:r w:rsidRPr="00FE1D77">
        <w:rPr>
          <w:rFonts w:cs="Arial"/>
          <w:sz w:val="24"/>
          <w:szCs w:val="24"/>
        </w:rPr>
        <w:t>Cindy Bravos</w:t>
      </w:r>
    </w:p>
    <w:p w:rsidR="00DA2BC5" w:rsidRPr="00FE1D77" w:rsidRDefault="00E43C72" w:rsidP="00E509A4">
      <w:pPr>
        <w:pStyle w:val="Signature"/>
        <w:spacing w:before="0"/>
        <w:rPr>
          <w:rFonts w:cs="Arial"/>
          <w:sz w:val="24"/>
          <w:szCs w:val="24"/>
        </w:rPr>
      </w:pPr>
      <w:r w:rsidRPr="00FE1D77">
        <w:rPr>
          <w:rFonts w:cs="Arial"/>
          <w:sz w:val="24"/>
          <w:szCs w:val="24"/>
        </w:rPr>
        <w:t>Director-General of Licensing</w:t>
      </w:r>
    </w:p>
    <w:p w:rsidR="00DA2BC5" w:rsidRPr="00E509A4" w:rsidRDefault="00E509A4" w:rsidP="004219ED">
      <w:pPr>
        <w:rPr>
          <w:rFonts w:ascii="Arial" w:hAnsi="Arial" w:cs="Arial"/>
          <w:szCs w:val="20"/>
        </w:rPr>
      </w:pPr>
      <w:r w:rsidRPr="00E509A4">
        <w:rPr>
          <w:rFonts w:ascii="Arial" w:hAnsi="Arial" w:cs="Arial"/>
          <w:w w:val="105"/>
          <w:sz w:val="24"/>
        </w:rPr>
        <w:t xml:space="preserve">13 </w:t>
      </w:r>
      <w:r w:rsidR="006B5BD2" w:rsidRPr="00E509A4">
        <w:rPr>
          <w:rFonts w:ascii="Arial" w:hAnsi="Arial" w:cs="Arial"/>
          <w:w w:val="105"/>
          <w:sz w:val="24"/>
        </w:rPr>
        <w:t>January 2016</w:t>
      </w:r>
    </w:p>
    <w:sectPr w:rsidR="00DA2BC5" w:rsidRPr="00E509A4" w:rsidSect="004B21BA">
      <w:footerReference w:type="default" r:id="rId13"/>
      <w:headerReference w:type="first" r:id="rId14"/>
      <w:footerReference w:type="first" r:id="rId15"/>
      <w:pgSz w:w="11910" w:h="16830"/>
      <w:pgMar w:top="992" w:right="851" w:bottom="1021" w:left="1134" w:header="748" w:footer="73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45C" w:rsidRDefault="00F9345C">
      <w:r>
        <w:separator/>
      </w:r>
    </w:p>
  </w:endnote>
  <w:endnote w:type="continuationSeparator" w:id="0">
    <w:p w:rsidR="00F9345C" w:rsidRDefault="00F9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BA" w:rsidRDefault="004B21BA" w:rsidP="004B21BA">
    <w:pPr>
      <w:pStyle w:val="Footer"/>
      <w:pBdr>
        <w:top w:val="single" w:sz="4" w:space="1" w:color="auto"/>
      </w:pBdr>
      <w:tabs>
        <w:tab w:val="clear" w:pos="4513"/>
        <w:tab w:val="clear" w:pos="9026"/>
      </w:tabs>
      <w:ind w:left="-567" w:right="-285"/>
    </w:pPr>
  </w:p>
  <w:p w:rsidR="00E509A4" w:rsidRPr="006867ED" w:rsidRDefault="00E509A4" w:rsidP="00E509A4">
    <w:pPr>
      <w:pStyle w:val="Footer"/>
      <w:tabs>
        <w:tab w:val="clear" w:pos="4513"/>
        <w:tab w:val="clear" w:pos="9026"/>
        <w:tab w:val="right" w:pos="9923"/>
      </w:tabs>
      <w:ind w:left="-567" w:right="-285"/>
      <w:rPr>
        <w:rFonts w:ascii="Arial" w:hAnsi="Arial" w:cs="Arial"/>
        <w:color w:val="A6A6A6" w:themeColor="background1" w:themeShade="A6"/>
        <w:sz w:val="16"/>
        <w:szCs w:val="20"/>
      </w:rPr>
    </w:pPr>
    <w:r w:rsidRPr="006867ED">
      <w:rPr>
        <w:rFonts w:ascii="Arial" w:hAnsi="Arial" w:cs="Arial"/>
        <w:color w:val="A6A6A6" w:themeColor="background1" w:themeShade="A6"/>
        <w:sz w:val="16"/>
        <w:szCs w:val="20"/>
      </w:rPr>
      <w:t xml:space="preserve">Decision for </w:t>
    </w:r>
    <w:sdt>
      <w:sdtPr>
        <w:rPr>
          <w:rFonts w:ascii="Arial" w:hAnsi="Arial" w:cs="Arial"/>
          <w:color w:val="A6A6A6" w:themeColor="background1" w:themeShade="A6"/>
          <w:sz w:val="16"/>
          <w:szCs w:val="20"/>
        </w:rPr>
        <w:id w:val="1597361967"/>
      </w:sdtPr>
      <w:sdtEndPr/>
      <w:sdtContent>
        <w:r w:rsidRPr="006867ED">
          <w:rPr>
            <w:rFonts w:ascii="Arial" w:hAnsi="Arial" w:cs="Arial"/>
            <w:color w:val="A6A6A6" w:themeColor="background1" w:themeShade="A6"/>
            <w:sz w:val="16"/>
            <w:szCs w:val="20"/>
          </w:rPr>
          <w:t>Application for increase in Gaming Machines – Palmerston Tavern</w:t>
        </w:r>
      </w:sdtContent>
    </w:sdt>
    <w:r w:rsidRPr="006867ED">
      <w:rPr>
        <w:rFonts w:ascii="Arial" w:hAnsi="Arial" w:cs="Arial"/>
        <w:color w:val="A6A6A6" w:themeColor="background1" w:themeShade="A6"/>
        <w:sz w:val="16"/>
        <w:szCs w:val="20"/>
      </w:rPr>
      <w:tab/>
      <w:t>Date of Decision 13 January 2016</w:t>
    </w:r>
  </w:p>
  <w:p w:rsidR="00E509A4" w:rsidRPr="006867ED" w:rsidRDefault="00E509A4" w:rsidP="00E509A4">
    <w:pPr>
      <w:pStyle w:val="Footer"/>
      <w:tabs>
        <w:tab w:val="clear" w:pos="4513"/>
        <w:tab w:val="clear" w:pos="9026"/>
        <w:tab w:val="right" w:pos="9923"/>
      </w:tabs>
      <w:ind w:left="-567" w:right="-285"/>
      <w:rPr>
        <w:rFonts w:ascii="Arial" w:hAnsi="Arial" w:cs="Arial"/>
        <w:noProof/>
        <w:szCs w:val="20"/>
      </w:rPr>
    </w:pPr>
    <w:r w:rsidRPr="006867ED">
      <w:rPr>
        <w:rFonts w:ascii="Arial" w:hAnsi="Arial" w:cs="Arial"/>
        <w:color w:val="A6A6A6" w:themeColor="background1" w:themeShade="A6"/>
        <w:sz w:val="16"/>
        <w:szCs w:val="20"/>
      </w:rPr>
      <w:t xml:space="preserve">Ref # </w:t>
    </w:r>
    <w:sdt>
      <w:sdtPr>
        <w:rPr>
          <w:rFonts w:ascii="Arial" w:hAnsi="Arial" w:cs="Arial"/>
          <w:color w:val="A6A6A6" w:themeColor="background1" w:themeShade="A6"/>
          <w:sz w:val="16"/>
          <w:szCs w:val="20"/>
        </w:rPr>
        <w:id w:val="-1814086527"/>
      </w:sdtPr>
      <w:sdtEndPr/>
      <w:sdtContent>
        <w:r w:rsidRPr="006867ED">
          <w:rPr>
            <w:rFonts w:ascii="Arial" w:hAnsi="Arial" w:cs="Arial"/>
            <w:color w:val="A6A6A6" w:themeColor="background1" w:themeShade="A6"/>
            <w:sz w:val="16"/>
            <w:szCs w:val="20"/>
          </w:rPr>
          <w:t>DOB2015/00486-0024</w:t>
        </w:r>
      </w:sdtContent>
    </w:sdt>
    <w:r w:rsidRPr="006867ED">
      <w:rPr>
        <w:rFonts w:ascii="Arial" w:hAnsi="Arial" w:cs="Arial"/>
      </w:rPr>
      <w:tab/>
    </w:r>
    <w:sdt>
      <w:sdtPr>
        <w:rPr>
          <w:rFonts w:ascii="Arial" w:hAnsi="Arial" w:cs="Arial"/>
        </w:rPr>
        <w:id w:val="1872572287"/>
        <w:docPartObj>
          <w:docPartGallery w:val="Page Numbers (Bottom of Page)"/>
          <w:docPartUnique/>
        </w:docPartObj>
      </w:sdtPr>
      <w:sdtEndPr>
        <w:rPr>
          <w:noProof/>
        </w:rPr>
      </w:sdtEndPr>
      <w:sdtContent>
        <w:r w:rsidRPr="006867ED">
          <w:rPr>
            <w:rFonts w:ascii="Arial" w:hAnsi="Arial" w:cs="Arial"/>
          </w:rPr>
          <w:fldChar w:fldCharType="begin"/>
        </w:r>
        <w:r w:rsidRPr="006867ED">
          <w:rPr>
            <w:rFonts w:ascii="Arial" w:hAnsi="Arial" w:cs="Arial"/>
          </w:rPr>
          <w:instrText xml:space="preserve"> PAGE   \* MERGEFORMAT </w:instrText>
        </w:r>
        <w:r w:rsidRPr="006867ED">
          <w:rPr>
            <w:rFonts w:ascii="Arial" w:hAnsi="Arial" w:cs="Arial"/>
          </w:rPr>
          <w:fldChar w:fldCharType="separate"/>
        </w:r>
        <w:r w:rsidR="00250197">
          <w:rPr>
            <w:rFonts w:ascii="Arial" w:hAnsi="Arial" w:cs="Arial"/>
            <w:noProof/>
          </w:rPr>
          <w:t>5</w:t>
        </w:r>
        <w:r w:rsidRPr="006867ED">
          <w:rPr>
            <w:rFonts w:ascii="Arial" w:hAnsi="Arial" w:cs="Arial"/>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48" w:rsidRDefault="00CA4648" w:rsidP="00CA4648">
    <w:pPr>
      <w:pStyle w:val="Footer"/>
      <w:pBdr>
        <w:top w:val="single" w:sz="4" w:space="1" w:color="auto"/>
      </w:pBdr>
      <w:tabs>
        <w:tab w:val="clear" w:pos="4513"/>
        <w:tab w:val="clear" w:pos="9026"/>
      </w:tabs>
      <w:ind w:left="-567" w:right="-285"/>
    </w:pPr>
  </w:p>
  <w:p w:rsidR="00CA4648" w:rsidRPr="006867ED" w:rsidRDefault="00CA4648" w:rsidP="00CA4648">
    <w:pPr>
      <w:pStyle w:val="Footer"/>
      <w:tabs>
        <w:tab w:val="clear" w:pos="4513"/>
        <w:tab w:val="clear" w:pos="9026"/>
        <w:tab w:val="right" w:pos="9923"/>
      </w:tabs>
      <w:ind w:left="-567" w:right="-285"/>
      <w:rPr>
        <w:rFonts w:ascii="Arial" w:hAnsi="Arial" w:cs="Arial"/>
        <w:color w:val="A6A6A6" w:themeColor="background1" w:themeShade="A6"/>
        <w:sz w:val="16"/>
        <w:szCs w:val="20"/>
      </w:rPr>
    </w:pPr>
    <w:r w:rsidRPr="006867ED">
      <w:rPr>
        <w:rFonts w:ascii="Arial" w:hAnsi="Arial" w:cs="Arial"/>
        <w:color w:val="A6A6A6" w:themeColor="background1" w:themeShade="A6"/>
        <w:sz w:val="16"/>
        <w:szCs w:val="20"/>
      </w:rPr>
      <w:t xml:space="preserve">Decision for </w:t>
    </w:r>
    <w:sdt>
      <w:sdtPr>
        <w:rPr>
          <w:rFonts w:ascii="Arial" w:hAnsi="Arial" w:cs="Arial"/>
          <w:color w:val="A6A6A6" w:themeColor="background1" w:themeShade="A6"/>
          <w:sz w:val="16"/>
          <w:szCs w:val="20"/>
        </w:rPr>
        <w:id w:val="-1722365141"/>
      </w:sdtPr>
      <w:sdtEndPr/>
      <w:sdtContent>
        <w:r w:rsidRPr="006867ED">
          <w:rPr>
            <w:rFonts w:ascii="Arial" w:hAnsi="Arial" w:cs="Arial"/>
            <w:color w:val="A6A6A6" w:themeColor="background1" w:themeShade="A6"/>
            <w:sz w:val="16"/>
            <w:szCs w:val="20"/>
          </w:rPr>
          <w:t xml:space="preserve">Application for increase in Gaming Machines – </w:t>
        </w:r>
        <w:r w:rsidR="006B5BD2" w:rsidRPr="006867ED">
          <w:rPr>
            <w:rFonts w:ascii="Arial" w:hAnsi="Arial" w:cs="Arial"/>
            <w:color w:val="A6A6A6" w:themeColor="background1" w:themeShade="A6"/>
            <w:sz w:val="16"/>
            <w:szCs w:val="20"/>
          </w:rPr>
          <w:t>Palmerston</w:t>
        </w:r>
        <w:r w:rsidRPr="006867ED">
          <w:rPr>
            <w:rFonts w:ascii="Arial" w:hAnsi="Arial" w:cs="Arial"/>
            <w:color w:val="A6A6A6" w:themeColor="background1" w:themeShade="A6"/>
            <w:sz w:val="16"/>
            <w:szCs w:val="20"/>
          </w:rPr>
          <w:t xml:space="preserve"> Tavern</w:t>
        </w:r>
      </w:sdtContent>
    </w:sdt>
    <w:r w:rsidRPr="006867ED">
      <w:rPr>
        <w:rFonts w:ascii="Arial" w:hAnsi="Arial" w:cs="Arial"/>
        <w:color w:val="A6A6A6" w:themeColor="background1" w:themeShade="A6"/>
        <w:sz w:val="16"/>
        <w:szCs w:val="20"/>
      </w:rPr>
      <w:tab/>
      <w:t xml:space="preserve">Date of Decision </w:t>
    </w:r>
    <w:r w:rsidR="006867ED" w:rsidRPr="006867ED">
      <w:rPr>
        <w:rFonts w:ascii="Arial" w:hAnsi="Arial" w:cs="Arial"/>
        <w:color w:val="A6A6A6" w:themeColor="background1" w:themeShade="A6"/>
        <w:sz w:val="16"/>
        <w:szCs w:val="20"/>
      </w:rPr>
      <w:t xml:space="preserve">13 </w:t>
    </w:r>
    <w:r w:rsidR="006B5BD2" w:rsidRPr="006867ED">
      <w:rPr>
        <w:rFonts w:ascii="Arial" w:hAnsi="Arial" w:cs="Arial"/>
        <w:color w:val="A6A6A6" w:themeColor="background1" w:themeShade="A6"/>
        <w:sz w:val="16"/>
        <w:szCs w:val="20"/>
      </w:rPr>
      <w:t>January 2016</w:t>
    </w:r>
  </w:p>
  <w:p w:rsidR="00CA4648" w:rsidRPr="006867ED" w:rsidRDefault="00CA4648" w:rsidP="00CA4648">
    <w:pPr>
      <w:pStyle w:val="Footer"/>
      <w:tabs>
        <w:tab w:val="clear" w:pos="4513"/>
        <w:tab w:val="clear" w:pos="9026"/>
        <w:tab w:val="right" w:pos="9923"/>
      </w:tabs>
      <w:ind w:left="-567" w:right="-285"/>
      <w:rPr>
        <w:rFonts w:ascii="Arial" w:hAnsi="Arial" w:cs="Arial"/>
        <w:noProof/>
        <w:szCs w:val="20"/>
      </w:rPr>
    </w:pPr>
    <w:r w:rsidRPr="006867ED">
      <w:rPr>
        <w:rFonts w:ascii="Arial" w:hAnsi="Arial" w:cs="Arial"/>
        <w:color w:val="A6A6A6" w:themeColor="background1" w:themeShade="A6"/>
        <w:sz w:val="16"/>
        <w:szCs w:val="20"/>
      </w:rPr>
      <w:t xml:space="preserve">Ref # </w:t>
    </w:r>
    <w:sdt>
      <w:sdtPr>
        <w:rPr>
          <w:rFonts w:ascii="Arial" w:hAnsi="Arial" w:cs="Arial"/>
          <w:color w:val="A6A6A6" w:themeColor="background1" w:themeShade="A6"/>
          <w:sz w:val="16"/>
          <w:szCs w:val="20"/>
        </w:rPr>
        <w:id w:val="1120795140"/>
      </w:sdtPr>
      <w:sdtEndPr/>
      <w:sdtContent>
        <w:r w:rsidRPr="006867ED">
          <w:rPr>
            <w:rFonts w:ascii="Arial" w:hAnsi="Arial" w:cs="Arial"/>
            <w:color w:val="A6A6A6" w:themeColor="background1" w:themeShade="A6"/>
            <w:sz w:val="16"/>
            <w:szCs w:val="20"/>
          </w:rPr>
          <w:t>DOB2015/00486-002</w:t>
        </w:r>
        <w:r w:rsidR="006867ED" w:rsidRPr="006867ED">
          <w:rPr>
            <w:rFonts w:ascii="Arial" w:hAnsi="Arial" w:cs="Arial"/>
            <w:color w:val="A6A6A6" w:themeColor="background1" w:themeShade="A6"/>
            <w:sz w:val="16"/>
            <w:szCs w:val="20"/>
          </w:rPr>
          <w:t>4</w:t>
        </w:r>
      </w:sdtContent>
    </w:sdt>
    <w:r w:rsidRPr="006867ED">
      <w:rPr>
        <w:rFonts w:ascii="Arial" w:hAnsi="Arial" w:cs="Arial"/>
      </w:rPr>
      <w:tab/>
    </w:r>
    <w:sdt>
      <w:sdtPr>
        <w:rPr>
          <w:rFonts w:ascii="Arial" w:hAnsi="Arial" w:cs="Arial"/>
        </w:rPr>
        <w:id w:val="849913914"/>
        <w:docPartObj>
          <w:docPartGallery w:val="Page Numbers (Bottom of Page)"/>
          <w:docPartUnique/>
        </w:docPartObj>
      </w:sdtPr>
      <w:sdtEndPr>
        <w:rPr>
          <w:noProof/>
        </w:rPr>
      </w:sdtEndPr>
      <w:sdtContent>
        <w:r w:rsidRPr="006867ED">
          <w:rPr>
            <w:rFonts w:ascii="Arial" w:hAnsi="Arial" w:cs="Arial"/>
          </w:rPr>
          <w:fldChar w:fldCharType="begin"/>
        </w:r>
        <w:r w:rsidRPr="006867ED">
          <w:rPr>
            <w:rFonts w:ascii="Arial" w:hAnsi="Arial" w:cs="Arial"/>
          </w:rPr>
          <w:instrText xml:space="preserve"> PAGE   \* MERGEFORMAT </w:instrText>
        </w:r>
        <w:r w:rsidRPr="006867ED">
          <w:rPr>
            <w:rFonts w:ascii="Arial" w:hAnsi="Arial" w:cs="Arial"/>
          </w:rPr>
          <w:fldChar w:fldCharType="separate"/>
        </w:r>
        <w:r w:rsidR="00250197">
          <w:rPr>
            <w:rFonts w:ascii="Arial" w:hAnsi="Arial" w:cs="Arial"/>
            <w:noProof/>
          </w:rPr>
          <w:t>1</w:t>
        </w:r>
        <w:r w:rsidRPr="006867ED">
          <w:rPr>
            <w:rFonts w:ascii="Arial" w:hAnsi="Arial" w:cs="Arial"/>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45C" w:rsidRDefault="00F9345C">
      <w:r>
        <w:separator/>
      </w:r>
    </w:p>
  </w:footnote>
  <w:footnote w:type="continuationSeparator" w:id="0">
    <w:p w:rsidR="00F9345C" w:rsidRDefault="00F9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CA4648" w:rsidTr="00011A34">
      <w:trPr>
        <w:trHeight w:val="1531"/>
      </w:trPr>
      <w:tc>
        <w:tcPr>
          <w:tcW w:w="1560" w:type="dxa"/>
        </w:tcPr>
        <w:p w:rsidR="00CA4648" w:rsidRPr="006548E8" w:rsidRDefault="00CA4648" w:rsidP="00011A34">
          <w:pPr>
            <w:pStyle w:val="NoSpacing"/>
            <w:ind w:left="-108"/>
          </w:pPr>
          <w:r>
            <w:rPr>
              <w:noProof/>
              <w:lang w:eastAsia="en-AU"/>
            </w:rPr>
            <w:drawing>
              <wp:inline distT="0" distB="0" distL="0" distR="0" wp14:anchorId="19963BE3" wp14:editId="3384287A">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CA4648" w:rsidRPr="004D075F" w:rsidRDefault="00CA4648" w:rsidP="00011A34">
          <w:pPr>
            <w:pStyle w:val="DecisionName"/>
          </w:pPr>
          <w:r>
            <w:t>Director-General of Licensing</w:t>
          </w:r>
        </w:p>
      </w:tc>
    </w:tr>
  </w:tbl>
  <w:p w:rsidR="00CA4648" w:rsidRDefault="00CA4648" w:rsidP="00CA46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934"/>
    <w:multiLevelType w:val="hybridMultilevel"/>
    <w:tmpl w:val="E7F67D5A"/>
    <w:lvl w:ilvl="0" w:tplc="754A2132">
      <w:start w:val="2"/>
      <w:numFmt w:val="lowerLetter"/>
      <w:lvlText w:val="(%1)"/>
      <w:lvlJc w:val="left"/>
      <w:pPr>
        <w:ind w:left="1739" w:hanging="430"/>
      </w:pPr>
      <w:rPr>
        <w:rFonts w:ascii="Arial" w:eastAsia="Arial" w:hAnsi="Arial" w:hint="default"/>
        <w:i/>
        <w:color w:val="0E0E0E"/>
        <w:w w:val="103"/>
        <w:sz w:val="22"/>
        <w:szCs w:val="22"/>
      </w:rPr>
    </w:lvl>
    <w:lvl w:ilvl="1" w:tplc="FB42BBEE">
      <w:start w:val="1"/>
      <w:numFmt w:val="bullet"/>
      <w:lvlText w:val="•"/>
      <w:lvlJc w:val="left"/>
      <w:pPr>
        <w:ind w:left="2661" w:hanging="430"/>
      </w:pPr>
      <w:rPr>
        <w:rFonts w:hint="default"/>
      </w:rPr>
    </w:lvl>
    <w:lvl w:ilvl="2" w:tplc="393E4910">
      <w:start w:val="1"/>
      <w:numFmt w:val="bullet"/>
      <w:lvlText w:val="•"/>
      <w:lvlJc w:val="left"/>
      <w:pPr>
        <w:ind w:left="3584" w:hanging="430"/>
      </w:pPr>
      <w:rPr>
        <w:rFonts w:hint="default"/>
      </w:rPr>
    </w:lvl>
    <w:lvl w:ilvl="3" w:tplc="51C6912E">
      <w:start w:val="1"/>
      <w:numFmt w:val="bullet"/>
      <w:lvlText w:val="•"/>
      <w:lvlJc w:val="left"/>
      <w:pPr>
        <w:ind w:left="4506" w:hanging="430"/>
      </w:pPr>
      <w:rPr>
        <w:rFonts w:hint="default"/>
      </w:rPr>
    </w:lvl>
    <w:lvl w:ilvl="4" w:tplc="3AE4915C">
      <w:start w:val="1"/>
      <w:numFmt w:val="bullet"/>
      <w:lvlText w:val="•"/>
      <w:lvlJc w:val="left"/>
      <w:pPr>
        <w:ind w:left="5429" w:hanging="430"/>
      </w:pPr>
      <w:rPr>
        <w:rFonts w:hint="default"/>
      </w:rPr>
    </w:lvl>
    <w:lvl w:ilvl="5" w:tplc="20EC500A">
      <w:start w:val="1"/>
      <w:numFmt w:val="bullet"/>
      <w:lvlText w:val="•"/>
      <w:lvlJc w:val="left"/>
      <w:pPr>
        <w:ind w:left="6351" w:hanging="430"/>
      </w:pPr>
      <w:rPr>
        <w:rFonts w:hint="default"/>
      </w:rPr>
    </w:lvl>
    <w:lvl w:ilvl="6" w:tplc="F59C100A">
      <w:start w:val="1"/>
      <w:numFmt w:val="bullet"/>
      <w:lvlText w:val="•"/>
      <w:lvlJc w:val="left"/>
      <w:pPr>
        <w:ind w:left="7274" w:hanging="430"/>
      </w:pPr>
      <w:rPr>
        <w:rFonts w:hint="default"/>
      </w:rPr>
    </w:lvl>
    <w:lvl w:ilvl="7" w:tplc="D310B802">
      <w:start w:val="1"/>
      <w:numFmt w:val="bullet"/>
      <w:lvlText w:val="•"/>
      <w:lvlJc w:val="left"/>
      <w:pPr>
        <w:ind w:left="8196" w:hanging="430"/>
      </w:pPr>
      <w:rPr>
        <w:rFonts w:hint="default"/>
      </w:rPr>
    </w:lvl>
    <w:lvl w:ilvl="8" w:tplc="9A460C8A">
      <w:start w:val="1"/>
      <w:numFmt w:val="bullet"/>
      <w:lvlText w:val="•"/>
      <w:lvlJc w:val="left"/>
      <w:pPr>
        <w:ind w:left="9119" w:hanging="430"/>
      </w:pPr>
      <w:rPr>
        <w:rFonts w:hint="default"/>
      </w:rPr>
    </w:lvl>
  </w:abstractNum>
  <w:abstractNum w:abstractNumId="1">
    <w:nsid w:val="09FB20B4"/>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4600272B"/>
    <w:multiLevelType w:val="hybridMultilevel"/>
    <w:tmpl w:val="AD1CC1BA"/>
    <w:lvl w:ilvl="0" w:tplc="7FB6D422">
      <w:start w:val="3"/>
      <w:numFmt w:val="lowerLetter"/>
      <w:lvlText w:val="(%1)"/>
      <w:lvlJc w:val="left"/>
      <w:pPr>
        <w:ind w:left="1911" w:hanging="564"/>
      </w:pPr>
      <w:rPr>
        <w:rFonts w:ascii="Arial" w:eastAsia="Arial" w:hAnsi="Arial" w:hint="default"/>
        <w:i/>
        <w:color w:val="0E0E0E"/>
        <w:w w:val="102"/>
        <w:sz w:val="22"/>
        <w:szCs w:val="22"/>
      </w:rPr>
    </w:lvl>
    <w:lvl w:ilvl="1" w:tplc="A9580D94">
      <w:start w:val="1"/>
      <w:numFmt w:val="bullet"/>
      <w:lvlText w:val="•"/>
      <w:lvlJc w:val="left"/>
      <w:pPr>
        <w:ind w:left="2816" w:hanging="564"/>
      </w:pPr>
      <w:rPr>
        <w:rFonts w:hint="default"/>
      </w:rPr>
    </w:lvl>
    <w:lvl w:ilvl="2" w:tplc="244CBAF2">
      <w:start w:val="1"/>
      <w:numFmt w:val="bullet"/>
      <w:lvlText w:val="•"/>
      <w:lvlJc w:val="left"/>
      <w:pPr>
        <w:ind w:left="3721" w:hanging="564"/>
      </w:pPr>
      <w:rPr>
        <w:rFonts w:hint="default"/>
      </w:rPr>
    </w:lvl>
    <w:lvl w:ilvl="3" w:tplc="63BEDA28">
      <w:start w:val="1"/>
      <w:numFmt w:val="bullet"/>
      <w:lvlText w:val="•"/>
      <w:lvlJc w:val="left"/>
      <w:pPr>
        <w:ind w:left="4626" w:hanging="564"/>
      </w:pPr>
      <w:rPr>
        <w:rFonts w:hint="default"/>
      </w:rPr>
    </w:lvl>
    <w:lvl w:ilvl="4" w:tplc="C5D4D656">
      <w:start w:val="1"/>
      <w:numFmt w:val="bullet"/>
      <w:lvlText w:val="•"/>
      <w:lvlJc w:val="left"/>
      <w:pPr>
        <w:ind w:left="5532" w:hanging="564"/>
      </w:pPr>
      <w:rPr>
        <w:rFonts w:hint="default"/>
      </w:rPr>
    </w:lvl>
    <w:lvl w:ilvl="5" w:tplc="45DC5F56">
      <w:start w:val="1"/>
      <w:numFmt w:val="bullet"/>
      <w:lvlText w:val="•"/>
      <w:lvlJc w:val="left"/>
      <w:pPr>
        <w:ind w:left="6437" w:hanging="564"/>
      </w:pPr>
      <w:rPr>
        <w:rFonts w:hint="default"/>
      </w:rPr>
    </w:lvl>
    <w:lvl w:ilvl="6" w:tplc="DC1A77B2">
      <w:start w:val="1"/>
      <w:numFmt w:val="bullet"/>
      <w:lvlText w:val="•"/>
      <w:lvlJc w:val="left"/>
      <w:pPr>
        <w:ind w:left="7342" w:hanging="564"/>
      </w:pPr>
      <w:rPr>
        <w:rFonts w:hint="default"/>
      </w:rPr>
    </w:lvl>
    <w:lvl w:ilvl="7" w:tplc="604A8956">
      <w:start w:val="1"/>
      <w:numFmt w:val="bullet"/>
      <w:lvlText w:val="•"/>
      <w:lvlJc w:val="left"/>
      <w:pPr>
        <w:ind w:left="8248" w:hanging="564"/>
      </w:pPr>
      <w:rPr>
        <w:rFonts w:hint="default"/>
      </w:rPr>
    </w:lvl>
    <w:lvl w:ilvl="8" w:tplc="261693DA">
      <w:start w:val="1"/>
      <w:numFmt w:val="bullet"/>
      <w:lvlText w:val="•"/>
      <w:lvlJc w:val="left"/>
      <w:pPr>
        <w:ind w:left="9153" w:hanging="564"/>
      </w:pPr>
      <w:rPr>
        <w:rFonts w:hint="default"/>
      </w:rPr>
    </w:lvl>
  </w:abstractNum>
  <w:abstractNum w:abstractNumId="3">
    <w:nsid w:val="54FF0E90"/>
    <w:multiLevelType w:val="hybridMultilevel"/>
    <w:tmpl w:val="5A00114A"/>
    <w:lvl w:ilvl="0" w:tplc="95964816">
      <w:start w:val="1"/>
      <w:numFmt w:val="decimal"/>
      <w:lvlText w:val="%1."/>
      <w:lvlJc w:val="left"/>
      <w:pPr>
        <w:ind w:left="1314" w:hanging="416"/>
        <w:jc w:val="right"/>
      </w:pPr>
      <w:rPr>
        <w:rFonts w:ascii="Arial" w:eastAsia="Arial" w:hAnsi="Arial" w:cs="Arial" w:hint="default"/>
        <w:color w:val="0F0F0F"/>
        <w:w w:val="99"/>
        <w:sz w:val="22"/>
        <w:szCs w:val="22"/>
      </w:rPr>
    </w:lvl>
    <w:lvl w:ilvl="1" w:tplc="2FB227C2">
      <w:start w:val="1"/>
      <w:numFmt w:val="lowerLetter"/>
      <w:lvlText w:val="(%2)"/>
      <w:lvlJc w:val="left"/>
      <w:pPr>
        <w:ind w:left="1920" w:hanging="569"/>
        <w:jc w:val="right"/>
      </w:pPr>
      <w:rPr>
        <w:rFonts w:ascii="Arial" w:eastAsia="Arial" w:hAnsi="Arial" w:hint="default"/>
        <w:i/>
        <w:color w:val="0F0F0F"/>
        <w:w w:val="103"/>
        <w:sz w:val="22"/>
        <w:szCs w:val="22"/>
      </w:rPr>
    </w:lvl>
    <w:lvl w:ilvl="2" w:tplc="99EEADA4">
      <w:start w:val="1"/>
      <w:numFmt w:val="bullet"/>
      <w:lvlText w:val="•"/>
      <w:lvlJc w:val="left"/>
      <w:pPr>
        <w:ind w:left="1915" w:hanging="569"/>
      </w:pPr>
      <w:rPr>
        <w:rFonts w:hint="default"/>
      </w:rPr>
    </w:lvl>
    <w:lvl w:ilvl="3" w:tplc="FDFC6816">
      <w:start w:val="1"/>
      <w:numFmt w:val="bullet"/>
      <w:lvlText w:val="•"/>
      <w:lvlJc w:val="left"/>
      <w:pPr>
        <w:ind w:left="1920" w:hanging="569"/>
      </w:pPr>
      <w:rPr>
        <w:rFonts w:hint="default"/>
      </w:rPr>
    </w:lvl>
    <w:lvl w:ilvl="4" w:tplc="B5C854AA">
      <w:start w:val="1"/>
      <w:numFmt w:val="bullet"/>
      <w:lvlText w:val="•"/>
      <w:lvlJc w:val="left"/>
      <w:pPr>
        <w:ind w:left="3212" w:hanging="569"/>
      </w:pPr>
      <w:rPr>
        <w:rFonts w:hint="default"/>
      </w:rPr>
    </w:lvl>
    <w:lvl w:ilvl="5" w:tplc="582E49AE">
      <w:start w:val="1"/>
      <w:numFmt w:val="bullet"/>
      <w:lvlText w:val="•"/>
      <w:lvlJc w:val="left"/>
      <w:pPr>
        <w:ind w:left="4504" w:hanging="569"/>
      </w:pPr>
      <w:rPr>
        <w:rFonts w:hint="default"/>
      </w:rPr>
    </w:lvl>
    <w:lvl w:ilvl="6" w:tplc="2C645170">
      <w:start w:val="1"/>
      <w:numFmt w:val="bullet"/>
      <w:lvlText w:val="•"/>
      <w:lvlJc w:val="left"/>
      <w:pPr>
        <w:ind w:left="5796" w:hanging="569"/>
      </w:pPr>
      <w:rPr>
        <w:rFonts w:hint="default"/>
      </w:rPr>
    </w:lvl>
    <w:lvl w:ilvl="7" w:tplc="C338B194">
      <w:start w:val="1"/>
      <w:numFmt w:val="bullet"/>
      <w:lvlText w:val="•"/>
      <w:lvlJc w:val="left"/>
      <w:pPr>
        <w:ind w:left="7088" w:hanging="569"/>
      </w:pPr>
      <w:rPr>
        <w:rFonts w:hint="default"/>
      </w:rPr>
    </w:lvl>
    <w:lvl w:ilvl="8" w:tplc="01EC01A2">
      <w:start w:val="1"/>
      <w:numFmt w:val="bullet"/>
      <w:lvlText w:val="•"/>
      <w:lvlJc w:val="left"/>
      <w:pPr>
        <w:ind w:left="8380" w:hanging="569"/>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C5"/>
    <w:rsid w:val="000350C7"/>
    <w:rsid w:val="00050D38"/>
    <w:rsid w:val="00074022"/>
    <w:rsid w:val="00074203"/>
    <w:rsid w:val="00096C76"/>
    <w:rsid w:val="000A18A5"/>
    <w:rsid w:val="00156793"/>
    <w:rsid w:val="0016651F"/>
    <w:rsid w:val="00173767"/>
    <w:rsid w:val="001A428B"/>
    <w:rsid w:val="001A7CB4"/>
    <w:rsid w:val="001E2789"/>
    <w:rsid w:val="001F347B"/>
    <w:rsid w:val="00203F88"/>
    <w:rsid w:val="00250197"/>
    <w:rsid w:val="00255320"/>
    <w:rsid w:val="00257365"/>
    <w:rsid w:val="00283F85"/>
    <w:rsid w:val="00294110"/>
    <w:rsid w:val="002C1182"/>
    <w:rsid w:val="003156CB"/>
    <w:rsid w:val="003214D9"/>
    <w:rsid w:val="00334575"/>
    <w:rsid w:val="00335B7F"/>
    <w:rsid w:val="0034521C"/>
    <w:rsid w:val="00371B1E"/>
    <w:rsid w:val="0039520F"/>
    <w:rsid w:val="00397AD0"/>
    <w:rsid w:val="003A78BF"/>
    <w:rsid w:val="003B6F78"/>
    <w:rsid w:val="003C6AF0"/>
    <w:rsid w:val="004219ED"/>
    <w:rsid w:val="0046226A"/>
    <w:rsid w:val="00467491"/>
    <w:rsid w:val="004A759C"/>
    <w:rsid w:val="004B21BA"/>
    <w:rsid w:val="00513CD1"/>
    <w:rsid w:val="005276E0"/>
    <w:rsid w:val="00583F9B"/>
    <w:rsid w:val="005B25CD"/>
    <w:rsid w:val="006867ED"/>
    <w:rsid w:val="006B5BD2"/>
    <w:rsid w:val="006C18E9"/>
    <w:rsid w:val="006D0F45"/>
    <w:rsid w:val="00737418"/>
    <w:rsid w:val="007B21B6"/>
    <w:rsid w:val="008173F2"/>
    <w:rsid w:val="00834ACA"/>
    <w:rsid w:val="008847DB"/>
    <w:rsid w:val="00884A84"/>
    <w:rsid w:val="008C2DDB"/>
    <w:rsid w:val="00911155"/>
    <w:rsid w:val="00953343"/>
    <w:rsid w:val="0097230A"/>
    <w:rsid w:val="009A0B1B"/>
    <w:rsid w:val="009A700A"/>
    <w:rsid w:val="009E33D7"/>
    <w:rsid w:val="00A433C0"/>
    <w:rsid w:val="00A86094"/>
    <w:rsid w:val="00AB48AB"/>
    <w:rsid w:val="00AF33F1"/>
    <w:rsid w:val="00B52421"/>
    <w:rsid w:val="00B96AFE"/>
    <w:rsid w:val="00BD77A0"/>
    <w:rsid w:val="00BE7E52"/>
    <w:rsid w:val="00C952EE"/>
    <w:rsid w:val="00CA4648"/>
    <w:rsid w:val="00CA7915"/>
    <w:rsid w:val="00CC0626"/>
    <w:rsid w:val="00D37221"/>
    <w:rsid w:val="00DA1326"/>
    <w:rsid w:val="00DA2BC5"/>
    <w:rsid w:val="00DC100A"/>
    <w:rsid w:val="00DD0737"/>
    <w:rsid w:val="00DD6EDF"/>
    <w:rsid w:val="00DE7867"/>
    <w:rsid w:val="00E209FB"/>
    <w:rsid w:val="00E43C72"/>
    <w:rsid w:val="00E509A4"/>
    <w:rsid w:val="00E50D63"/>
    <w:rsid w:val="00F9345C"/>
    <w:rsid w:val="00FE0B6C"/>
    <w:rsid w:val="00FE1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756"/>
      <w:outlineLvl w:val="0"/>
    </w:pPr>
    <w:rPr>
      <w:rFonts w:ascii="Arial" w:eastAsia="Arial" w:hAnsi="Arial"/>
      <w:b/>
      <w:bCs/>
      <w:sz w:val="27"/>
      <w:szCs w:val="27"/>
    </w:rPr>
  </w:style>
  <w:style w:type="paragraph" w:styleId="Heading2">
    <w:name w:val="heading 2"/>
    <w:basedOn w:val="Normal"/>
    <w:link w:val="Heading2Char"/>
    <w:uiPriority w:val="99"/>
    <w:qFormat/>
    <w:pPr>
      <w:ind w:left="736"/>
      <w:outlineLvl w:val="1"/>
    </w:pPr>
    <w:rPr>
      <w:rFonts w:ascii="Arial" w:eastAsia="Arial" w:hAnsi="Arial"/>
      <w:sz w:val="27"/>
      <w:szCs w:val="27"/>
    </w:rPr>
  </w:style>
  <w:style w:type="paragraph" w:styleId="Heading3">
    <w:name w:val="heading 3"/>
    <w:basedOn w:val="Normal"/>
    <w:link w:val="Heading3Char"/>
    <w:qFormat/>
    <w:pPr>
      <w:ind w:left="725"/>
      <w:outlineLvl w:val="2"/>
    </w:pPr>
    <w:rPr>
      <w:rFonts w:ascii="Arial" w:eastAsia="Arial" w:hAnsi="Arial"/>
      <w:b/>
      <w:bCs/>
      <w:sz w:val="23"/>
      <w:szCs w:val="23"/>
    </w:rPr>
  </w:style>
  <w:style w:type="paragraph" w:styleId="Heading4">
    <w:name w:val="heading 4"/>
    <w:basedOn w:val="Normal"/>
    <w:uiPriority w:val="1"/>
    <w:qFormat/>
    <w:pPr>
      <w:spacing w:before="5"/>
      <w:outlineLvl w:val="3"/>
    </w:pPr>
    <w:rPr>
      <w:rFonts w:ascii="Arial" w:eastAsia="Arial" w:hAnsi="Arial"/>
      <w:sz w:val="23"/>
      <w:szCs w:val="23"/>
    </w:rPr>
  </w:style>
  <w:style w:type="paragraph" w:styleId="Heading5">
    <w:name w:val="heading 5"/>
    <w:basedOn w:val="Normal"/>
    <w:uiPriority w:val="1"/>
    <w:qFormat/>
    <w:pPr>
      <w:ind w:left="771"/>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343"/>
    <w:pPr>
      <w:tabs>
        <w:tab w:val="center" w:pos="4513"/>
        <w:tab w:val="right" w:pos="9026"/>
      </w:tabs>
    </w:pPr>
  </w:style>
  <w:style w:type="character" w:customStyle="1" w:styleId="HeaderChar">
    <w:name w:val="Header Char"/>
    <w:basedOn w:val="DefaultParagraphFont"/>
    <w:link w:val="Header"/>
    <w:uiPriority w:val="99"/>
    <w:rsid w:val="00953343"/>
  </w:style>
  <w:style w:type="paragraph" w:styleId="Footer">
    <w:name w:val="footer"/>
    <w:basedOn w:val="Normal"/>
    <w:link w:val="FooterChar"/>
    <w:uiPriority w:val="99"/>
    <w:unhideWhenUsed/>
    <w:rsid w:val="00953343"/>
    <w:pPr>
      <w:tabs>
        <w:tab w:val="center" w:pos="4513"/>
        <w:tab w:val="right" w:pos="9026"/>
      </w:tabs>
    </w:pPr>
  </w:style>
  <w:style w:type="character" w:customStyle="1" w:styleId="FooterChar">
    <w:name w:val="Footer Char"/>
    <w:basedOn w:val="DefaultParagraphFont"/>
    <w:link w:val="Footer"/>
    <w:uiPriority w:val="99"/>
    <w:rsid w:val="00953343"/>
  </w:style>
  <w:style w:type="paragraph" w:styleId="BalloonText">
    <w:name w:val="Balloon Text"/>
    <w:basedOn w:val="Normal"/>
    <w:link w:val="BalloonTextChar"/>
    <w:uiPriority w:val="99"/>
    <w:semiHidden/>
    <w:unhideWhenUsed/>
    <w:rsid w:val="00953343"/>
    <w:rPr>
      <w:rFonts w:ascii="Tahoma" w:hAnsi="Tahoma" w:cs="Tahoma"/>
      <w:sz w:val="16"/>
      <w:szCs w:val="16"/>
    </w:rPr>
  </w:style>
  <w:style w:type="character" w:customStyle="1" w:styleId="BalloonTextChar">
    <w:name w:val="Balloon Text Char"/>
    <w:basedOn w:val="DefaultParagraphFont"/>
    <w:link w:val="BalloonText"/>
    <w:uiPriority w:val="99"/>
    <w:semiHidden/>
    <w:rsid w:val="00953343"/>
    <w:rPr>
      <w:rFonts w:ascii="Tahoma" w:hAnsi="Tahoma" w:cs="Tahoma"/>
      <w:sz w:val="16"/>
      <w:szCs w:val="16"/>
    </w:rPr>
  </w:style>
  <w:style w:type="paragraph" w:styleId="NoSpacing">
    <w:name w:val="No Spacing"/>
    <w:uiPriority w:val="1"/>
    <w:qFormat/>
    <w:rsid w:val="00953343"/>
    <w:pPr>
      <w:widowControl/>
    </w:pPr>
    <w:rPr>
      <w:rFonts w:ascii="Arial" w:eastAsia="Calibri" w:hAnsi="Arial" w:cs="Times New Roman"/>
      <w:szCs w:val="20"/>
      <w:lang w:val="en-AU"/>
    </w:rPr>
  </w:style>
  <w:style w:type="character" w:customStyle="1" w:styleId="DecisionNameChar">
    <w:name w:val="Decision Name Char"/>
    <w:link w:val="DecisionName"/>
    <w:rsid w:val="00953343"/>
    <w:rPr>
      <w:rFonts w:ascii="Arial" w:eastAsia="Times New Roman" w:hAnsi="Arial"/>
      <w:b/>
      <w:sz w:val="32"/>
      <w:lang w:eastAsia="en-AU"/>
    </w:rPr>
  </w:style>
  <w:style w:type="paragraph" w:customStyle="1" w:styleId="DecisionName">
    <w:name w:val="Decision Name"/>
    <w:basedOn w:val="Normal"/>
    <w:next w:val="Normal"/>
    <w:link w:val="DecisionNameChar"/>
    <w:rsid w:val="00953343"/>
    <w:pPr>
      <w:widowControl/>
      <w:tabs>
        <w:tab w:val="right" w:pos="9044"/>
      </w:tabs>
      <w:spacing w:after="120"/>
      <w:ind w:left="175"/>
    </w:pPr>
    <w:rPr>
      <w:rFonts w:ascii="Arial" w:eastAsia="Times New Roman" w:hAnsi="Arial"/>
      <w:b/>
      <w:sz w:val="32"/>
      <w:lang w:eastAsia="en-AU"/>
    </w:rPr>
  </w:style>
  <w:style w:type="character" w:customStyle="1" w:styleId="Heading1Char">
    <w:name w:val="Heading 1 Char"/>
    <w:basedOn w:val="DefaultParagraphFont"/>
    <w:link w:val="Heading1"/>
    <w:rsid w:val="00953343"/>
    <w:rPr>
      <w:rFonts w:ascii="Arial" w:eastAsia="Arial" w:hAnsi="Arial"/>
      <w:b/>
      <w:bCs/>
      <w:sz w:val="27"/>
      <w:szCs w:val="27"/>
    </w:rPr>
  </w:style>
  <w:style w:type="paragraph" w:customStyle="1" w:styleId="Tabformatting">
    <w:name w:val="Tab formatting"/>
    <w:basedOn w:val="Normal"/>
    <w:rsid w:val="00953343"/>
    <w:pPr>
      <w:widowControl/>
      <w:spacing w:after="200"/>
      <w:ind w:left="2835" w:hanging="2835"/>
    </w:pPr>
    <w:rPr>
      <w:rFonts w:ascii="Arial" w:eastAsia="Times New Roman" w:hAnsi="Arial" w:cs="Times New Roman"/>
      <w:szCs w:val="20"/>
      <w:lang w:val="en-AU" w:eastAsia="en-AU"/>
    </w:rPr>
  </w:style>
  <w:style w:type="character" w:customStyle="1" w:styleId="Heading2Char">
    <w:name w:val="Heading 2 Char"/>
    <w:basedOn w:val="DefaultParagraphFont"/>
    <w:link w:val="Heading2"/>
    <w:uiPriority w:val="99"/>
    <w:rsid w:val="00E209FB"/>
    <w:rPr>
      <w:rFonts w:ascii="Arial" w:eastAsia="Arial" w:hAnsi="Arial"/>
      <w:sz w:val="27"/>
      <w:szCs w:val="27"/>
    </w:rPr>
  </w:style>
  <w:style w:type="paragraph" w:customStyle="1" w:styleId="Paragraph">
    <w:name w:val="Paragraph"/>
    <w:basedOn w:val="Normal"/>
    <w:link w:val="ParagraphChar"/>
    <w:rsid w:val="00203F88"/>
    <w:pPr>
      <w:spacing w:after="240"/>
      <w:ind w:left="1667" w:hanging="567"/>
      <w:jc w:val="both"/>
    </w:pPr>
    <w:rPr>
      <w:rFonts w:ascii="Helvetica" w:eastAsia="Times New Roman" w:hAnsi="Helvetica" w:cs="Times New Roman"/>
      <w:sz w:val="24"/>
      <w:szCs w:val="24"/>
      <w:lang w:val="en-AU" w:eastAsia="en-AU"/>
    </w:rPr>
  </w:style>
  <w:style w:type="character" w:customStyle="1" w:styleId="ParagraphChar">
    <w:name w:val="Paragraph Char"/>
    <w:link w:val="Paragraph"/>
    <w:rsid w:val="00203F88"/>
    <w:rPr>
      <w:rFonts w:ascii="Helvetica" w:eastAsia="Times New Roman" w:hAnsi="Helvetica" w:cs="Times New Roman"/>
      <w:sz w:val="24"/>
      <w:szCs w:val="24"/>
      <w:lang w:val="en-AU" w:eastAsia="en-AU"/>
    </w:rPr>
  </w:style>
  <w:style w:type="character" w:styleId="Emphasis">
    <w:name w:val="Emphasis"/>
    <w:basedOn w:val="DefaultParagraphFont"/>
    <w:uiPriority w:val="20"/>
    <w:qFormat/>
    <w:rsid w:val="00203F88"/>
    <w:rPr>
      <w:i/>
      <w:iCs/>
    </w:rPr>
  </w:style>
  <w:style w:type="character" w:customStyle="1" w:styleId="Heading3Char">
    <w:name w:val="Heading 3 Char"/>
    <w:basedOn w:val="DefaultParagraphFont"/>
    <w:link w:val="Heading3"/>
    <w:rsid w:val="00074203"/>
    <w:rPr>
      <w:rFonts w:ascii="Arial" w:eastAsia="Arial" w:hAnsi="Arial"/>
      <w:b/>
      <w:bCs/>
      <w:sz w:val="23"/>
      <w:szCs w:val="23"/>
    </w:rPr>
  </w:style>
  <w:style w:type="paragraph" w:styleId="Signature">
    <w:name w:val="Signature"/>
    <w:basedOn w:val="Normal"/>
    <w:link w:val="SignatureChar"/>
    <w:uiPriority w:val="99"/>
    <w:unhideWhenUsed/>
    <w:rsid w:val="00FE1D77"/>
    <w:pPr>
      <w:widowControl/>
      <w:spacing w:before="1200" w:after="200"/>
    </w:pPr>
    <w:rPr>
      <w:rFonts w:ascii="Arial" w:eastAsia="Times New Roman" w:hAnsi="Arial" w:cs="Times New Roman"/>
      <w:b/>
      <w:szCs w:val="20"/>
      <w:lang w:val="en-AU" w:eastAsia="en-AU"/>
    </w:rPr>
  </w:style>
  <w:style w:type="character" w:customStyle="1" w:styleId="SignatureChar">
    <w:name w:val="Signature Char"/>
    <w:basedOn w:val="DefaultParagraphFont"/>
    <w:link w:val="Signature"/>
    <w:uiPriority w:val="99"/>
    <w:rsid w:val="00FE1D77"/>
    <w:rPr>
      <w:rFonts w:ascii="Arial" w:eastAsia="Times New Roman" w:hAnsi="Arial" w:cs="Times New Roman"/>
      <w:b/>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qFormat/>
    <w:pPr>
      <w:ind w:left="756"/>
      <w:outlineLvl w:val="0"/>
    </w:pPr>
    <w:rPr>
      <w:rFonts w:ascii="Arial" w:eastAsia="Arial" w:hAnsi="Arial"/>
      <w:b/>
      <w:bCs/>
      <w:sz w:val="27"/>
      <w:szCs w:val="27"/>
    </w:rPr>
  </w:style>
  <w:style w:type="paragraph" w:styleId="Heading2">
    <w:name w:val="heading 2"/>
    <w:basedOn w:val="Normal"/>
    <w:link w:val="Heading2Char"/>
    <w:uiPriority w:val="99"/>
    <w:qFormat/>
    <w:pPr>
      <w:ind w:left="736"/>
      <w:outlineLvl w:val="1"/>
    </w:pPr>
    <w:rPr>
      <w:rFonts w:ascii="Arial" w:eastAsia="Arial" w:hAnsi="Arial"/>
      <w:sz w:val="27"/>
      <w:szCs w:val="27"/>
    </w:rPr>
  </w:style>
  <w:style w:type="paragraph" w:styleId="Heading3">
    <w:name w:val="heading 3"/>
    <w:basedOn w:val="Normal"/>
    <w:link w:val="Heading3Char"/>
    <w:qFormat/>
    <w:pPr>
      <w:ind w:left="725"/>
      <w:outlineLvl w:val="2"/>
    </w:pPr>
    <w:rPr>
      <w:rFonts w:ascii="Arial" w:eastAsia="Arial" w:hAnsi="Arial"/>
      <w:b/>
      <w:bCs/>
      <w:sz w:val="23"/>
      <w:szCs w:val="23"/>
    </w:rPr>
  </w:style>
  <w:style w:type="paragraph" w:styleId="Heading4">
    <w:name w:val="heading 4"/>
    <w:basedOn w:val="Normal"/>
    <w:uiPriority w:val="1"/>
    <w:qFormat/>
    <w:pPr>
      <w:spacing w:before="5"/>
      <w:outlineLvl w:val="3"/>
    </w:pPr>
    <w:rPr>
      <w:rFonts w:ascii="Arial" w:eastAsia="Arial" w:hAnsi="Arial"/>
      <w:sz w:val="23"/>
      <w:szCs w:val="23"/>
    </w:rPr>
  </w:style>
  <w:style w:type="paragraph" w:styleId="Heading5">
    <w:name w:val="heading 5"/>
    <w:basedOn w:val="Normal"/>
    <w:uiPriority w:val="1"/>
    <w:qFormat/>
    <w:pPr>
      <w:ind w:left="771"/>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343"/>
    <w:pPr>
      <w:tabs>
        <w:tab w:val="center" w:pos="4513"/>
        <w:tab w:val="right" w:pos="9026"/>
      </w:tabs>
    </w:pPr>
  </w:style>
  <w:style w:type="character" w:customStyle="1" w:styleId="HeaderChar">
    <w:name w:val="Header Char"/>
    <w:basedOn w:val="DefaultParagraphFont"/>
    <w:link w:val="Header"/>
    <w:uiPriority w:val="99"/>
    <w:rsid w:val="00953343"/>
  </w:style>
  <w:style w:type="paragraph" w:styleId="Footer">
    <w:name w:val="footer"/>
    <w:basedOn w:val="Normal"/>
    <w:link w:val="FooterChar"/>
    <w:uiPriority w:val="99"/>
    <w:unhideWhenUsed/>
    <w:rsid w:val="00953343"/>
    <w:pPr>
      <w:tabs>
        <w:tab w:val="center" w:pos="4513"/>
        <w:tab w:val="right" w:pos="9026"/>
      </w:tabs>
    </w:pPr>
  </w:style>
  <w:style w:type="character" w:customStyle="1" w:styleId="FooterChar">
    <w:name w:val="Footer Char"/>
    <w:basedOn w:val="DefaultParagraphFont"/>
    <w:link w:val="Footer"/>
    <w:uiPriority w:val="99"/>
    <w:rsid w:val="00953343"/>
  </w:style>
  <w:style w:type="paragraph" w:styleId="BalloonText">
    <w:name w:val="Balloon Text"/>
    <w:basedOn w:val="Normal"/>
    <w:link w:val="BalloonTextChar"/>
    <w:uiPriority w:val="99"/>
    <w:semiHidden/>
    <w:unhideWhenUsed/>
    <w:rsid w:val="00953343"/>
    <w:rPr>
      <w:rFonts w:ascii="Tahoma" w:hAnsi="Tahoma" w:cs="Tahoma"/>
      <w:sz w:val="16"/>
      <w:szCs w:val="16"/>
    </w:rPr>
  </w:style>
  <w:style w:type="character" w:customStyle="1" w:styleId="BalloonTextChar">
    <w:name w:val="Balloon Text Char"/>
    <w:basedOn w:val="DefaultParagraphFont"/>
    <w:link w:val="BalloonText"/>
    <w:uiPriority w:val="99"/>
    <w:semiHidden/>
    <w:rsid w:val="00953343"/>
    <w:rPr>
      <w:rFonts w:ascii="Tahoma" w:hAnsi="Tahoma" w:cs="Tahoma"/>
      <w:sz w:val="16"/>
      <w:szCs w:val="16"/>
    </w:rPr>
  </w:style>
  <w:style w:type="paragraph" w:styleId="NoSpacing">
    <w:name w:val="No Spacing"/>
    <w:uiPriority w:val="1"/>
    <w:qFormat/>
    <w:rsid w:val="00953343"/>
    <w:pPr>
      <w:widowControl/>
    </w:pPr>
    <w:rPr>
      <w:rFonts w:ascii="Arial" w:eastAsia="Calibri" w:hAnsi="Arial" w:cs="Times New Roman"/>
      <w:szCs w:val="20"/>
      <w:lang w:val="en-AU"/>
    </w:rPr>
  </w:style>
  <w:style w:type="character" w:customStyle="1" w:styleId="DecisionNameChar">
    <w:name w:val="Decision Name Char"/>
    <w:link w:val="DecisionName"/>
    <w:rsid w:val="00953343"/>
    <w:rPr>
      <w:rFonts w:ascii="Arial" w:eastAsia="Times New Roman" w:hAnsi="Arial"/>
      <w:b/>
      <w:sz w:val="32"/>
      <w:lang w:eastAsia="en-AU"/>
    </w:rPr>
  </w:style>
  <w:style w:type="paragraph" w:customStyle="1" w:styleId="DecisionName">
    <w:name w:val="Decision Name"/>
    <w:basedOn w:val="Normal"/>
    <w:next w:val="Normal"/>
    <w:link w:val="DecisionNameChar"/>
    <w:rsid w:val="00953343"/>
    <w:pPr>
      <w:widowControl/>
      <w:tabs>
        <w:tab w:val="right" w:pos="9044"/>
      </w:tabs>
      <w:spacing w:after="120"/>
      <w:ind w:left="175"/>
    </w:pPr>
    <w:rPr>
      <w:rFonts w:ascii="Arial" w:eastAsia="Times New Roman" w:hAnsi="Arial"/>
      <w:b/>
      <w:sz w:val="32"/>
      <w:lang w:eastAsia="en-AU"/>
    </w:rPr>
  </w:style>
  <w:style w:type="character" w:customStyle="1" w:styleId="Heading1Char">
    <w:name w:val="Heading 1 Char"/>
    <w:basedOn w:val="DefaultParagraphFont"/>
    <w:link w:val="Heading1"/>
    <w:rsid w:val="00953343"/>
    <w:rPr>
      <w:rFonts w:ascii="Arial" w:eastAsia="Arial" w:hAnsi="Arial"/>
      <w:b/>
      <w:bCs/>
      <w:sz w:val="27"/>
      <w:szCs w:val="27"/>
    </w:rPr>
  </w:style>
  <w:style w:type="paragraph" w:customStyle="1" w:styleId="Tabformatting">
    <w:name w:val="Tab formatting"/>
    <w:basedOn w:val="Normal"/>
    <w:rsid w:val="00953343"/>
    <w:pPr>
      <w:widowControl/>
      <w:spacing w:after="200"/>
      <w:ind w:left="2835" w:hanging="2835"/>
    </w:pPr>
    <w:rPr>
      <w:rFonts w:ascii="Arial" w:eastAsia="Times New Roman" w:hAnsi="Arial" w:cs="Times New Roman"/>
      <w:szCs w:val="20"/>
      <w:lang w:val="en-AU" w:eastAsia="en-AU"/>
    </w:rPr>
  </w:style>
  <w:style w:type="character" w:customStyle="1" w:styleId="Heading2Char">
    <w:name w:val="Heading 2 Char"/>
    <w:basedOn w:val="DefaultParagraphFont"/>
    <w:link w:val="Heading2"/>
    <w:uiPriority w:val="99"/>
    <w:rsid w:val="00E209FB"/>
    <w:rPr>
      <w:rFonts w:ascii="Arial" w:eastAsia="Arial" w:hAnsi="Arial"/>
      <w:sz w:val="27"/>
      <w:szCs w:val="27"/>
    </w:rPr>
  </w:style>
  <w:style w:type="paragraph" w:customStyle="1" w:styleId="Paragraph">
    <w:name w:val="Paragraph"/>
    <w:basedOn w:val="Normal"/>
    <w:link w:val="ParagraphChar"/>
    <w:rsid w:val="00203F88"/>
    <w:pPr>
      <w:spacing w:after="240"/>
      <w:ind w:left="1667" w:hanging="567"/>
      <w:jc w:val="both"/>
    </w:pPr>
    <w:rPr>
      <w:rFonts w:ascii="Helvetica" w:eastAsia="Times New Roman" w:hAnsi="Helvetica" w:cs="Times New Roman"/>
      <w:sz w:val="24"/>
      <w:szCs w:val="24"/>
      <w:lang w:val="en-AU" w:eastAsia="en-AU"/>
    </w:rPr>
  </w:style>
  <w:style w:type="character" w:customStyle="1" w:styleId="ParagraphChar">
    <w:name w:val="Paragraph Char"/>
    <w:link w:val="Paragraph"/>
    <w:rsid w:val="00203F88"/>
    <w:rPr>
      <w:rFonts w:ascii="Helvetica" w:eastAsia="Times New Roman" w:hAnsi="Helvetica" w:cs="Times New Roman"/>
      <w:sz w:val="24"/>
      <w:szCs w:val="24"/>
      <w:lang w:val="en-AU" w:eastAsia="en-AU"/>
    </w:rPr>
  </w:style>
  <w:style w:type="character" w:styleId="Emphasis">
    <w:name w:val="Emphasis"/>
    <w:basedOn w:val="DefaultParagraphFont"/>
    <w:uiPriority w:val="20"/>
    <w:qFormat/>
    <w:rsid w:val="00203F88"/>
    <w:rPr>
      <w:i/>
      <w:iCs/>
    </w:rPr>
  </w:style>
  <w:style w:type="character" w:customStyle="1" w:styleId="Heading3Char">
    <w:name w:val="Heading 3 Char"/>
    <w:basedOn w:val="DefaultParagraphFont"/>
    <w:link w:val="Heading3"/>
    <w:rsid w:val="00074203"/>
    <w:rPr>
      <w:rFonts w:ascii="Arial" w:eastAsia="Arial" w:hAnsi="Arial"/>
      <w:b/>
      <w:bCs/>
      <w:sz w:val="23"/>
      <w:szCs w:val="23"/>
    </w:rPr>
  </w:style>
  <w:style w:type="paragraph" w:styleId="Signature">
    <w:name w:val="Signature"/>
    <w:basedOn w:val="Normal"/>
    <w:link w:val="SignatureChar"/>
    <w:uiPriority w:val="99"/>
    <w:unhideWhenUsed/>
    <w:rsid w:val="00FE1D77"/>
    <w:pPr>
      <w:widowControl/>
      <w:spacing w:before="1200" w:after="200"/>
    </w:pPr>
    <w:rPr>
      <w:rFonts w:ascii="Arial" w:eastAsia="Times New Roman" w:hAnsi="Arial" w:cs="Times New Roman"/>
      <w:b/>
      <w:szCs w:val="20"/>
      <w:lang w:val="en-AU" w:eastAsia="en-AU"/>
    </w:rPr>
  </w:style>
  <w:style w:type="character" w:customStyle="1" w:styleId="SignatureChar">
    <w:name w:val="Signature Char"/>
    <w:basedOn w:val="DefaultParagraphFont"/>
    <w:link w:val="Signature"/>
    <w:uiPriority w:val="99"/>
    <w:rsid w:val="00FE1D77"/>
    <w:rPr>
      <w:rFonts w:ascii="Arial" w:eastAsia="Times New Roman" w:hAnsi="Arial" w:cs="Times New Roman"/>
      <w:b/>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2016-01-13T00:00:00</Hearing_x0020_Date>
    <Decision_x0020_Category xmlns="28e3188d-fccf-4e87-a6b6-2e446be4517c">Policy</Decision_x0020_Category>
    <_dlc_DocId xmlns="28e3188d-fccf-4e87-a6b6-2e446be4517c">2AXQX2YYQNYC-628-30</_dlc_DocId>
    <_dlc_DocIdUrl xmlns="28e3188d-fccf-4e87-a6b6-2e446be4517c">
      <Url>http://www.dob.nt.gov.au/gambling-licensing/decisions/dg-decisions/_layouts/DocIdRedir.aspx?ID=2AXQX2YYQNYC-628-30</Url>
      <Description>2AXQX2YYQNYC-628-30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10DA-6D9B-4851-B106-93A087828757}">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415A518D-3207-4590-84AB-7E1FD3D8E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94B10-174B-4C03-9065-849947B4A3DE}">
  <ds:schemaRefs>
    <ds:schemaRef ds:uri="http://schemas.microsoft.com/sharepoint/events"/>
  </ds:schemaRefs>
</ds:datastoreItem>
</file>

<file path=customXml/itemProps4.xml><?xml version="1.0" encoding="utf-8"?>
<ds:datastoreItem xmlns:ds="http://schemas.openxmlformats.org/officeDocument/2006/customXml" ds:itemID="{F38E6B30-D803-4B9E-9043-2487ACD707FC}">
  <ds:schemaRefs>
    <ds:schemaRef ds:uri="http://schemas.microsoft.com/sharepoint/v3/contenttype/forms"/>
  </ds:schemaRefs>
</ds:datastoreItem>
</file>

<file path=customXml/itemProps5.xml><?xml version="1.0" encoding="utf-8"?>
<ds:datastoreItem xmlns:ds="http://schemas.openxmlformats.org/officeDocument/2006/customXml" ds:itemID="{9FBA8084-C101-4F55-9907-2910515F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10</Pages>
  <Words>4962</Words>
  <Characters>28287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Parap Tavern - Increase in Gaming Machines</vt:lpstr>
    </vt:vector>
  </TitlesOfParts>
  <Company>NTG</Company>
  <LinksUpToDate>false</LinksUpToDate>
  <CharactersWithSpaces>33183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Palmerston Tavern - Application for increase in Gaming Machines</dc:title>
  <dc:creator>Tammy Smart</dc:creator>
  <cp:lastModifiedBy>Marlene Woods</cp:lastModifiedBy>
  <cp:revision>5</cp:revision>
  <cp:lastPrinted>2016-01-12T01:22:00Z</cp:lastPrinted>
  <dcterms:created xsi:type="dcterms:W3CDTF">2016-01-12T06:15:00Z</dcterms:created>
  <dcterms:modified xsi:type="dcterms:W3CDTF">2016-03-21T06:21:00Z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LastSaved">
    <vt:filetime>2015-12-07T00:00:00Z</vt:filetime>
  </property>
  <property fmtid="{D5CDD505-2E9C-101B-9397-08002B2CF9AE}" pid="4" name="ContentTypeId">
    <vt:lpwstr>0x010100FDB2B31C47A04014B7A7CD35238362CA009118F166B6298C45BAF12F50AB3D9FD9</vt:lpwstr>
  </property>
  <property fmtid="{D5CDD505-2E9C-101B-9397-08002B2CF9AE}" pid="5" name="_dlc_DocIdItemGuid">
    <vt:lpwstr>74c49fa5-094f-4363-bf85-f777703d4b0b</vt:lpwstr>
  </property>
</Properties>
</file>