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441A6B">
      <w:pPr>
        <w:pStyle w:val="Tabformatting"/>
        <w:spacing w:after="120"/>
        <w:rPr>
          <w:rFonts w:cs="Arial"/>
        </w:rPr>
      </w:pPr>
      <w:r w:rsidRPr="00655618">
        <w:rPr>
          <w:rFonts w:cs="Arial"/>
          <w:b/>
        </w:rPr>
        <w:t>Matter:</w:t>
      </w:r>
      <w:r w:rsidRPr="00655618">
        <w:rPr>
          <w:rFonts w:cs="Arial"/>
        </w:rPr>
        <w:tab/>
      </w:r>
      <w:r w:rsidR="00D33764" w:rsidRPr="00655618">
        <w:rPr>
          <w:rFonts w:cs="Arial"/>
        </w:rPr>
        <w:t>Application for Increase in Gaming Machines</w:t>
      </w:r>
    </w:p>
    <w:p w:rsidR="001E2178" w:rsidRPr="00655618" w:rsidRDefault="001E2178" w:rsidP="00441A6B">
      <w:pPr>
        <w:pStyle w:val="Tabformatting"/>
        <w:spacing w:after="0"/>
        <w:rPr>
          <w:rFonts w:cs="Arial"/>
        </w:rPr>
      </w:pPr>
      <w:r w:rsidRPr="00655618">
        <w:rPr>
          <w:rFonts w:cs="Arial"/>
          <w:b/>
        </w:rPr>
        <w:t>Premises</w:t>
      </w:r>
      <w:r w:rsidRPr="00655618">
        <w:rPr>
          <w:rFonts w:cs="Arial"/>
        </w:rPr>
        <w:t>:</w:t>
      </w:r>
      <w:r w:rsidRPr="00655618">
        <w:rPr>
          <w:rFonts w:cs="Arial"/>
        </w:rPr>
        <w:tab/>
      </w:r>
      <w:r w:rsidR="003C76C1">
        <w:rPr>
          <w:rFonts w:cs="Arial"/>
        </w:rPr>
        <w:t>Tracy Village Social &amp; Sport</w:t>
      </w:r>
      <w:r w:rsidR="009C079F">
        <w:rPr>
          <w:rFonts w:cs="Arial"/>
        </w:rPr>
        <w:t>s</w:t>
      </w:r>
      <w:r w:rsidR="003C76C1">
        <w:rPr>
          <w:rFonts w:cs="Arial"/>
        </w:rPr>
        <w:t xml:space="preserve"> </w:t>
      </w:r>
      <w:r>
        <w:rPr>
          <w:rFonts w:cs="Arial"/>
        </w:rPr>
        <w:t>Club Inc.</w:t>
      </w:r>
    </w:p>
    <w:p w:rsidR="001E2178" w:rsidRDefault="001E2178" w:rsidP="00F31814">
      <w:pPr>
        <w:pStyle w:val="Tabformatting"/>
        <w:spacing w:after="0"/>
        <w:rPr>
          <w:rFonts w:cs="Arial"/>
        </w:rPr>
      </w:pPr>
      <w:r>
        <w:rPr>
          <w:rFonts w:cs="Arial"/>
        </w:rPr>
        <w:tab/>
      </w:r>
      <w:r w:rsidR="007B6F10">
        <w:rPr>
          <w:rFonts w:cs="Arial"/>
        </w:rPr>
        <w:t>2</w:t>
      </w:r>
      <w:r w:rsidR="009E096F">
        <w:rPr>
          <w:rFonts w:cs="Arial"/>
        </w:rPr>
        <w:t xml:space="preserve">8 </w:t>
      </w:r>
      <w:r w:rsidR="003C76C1">
        <w:rPr>
          <w:rFonts w:cs="Arial"/>
        </w:rPr>
        <w:t>Tambling</w:t>
      </w:r>
      <w:r w:rsidR="004C5B41">
        <w:rPr>
          <w:rFonts w:cs="Arial"/>
        </w:rPr>
        <w:t xml:space="preserve"> Terrace</w:t>
      </w:r>
    </w:p>
    <w:p w:rsidR="001E2178" w:rsidRPr="00655618" w:rsidRDefault="001E2178" w:rsidP="00441A6B">
      <w:pPr>
        <w:pStyle w:val="Tabformatting"/>
        <w:spacing w:after="120"/>
        <w:rPr>
          <w:rFonts w:cs="Arial"/>
        </w:rPr>
      </w:pPr>
      <w:r>
        <w:rPr>
          <w:rFonts w:cs="Arial"/>
        </w:rPr>
        <w:tab/>
      </w:r>
      <w:proofErr w:type="gramStart"/>
      <w:r w:rsidR="003C76C1">
        <w:rPr>
          <w:rFonts w:cs="Arial"/>
        </w:rPr>
        <w:t>Wanguri  NT</w:t>
      </w:r>
      <w:proofErr w:type="gramEnd"/>
      <w:r w:rsidR="003C76C1">
        <w:rPr>
          <w:rFonts w:cs="Arial"/>
        </w:rPr>
        <w:t xml:space="preserve"> 0811</w:t>
      </w:r>
    </w:p>
    <w:p w:rsidR="003C76C1" w:rsidRPr="00655618" w:rsidRDefault="001E2178" w:rsidP="00F31814">
      <w:pPr>
        <w:pStyle w:val="Tabformatting"/>
        <w:spacing w:after="120"/>
        <w:rPr>
          <w:rFonts w:cs="Arial"/>
        </w:rPr>
      </w:pPr>
      <w:r w:rsidRPr="00655618">
        <w:rPr>
          <w:rFonts w:cs="Arial"/>
          <w:b/>
        </w:rPr>
        <w:t>Applicant</w:t>
      </w:r>
      <w:r w:rsidRPr="00655618">
        <w:rPr>
          <w:rFonts w:cs="Arial"/>
        </w:rPr>
        <w:t>:</w:t>
      </w:r>
      <w:r w:rsidRPr="00655618">
        <w:rPr>
          <w:rFonts w:cs="Arial"/>
        </w:rPr>
        <w:tab/>
      </w:r>
      <w:r w:rsidR="003C76C1">
        <w:rPr>
          <w:rFonts w:cs="Arial"/>
        </w:rPr>
        <w:t xml:space="preserve">Tracy Village </w:t>
      </w:r>
      <w:r w:rsidR="00856C0A">
        <w:rPr>
          <w:rFonts w:cs="Arial"/>
        </w:rPr>
        <w:t>Social &amp; Sports</w:t>
      </w:r>
      <w:r w:rsidR="003C76C1">
        <w:rPr>
          <w:rFonts w:cs="Arial"/>
        </w:rPr>
        <w:t xml:space="preserve"> Club Inc.</w:t>
      </w:r>
    </w:p>
    <w:p w:rsidR="004C5B41" w:rsidRPr="00655618" w:rsidRDefault="001E2178" w:rsidP="00441A6B">
      <w:pPr>
        <w:pStyle w:val="Tabformatting"/>
        <w:spacing w:after="120"/>
        <w:rPr>
          <w:rFonts w:cs="Arial"/>
        </w:rPr>
      </w:pPr>
      <w:r w:rsidRPr="00655618">
        <w:rPr>
          <w:rFonts w:cs="Arial"/>
          <w:b/>
        </w:rPr>
        <w:t>Nominee</w:t>
      </w:r>
      <w:r w:rsidRPr="00655618">
        <w:rPr>
          <w:rFonts w:cs="Arial"/>
        </w:rPr>
        <w:t>:</w:t>
      </w:r>
      <w:r w:rsidRPr="00655618">
        <w:rPr>
          <w:rFonts w:cs="Arial"/>
        </w:rPr>
        <w:tab/>
      </w:r>
      <w:r>
        <w:rPr>
          <w:rFonts w:cs="Arial"/>
        </w:rPr>
        <w:t xml:space="preserve">Mr </w:t>
      </w:r>
      <w:r w:rsidR="003C76C1">
        <w:rPr>
          <w:rFonts w:cs="Arial"/>
        </w:rPr>
        <w:t>Gary Howkins</w:t>
      </w:r>
    </w:p>
    <w:p w:rsidR="001E5EB4" w:rsidRPr="001E5EB4" w:rsidRDefault="001E2178" w:rsidP="00F31814">
      <w:pPr>
        <w:spacing w:after="120"/>
        <w:ind w:left="2835" w:hanging="2835"/>
        <w:jc w:val="both"/>
        <w:rPr>
          <w:rFonts w:cs="Arial"/>
          <w:bCs/>
          <w:szCs w:val="22"/>
        </w:rPr>
      </w:pPr>
      <w:r w:rsidRPr="001E5EB4">
        <w:rPr>
          <w:rFonts w:cs="Arial"/>
          <w:b/>
        </w:rPr>
        <w:t>Submissions</w:t>
      </w:r>
      <w:r w:rsidRPr="001E5EB4">
        <w:rPr>
          <w:rFonts w:cs="Arial"/>
        </w:rPr>
        <w:t>:</w:t>
      </w:r>
      <w:r w:rsidR="00441A6B">
        <w:rPr>
          <w:rFonts w:cs="Arial"/>
        </w:rPr>
        <w:tab/>
      </w:r>
      <w:r w:rsidR="001E5EB4" w:rsidRPr="001E5EB4">
        <w:rPr>
          <w:rFonts w:cs="Arial"/>
          <w:bCs/>
          <w:szCs w:val="22"/>
        </w:rPr>
        <w:t>Amity Community Services Inc.</w:t>
      </w:r>
      <w:bookmarkStart w:id="0" w:name="_GoBack"/>
      <w:bookmarkEnd w:id="0"/>
    </w:p>
    <w:p w:rsidR="001E2178" w:rsidRPr="00655618" w:rsidRDefault="001E2178" w:rsidP="00441A6B">
      <w:pPr>
        <w:pStyle w:val="Tabformatting"/>
        <w:spacing w:after="120"/>
        <w:rPr>
          <w:rFonts w:cs="Arial"/>
          <w:i/>
        </w:rPr>
      </w:pPr>
      <w:r w:rsidRPr="00655618">
        <w:rPr>
          <w:rFonts w:cs="Arial"/>
          <w:b/>
        </w:rPr>
        <w:t>Legislation</w:t>
      </w:r>
      <w:r w:rsidRPr="00655618">
        <w:rPr>
          <w:rFonts w:cs="Arial"/>
        </w:rPr>
        <w:t>:</w:t>
      </w:r>
      <w:r w:rsidRPr="00655618">
        <w:rPr>
          <w:rFonts w:cs="Arial"/>
        </w:rPr>
        <w:tab/>
        <w:t xml:space="preserve">Section </w:t>
      </w:r>
      <w:r w:rsidR="006513AF">
        <w:rPr>
          <w:rFonts w:cs="Arial"/>
        </w:rPr>
        <w:t>41</w:t>
      </w:r>
      <w:r w:rsidRPr="00655618">
        <w:rPr>
          <w:rFonts w:cs="Arial"/>
        </w:rPr>
        <w:t xml:space="preserve"> </w:t>
      </w:r>
      <w:r w:rsidRPr="00655618">
        <w:rPr>
          <w:rFonts w:cs="Arial"/>
          <w:i/>
        </w:rPr>
        <w:t>Gaming Machine Act</w:t>
      </w:r>
    </w:p>
    <w:p w:rsidR="001E2178" w:rsidRPr="00655618" w:rsidRDefault="001E2178" w:rsidP="00441A6B">
      <w:pPr>
        <w:pStyle w:val="Tabformatting"/>
        <w:spacing w:after="120"/>
        <w:rPr>
          <w:rFonts w:cs="Arial"/>
        </w:rPr>
      </w:pPr>
      <w:r w:rsidRPr="00655618">
        <w:rPr>
          <w:rFonts w:cs="Arial"/>
          <w:b/>
        </w:rPr>
        <w:t>Decision of</w:t>
      </w:r>
      <w:r w:rsidRPr="00655618">
        <w:rPr>
          <w:rFonts w:cs="Arial"/>
        </w:rPr>
        <w:t>:</w:t>
      </w:r>
      <w:r w:rsidRPr="00655618">
        <w:rPr>
          <w:rFonts w:cs="Arial"/>
        </w:rPr>
        <w:tab/>
        <w:t>Director-General of Licensing</w:t>
      </w:r>
    </w:p>
    <w:p w:rsidR="001E2178" w:rsidRPr="00655618" w:rsidRDefault="001E2178" w:rsidP="00441A6B">
      <w:pPr>
        <w:pStyle w:val="Tabformatting"/>
        <w:spacing w:after="120"/>
        <w:rPr>
          <w:rFonts w:cs="Arial"/>
        </w:rPr>
      </w:pPr>
      <w:r w:rsidRPr="00655618">
        <w:rPr>
          <w:rFonts w:cs="Arial"/>
          <w:b/>
        </w:rPr>
        <w:t>Date of Decision</w:t>
      </w:r>
      <w:r w:rsidRPr="00655618">
        <w:rPr>
          <w:rFonts w:cs="Arial"/>
        </w:rPr>
        <w:t>:</w:t>
      </w:r>
      <w:r w:rsidRPr="00655618">
        <w:rPr>
          <w:rFonts w:cs="Arial"/>
        </w:rPr>
        <w:tab/>
      </w:r>
      <w:r w:rsidR="00160212">
        <w:rPr>
          <w:rFonts w:cs="Arial"/>
        </w:rPr>
        <w:t>2</w:t>
      </w:r>
      <w:r w:rsidR="00F9258F">
        <w:rPr>
          <w:rFonts w:cs="Arial"/>
        </w:rPr>
        <w:t>6</w:t>
      </w:r>
      <w:r>
        <w:rPr>
          <w:rFonts w:cs="Arial"/>
        </w:rPr>
        <w:t xml:space="preserve"> </w:t>
      </w:r>
      <w:r w:rsidR="003C76C1" w:rsidRPr="00F31814">
        <w:rPr>
          <w:rFonts w:cs="Arial"/>
        </w:rPr>
        <w:t>February 2016</w:t>
      </w:r>
    </w:p>
    <w:p w:rsidR="001620E9" w:rsidRPr="00655618" w:rsidRDefault="001620E9" w:rsidP="001620E9">
      <w:pPr>
        <w:pStyle w:val="BottomLine"/>
        <w:rPr>
          <w:rFonts w:cs="Arial"/>
        </w:rPr>
      </w:pPr>
    </w:p>
    <w:p w:rsidR="003C76C1" w:rsidRDefault="003C76C1" w:rsidP="003C76C1">
      <w:pPr>
        <w:pStyle w:val="Heading2"/>
        <w:spacing w:before="0"/>
      </w:pPr>
      <w:r>
        <w:t>Background</w:t>
      </w:r>
    </w:p>
    <w:p w:rsidR="003C76C1" w:rsidRDefault="003C76C1" w:rsidP="003C76C1">
      <w:pPr>
        <w:pStyle w:val="ListParagraph"/>
        <w:numPr>
          <w:ilvl w:val="0"/>
          <w:numId w:val="26"/>
        </w:numPr>
        <w:spacing w:after="240"/>
        <w:ind w:left="426" w:hanging="426"/>
        <w:jc w:val="both"/>
        <w:rPr>
          <w:rFonts w:cs="Arial"/>
          <w:szCs w:val="24"/>
        </w:rPr>
      </w:pPr>
      <w:r w:rsidRPr="00F33D5A">
        <w:rPr>
          <w:rFonts w:cs="Arial"/>
          <w:szCs w:val="24"/>
        </w:rPr>
        <w:t>On 24 September 2015, Mr Gary Ross on behalf of the Tracy Village Sports and Social Club Inc. (“the Applicant”) applied for an increase in the number of gaming machines authorised for use at Tracy Village Sp</w:t>
      </w:r>
      <w:r w:rsidR="007805CB">
        <w:rPr>
          <w:rFonts w:cs="Arial"/>
          <w:szCs w:val="24"/>
        </w:rPr>
        <w:t>orts and Social Club (“the Club</w:t>
      </w:r>
      <w:r w:rsidRPr="00F33D5A">
        <w:rPr>
          <w:rFonts w:cs="Arial"/>
          <w:szCs w:val="24"/>
        </w:rPr>
        <w:t xml:space="preserve">”) pursuant to section 41 of the </w:t>
      </w:r>
      <w:r w:rsidRPr="00F33D5A">
        <w:rPr>
          <w:rFonts w:cs="Arial"/>
          <w:i/>
          <w:szCs w:val="24"/>
        </w:rPr>
        <w:t>Gaming Machine Act</w:t>
      </w:r>
      <w:r>
        <w:rPr>
          <w:rFonts w:cs="Arial"/>
          <w:szCs w:val="24"/>
        </w:rPr>
        <w:t xml:space="preserve"> (“the Act”).</w:t>
      </w:r>
      <w:r w:rsidRPr="00F33D5A">
        <w:rPr>
          <w:rFonts w:cs="Arial"/>
          <w:szCs w:val="24"/>
        </w:rPr>
        <w:t xml:space="preserve">  </w:t>
      </w:r>
    </w:p>
    <w:p w:rsidR="003C76C1" w:rsidRPr="003C76C1" w:rsidRDefault="003C76C1" w:rsidP="003C76C1">
      <w:pPr>
        <w:pStyle w:val="ListParagraph"/>
        <w:numPr>
          <w:ilvl w:val="0"/>
          <w:numId w:val="26"/>
        </w:numPr>
        <w:spacing w:after="240"/>
        <w:ind w:left="426" w:hanging="426"/>
        <w:jc w:val="both"/>
        <w:rPr>
          <w:rFonts w:cs="Arial"/>
          <w:szCs w:val="24"/>
        </w:rPr>
      </w:pPr>
      <w:r w:rsidRPr="00F33D5A">
        <w:rPr>
          <w:rFonts w:cs="Arial"/>
          <w:szCs w:val="24"/>
        </w:rPr>
        <w:t xml:space="preserve">Regulation 3(a) of the </w:t>
      </w:r>
      <w:r w:rsidRPr="00F33D5A">
        <w:rPr>
          <w:rFonts w:cs="Arial"/>
          <w:i/>
          <w:szCs w:val="24"/>
        </w:rPr>
        <w:t>Gaming Machine Regulations</w:t>
      </w:r>
      <w:r w:rsidRPr="00F33D5A">
        <w:rPr>
          <w:rFonts w:cs="Arial"/>
          <w:szCs w:val="24"/>
        </w:rPr>
        <w:t xml:space="preserve"> (“the Regulations”) sets the maximum number of gaming machines that may be authorised for a Category 2 licensed premise under section 41 of the Act.</w:t>
      </w:r>
      <w:r>
        <w:rPr>
          <w:rFonts w:cs="Arial"/>
          <w:szCs w:val="24"/>
        </w:rPr>
        <w:t xml:space="preserve">  </w:t>
      </w:r>
      <w:r w:rsidRPr="003C76C1">
        <w:rPr>
          <w:rFonts w:cs="Arial"/>
          <w:szCs w:val="24"/>
        </w:rPr>
        <w:t>Regulation 2(2)(b) of the Regulations defines a Category 2 licensed premise as a premise for which a club liquor licence is in force at any particular time.</w:t>
      </w:r>
    </w:p>
    <w:p w:rsidR="003C76C1" w:rsidRDefault="003C76C1" w:rsidP="003C76C1">
      <w:pPr>
        <w:pStyle w:val="ListParagraph"/>
        <w:numPr>
          <w:ilvl w:val="0"/>
          <w:numId w:val="26"/>
        </w:numPr>
        <w:spacing w:after="240"/>
        <w:ind w:left="426" w:hanging="426"/>
        <w:jc w:val="both"/>
        <w:rPr>
          <w:rFonts w:cs="Arial"/>
          <w:szCs w:val="24"/>
        </w:rPr>
      </w:pPr>
      <w:r>
        <w:rPr>
          <w:rFonts w:cs="Arial"/>
          <w:szCs w:val="24"/>
        </w:rPr>
        <w:t>Under section 41(1) of the Act, a licensee may apply to have the number of gaming machines authorised for use under the license increased.  The Director-General of Licensing (“Director</w:t>
      </w:r>
      <w:r w:rsidR="00265401">
        <w:rPr>
          <w:rFonts w:cs="Arial"/>
          <w:szCs w:val="24"/>
        </w:rPr>
        <w:noBreakHyphen/>
      </w:r>
      <w:r>
        <w:rPr>
          <w:rFonts w:cs="Arial"/>
          <w:szCs w:val="24"/>
        </w:rPr>
        <w:t>General”) may grant or refuse such an application and in determining the application shall have regard to Part 3, Division 5 of the Act.</w:t>
      </w:r>
    </w:p>
    <w:p w:rsidR="003C76C1" w:rsidRDefault="003C76C1" w:rsidP="003C76C1">
      <w:pPr>
        <w:pStyle w:val="ListParagraph"/>
        <w:numPr>
          <w:ilvl w:val="0"/>
          <w:numId w:val="26"/>
        </w:numPr>
        <w:spacing w:after="240"/>
        <w:ind w:left="426" w:hanging="426"/>
        <w:jc w:val="both"/>
        <w:rPr>
          <w:rFonts w:cs="Arial"/>
          <w:szCs w:val="24"/>
        </w:rPr>
      </w:pPr>
      <w:r>
        <w:rPr>
          <w:rFonts w:cs="Arial"/>
          <w:szCs w:val="24"/>
        </w:rPr>
        <w:t xml:space="preserve">The Applicant is the holder of a licence issued under the </w:t>
      </w:r>
      <w:r>
        <w:rPr>
          <w:rFonts w:cs="Arial"/>
          <w:i/>
          <w:szCs w:val="24"/>
        </w:rPr>
        <w:t>Liquor Act</w:t>
      </w:r>
      <w:r>
        <w:rPr>
          <w:rFonts w:cs="Arial"/>
          <w:szCs w:val="24"/>
        </w:rPr>
        <w:t xml:space="preserve"> endorsed AUTHORITY – CLUB, which is defined under section 3 of the Act as a club liquor licence.</w:t>
      </w:r>
    </w:p>
    <w:p w:rsidR="003C76C1" w:rsidRPr="003C76C1" w:rsidRDefault="003C76C1" w:rsidP="003C76C1">
      <w:pPr>
        <w:pStyle w:val="ListParagraph"/>
        <w:numPr>
          <w:ilvl w:val="0"/>
          <w:numId w:val="26"/>
        </w:numPr>
        <w:spacing w:after="240"/>
        <w:ind w:left="426" w:hanging="426"/>
        <w:jc w:val="both"/>
        <w:rPr>
          <w:rFonts w:cs="Arial"/>
          <w:szCs w:val="24"/>
        </w:rPr>
      </w:pPr>
      <w:r w:rsidRPr="003C76C1">
        <w:rPr>
          <w:rFonts w:cs="Arial"/>
          <w:szCs w:val="24"/>
        </w:rPr>
        <w:t xml:space="preserve">The Applicant currently holds Gaming Machine Licence Number GM106 and is seeking to </w:t>
      </w:r>
      <w:r w:rsidRPr="003C76C1">
        <w:rPr>
          <w:rFonts w:cs="Arial"/>
        </w:rPr>
        <w:t>increase the number of gaming machines from its current level of 45 to a proposed new number of 55 gaming machines.</w:t>
      </w:r>
      <w:r>
        <w:rPr>
          <w:rFonts w:cs="Arial"/>
        </w:rPr>
        <w:t xml:space="preserve">  </w:t>
      </w:r>
      <w:r w:rsidRPr="003C76C1">
        <w:rPr>
          <w:rFonts w:cs="Arial"/>
          <w:szCs w:val="24"/>
        </w:rPr>
        <w:t>The application was accompanied by the prescribed application fee and the prescribed levy for the ten additional gaming machines applied for.</w:t>
      </w:r>
    </w:p>
    <w:p w:rsidR="003C76C1" w:rsidRPr="003C76C1" w:rsidRDefault="003C76C1" w:rsidP="003C76C1">
      <w:pPr>
        <w:pStyle w:val="ListParagraph"/>
        <w:numPr>
          <w:ilvl w:val="0"/>
          <w:numId w:val="26"/>
        </w:numPr>
        <w:spacing w:after="240"/>
        <w:ind w:left="426" w:hanging="426"/>
        <w:jc w:val="both"/>
        <w:rPr>
          <w:rFonts w:cs="Arial"/>
          <w:szCs w:val="24"/>
        </w:rPr>
      </w:pPr>
      <w:r>
        <w:rPr>
          <w:rFonts w:cs="Arial"/>
          <w:szCs w:val="24"/>
        </w:rPr>
        <w:t xml:space="preserve">The application was also accompanied by the required Community Impact Analysis (“CIA”) prepared by DWS Hospitality Specialists.  </w:t>
      </w:r>
      <w:r w:rsidRPr="003C76C1">
        <w:rPr>
          <w:rFonts w:cs="Arial"/>
          <w:szCs w:val="24"/>
        </w:rPr>
        <w:t xml:space="preserve">The Club’s application </w:t>
      </w:r>
      <w:r>
        <w:rPr>
          <w:rFonts w:cs="Arial"/>
          <w:szCs w:val="24"/>
        </w:rPr>
        <w:t xml:space="preserve">to increase the number of gaming machines authorised </w:t>
      </w:r>
      <w:r w:rsidR="002A79F8">
        <w:rPr>
          <w:rFonts w:cs="Arial"/>
          <w:szCs w:val="24"/>
        </w:rPr>
        <w:t>f</w:t>
      </w:r>
      <w:r>
        <w:rPr>
          <w:rFonts w:cs="Arial"/>
          <w:szCs w:val="24"/>
        </w:rPr>
        <w:t xml:space="preserve">or the venue </w:t>
      </w:r>
      <w:r w:rsidRPr="003C76C1">
        <w:rPr>
          <w:rFonts w:cs="Arial"/>
          <w:szCs w:val="24"/>
        </w:rPr>
        <w:t>was advertised in the NT N</w:t>
      </w:r>
      <w:r>
        <w:rPr>
          <w:rFonts w:cs="Arial"/>
          <w:szCs w:val="24"/>
        </w:rPr>
        <w:t>ews on 25 November 2015.</w:t>
      </w:r>
    </w:p>
    <w:p w:rsidR="003C76C1" w:rsidRDefault="003C76C1" w:rsidP="00F9258F">
      <w:pPr>
        <w:pStyle w:val="Heading2"/>
        <w:spacing w:before="0"/>
      </w:pPr>
      <w:r>
        <w:lastRenderedPageBreak/>
        <w:t>Consideration and Reasons</w:t>
      </w:r>
    </w:p>
    <w:p w:rsidR="003C76C1" w:rsidRDefault="003C76C1" w:rsidP="003D7500">
      <w:pPr>
        <w:pStyle w:val="ListParagraph"/>
        <w:numPr>
          <w:ilvl w:val="0"/>
          <w:numId w:val="26"/>
        </w:numPr>
        <w:spacing w:after="120"/>
        <w:ind w:left="426" w:hanging="426"/>
        <w:jc w:val="both"/>
        <w:rPr>
          <w:rFonts w:cs="Arial"/>
        </w:rPr>
      </w:pPr>
      <w:r>
        <w:rPr>
          <w:rFonts w:cs="Arial"/>
          <w:szCs w:val="24"/>
        </w:rPr>
        <w:t>When determining this application, the Director-General must have regard to relevant provisions of the Act and Regulations, including but not limited to the statutory objects of the Act which are:</w:t>
      </w:r>
    </w:p>
    <w:p w:rsidR="003C76C1" w:rsidRDefault="003C76C1" w:rsidP="003C76C1">
      <w:pPr>
        <w:pStyle w:val="Paragraph"/>
        <w:tabs>
          <w:tab w:val="left" w:pos="1134"/>
        </w:tabs>
        <w:spacing w:after="120"/>
        <w:ind w:left="567" w:firstLine="0"/>
        <w:rPr>
          <w:rFonts w:ascii="Arial" w:hAnsi="Arial" w:cs="Arial"/>
          <w:i/>
          <w:sz w:val="22"/>
        </w:rPr>
      </w:pPr>
      <w:r>
        <w:rPr>
          <w:rFonts w:ascii="Arial" w:hAnsi="Arial" w:cs="Arial"/>
          <w:i/>
          <w:sz w:val="22"/>
        </w:rPr>
        <w:t>(a)</w:t>
      </w:r>
      <w:r>
        <w:rPr>
          <w:rFonts w:ascii="Arial" w:hAnsi="Arial" w:cs="Arial"/>
          <w:i/>
          <w:sz w:val="22"/>
        </w:rPr>
        <w:tab/>
        <w:t>to promote probity and integrity in gaming;</w:t>
      </w:r>
    </w:p>
    <w:p w:rsidR="003C76C1" w:rsidRDefault="003C76C1" w:rsidP="003C76C1">
      <w:pPr>
        <w:pStyle w:val="Paragraph"/>
        <w:tabs>
          <w:tab w:val="left" w:pos="1134"/>
        </w:tabs>
        <w:spacing w:after="120"/>
        <w:ind w:left="567" w:firstLine="0"/>
        <w:rPr>
          <w:rFonts w:ascii="Arial" w:hAnsi="Arial" w:cs="Arial"/>
          <w:i/>
          <w:sz w:val="22"/>
        </w:rPr>
      </w:pPr>
      <w:r>
        <w:rPr>
          <w:rFonts w:ascii="Arial" w:hAnsi="Arial" w:cs="Arial"/>
          <w:i/>
          <w:sz w:val="22"/>
        </w:rPr>
        <w:t>(b)</w:t>
      </w:r>
      <w:r>
        <w:rPr>
          <w:rFonts w:ascii="Arial" w:hAnsi="Arial" w:cs="Arial"/>
          <w:i/>
          <w:sz w:val="22"/>
        </w:rPr>
        <w:tab/>
        <w:t>to maintain the probity and integrity of persons engaged in gaming in the Territory;</w:t>
      </w:r>
    </w:p>
    <w:p w:rsidR="003C76C1" w:rsidRDefault="003C76C1" w:rsidP="003C76C1">
      <w:pPr>
        <w:pStyle w:val="Paragraph"/>
        <w:tabs>
          <w:tab w:val="left" w:pos="1134"/>
        </w:tabs>
        <w:spacing w:after="120"/>
        <w:ind w:left="1134"/>
        <w:rPr>
          <w:rFonts w:ascii="Arial" w:hAnsi="Arial" w:cs="Arial"/>
          <w:i/>
          <w:sz w:val="22"/>
        </w:rPr>
      </w:pPr>
      <w:r>
        <w:rPr>
          <w:rFonts w:ascii="Arial" w:hAnsi="Arial" w:cs="Arial"/>
          <w:i/>
          <w:sz w:val="22"/>
        </w:rPr>
        <w:t>(c)</w:t>
      </w:r>
      <w:r>
        <w:rPr>
          <w:rFonts w:ascii="Arial" w:hAnsi="Arial" w:cs="Arial"/>
          <w:i/>
          <w:sz w:val="22"/>
        </w:rPr>
        <w:tab/>
        <w:t>to promote fairness, integrity and efficiency in the operations of persons engaged in gaming in the Territory;</w:t>
      </w:r>
    </w:p>
    <w:p w:rsidR="003C76C1" w:rsidRDefault="003C76C1" w:rsidP="003C76C1">
      <w:pPr>
        <w:pStyle w:val="Paragraph"/>
        <w:tabs>
          <w:tab w:val="left" w:pos="1134"/>
        </w:tabs>
        <w:spacing w:after="120"/>
        <w:ind w:left="567" w:firstLine="0"/>
        <w:rPr>
          <w:rFonts w:ascii="Arial" w:hAnsi="Arial" w:cs="Arial"/>
          <w:i/>
          <w:sz w:val="22"/>
        </w:rPr>
      </w:pPr>
      <w:r>
        <w:rPr>
          <w:rFonts w:ascii="Arial" w:hAnsi="Arial" w:cs="Arial"/>
          <w:i/>
          <w:sz w:val="22"/>
        </w:rPr>
        <w:t>(d)</w:t>
      </w:r>
      <w:r>
        <w:rPr>
          <w:rFonts w:ascii="Arial" w:hAnsi="Arial" w:cs="Arial"/>
          <w:i/>
          <w:sz w:val="22"/>
        </w:rPr>
        <w:tab/>
        <w:t>to reduce any adverse social impact of gaming; and</w:t>
      </w:r>
    </w:p>
    <w:p w:rsidR="003C76C1" w:rsidRDefault="003C76C1" w:rsidP="003C76C1">
      <w:pPr>
        <w:pStyle w:val="Paragraph"/>
        <w:tabs>
          <w:tab w:val="left" w:pos="1134"/>
        </w:tabs>
        <w:ind w:left="1134"/>
        <w:rPr>
          <w:rFonts w:ascii="Arial" w:hAnsi="Arial" w:cs="Arial"/>
          <w:i/>
          <w:sz w:val="22"/>
        </w:rPr>
      </w:pPr>
      <w:r>
        <w:rPr>
          <w:rFonts w:ascii="Arial" w:hAnsi="Arial" w:cs="Arial"/>
          <w:i/>
          <w:sz w:val="22"/>
        </w:rPr>
        <w:t>(e)</w:t>
      </w:r>
      <w:r>
        <w:rPr>
          <w:rFonts w:ascii="Arial" w:hAnsi="Arial" w:cs="Arial"/>
          <w:i/>
          <w:sz w:val="22"/>
        </w:rPr>
        <w:tab/>
        <w:t>to promote a balanced contribution by the gaming industry to general community benefit and amenity.</w:t>
      </w:r>
    </w:p>
    <w:p w:rsidR="003C76C1" w:rsidRDefault="003C76C1" w:rsidP="003D7500">
      <w:pPr>
        <w:pStyle w:val="ListParagraph"/>
        <w:numPr>
          <w:ilvl w:val="0"/>
          <w:numId w:val="26"/>
        </w:numPr>
        <w:spacing w:after="120"/>
        <w:ind w:left="426" w:hanging="426"/>
        <w:jc w:val="both"/>
        <w:rPr>
          <w:rFonts w:cs="Arial"/>
        </w:rPr>
      </w:pPr>
      <w:r>
        <w:rPr>
          <w:rFonts w:cs="Arial"/>
        </w:rPr>
        <w:t>Additionally, pursuant to section 41(4) of the Act,</w:t>
      </w:r>
      <w:r>
        <w:rPr>
          <w:rFonts w:cs="Arial"/>
          <w:szCs w:val="24"/>
        </w:rPr>
        <w:t xml:space="preserve"> </w:t>
      </w:r>
      <w:r>
        <w:rPr>
          <w:rFonts w:cs="Arial"/>
        </w:rPr>
        <w:t xml:space="preserve">the Director-General shall when determining an application for an increase in the number of gaming machines authorised for use, </w:t>
      </w:r>
      <w:r>
        <w:rPr>
          <w:rFonts w:cs="Arial"/>
          <w:szCs w:val="24"/>
        </w:rPr>
        <w:t>have regard to:</w:t>
      </w:r>
    </w:p>
    <w:p w:rsidR="003C76C1" w:rsidRDefault="003C76C1" w:rsidP="003C76C1">
      <w:pPr>
        <w:pStyle w:val="Paragraph"/>
        <w:spacing w:after="120"/>
        <w:ind w:left="1134"/>
        <w:rPr>
          <w:rFonts w:ascii="Arial" w:hAnsi="Arial" w:cs="Arial"/>
          <w:i/>
          <w:sz w:val="22"/>
        </w:rPr>
      </w:pPr>
      <w:r>
        <w:rPr>
          <w:rFonts w:ascii="Arial" w:hAnsi="Arial" w:cs="Arial"/>
          <w:i/>
          <w:sz w:val="22"/>
        </w:rPr>
        <w:t>(a)</w:t>
      </w:r>
      <w:r>
        <w:rPr>
          <w:rFonts w:ascii="Arial" w:hAnsi="Arial" w:cs="Arial"/>
          <w:i/>
          <w:sz w:val="22"/>
        </w:rPr>
        <w:tab/>
        <w:t>the increased number of gaming machines that the applicant seeks to have authorised for use under the gaming machine licence;</w:t>
      </w:r>
    </w:p>
    <w:p w:rsidR="003C76C1" w:rsidRDefault="003C76C1" w:rsidP="003C76C1">
      <w:pPr>
        <w:pStyle w:val="Paragraph"/>
        <w:spacing w:after="120"/>
        <w:ind w:left="1134"/>
        <w:rPr>
          <w:rFonts w:ascii="Arial" w:hAnsi="Arial" w:cs="Arial"/>
          <w:i/>
          <w:sz w:val="22"/>
        </w:rPr>
      </w:pPr>
      <w:r>
        <w:rPr>
          <w:rFonts w:ascii="Arial" w:hAnsi="Arial" w:cs="Arial"/>
          <w:i/>
          <w:sz w:val="22"/>
        </w:rPr>
        <w:t>(b)</w:t>
      </w:r>
      <w:r>
        <w:rPr>
          <w:rFonts w:ascii="Arial" w:hAnsi="Arial" w:cs="Arial"/>
          <w:i/>
          <w:sz w:val="22"/>
        </w:rPr>
        <w:tab/>
        <w:t>if section 41A applies – the community impact analysis;</w:t>
      </w:r>
    </w:p>
    <w:p w:rsidR="003C76C1" w:rsidRDefault="003C76C1" w:rsidP="003C76C1">
      <w:pPr>
        <w:pStyle w:val="Paragraph"/>
        <w:spacing w:after="120"/>
        <w:ind w:left="1134"/>
        <w:rPr>
          <w:rFonts w:ascii="Arial" w:hAnsi="Arial" w:cs="Arial"/>
          <w:i/>
          <w:sz w:val="22"/>
        </w:rPr>
      </w:pPr>
      <w:r>
        <w:rPr>
          <w:rFonts w:ascii="Arial" w:hAnsi="Arial" w:cs="Arial"/>
          <w:i/>
          <w:sz w:val="22"/>
        </w:rPr>
        <w:t>(ba)</w:t>
      </w:r>
      <w:r>
        <w:rPr>
          <w:rFonts w:ascii="Arial" w:hAnsi="Arial" w:cs="Arial"/>
          <w:i/>
          <w:sz w:val="22"/>
        </w:rPr>
        <w:tab/>
        <w:t>if section 41B applies – any submissions received under the section;</w:t>
      </w:r>
    </w:p>
    <w:p w:rsidR="003C76C1" w:rsidRDefault="003C76C1" w:rsidP="003C76C1">
      <w:pPr>
        <w:pStyle w:val="Paragraph"/>
        <w:spacing w:after="120"/>
        <w:ind w:left="1134"/>
        <w:rPr>
          <w:rFonts w:ascii="Arial" w:hAnsi="Arial" w:cs="Arial"/>
          <w:i/>
          <w:sz w:val="22"/>
        </w:rPr>
      </w:pPr>
      <w:r>
        <w:rPr>
          <w:rFonts w:ascii="Arial" w:hAnsi="Arial" w:cs="Arial"/>
          <w:i/>
          <w:sz w:val="22"/>
        </w:rPr>
        <w:t>(c)</w:t>
      </w:r>
      <w:r>
        <w:rPr>
          <w:rFonts w:ascii="Arial" w:hAnsi="Arial" w:cs="Arial"/>
          <w:i/>
          <w:sz w:val="22"/>
        </w:rPr>
        <w:tab/>
        <w:t>the gross monthly profit of existing gaming machines operated on the premises;</w:t>
      </w:r>
    </w:p>
    <w:p w:rsidR="003C76C1" w:rsidRDefault="003C76C1" w:rsidP="003C76C1">
      <w:pPr>
        <w:pStyle w:val="Paragraph"/>
        <w:spacing w:after="120"/>
        <w:ind w:left="1134"/>
        <w:rPr>
          <w:rFonts w:ascii="Arial" w:hAnsi="Arial" w:cs="Arial"/>
          <w:i/>
          <w:sz w:val="22"/>
        </w:rPr>
      </w:pPr>
      <w:r>
        <w:rPr>
          <w:rFonts w:ascii="Arial" w:hAnsi="Arial" w:cs="Arial"/>
          <w:i/>
          <w:sz w:val="22"/>
        </w:rPr>
        <w:t>(d)</w:t>
      </w:r>
      <w:r>
        <w:rPr>
          <w:rFonts w:ascii="Arial" w:hAnsi="Arial" w:cs="Arial"/>
          <w:i/>
          <w:sz w:val="22"/>
        </w:rPr>
        <w:tab/>
        <w:t>the hours and days when the premises are open for the sale of liquor;</w:t>
      </w:r>
    </w:p>
    <w:p w:rsidR="003C76C1" w:rsidRDefault="003C76C1" w:rsidP="003C76C1">
      <w:pPr>
        <w:pStyle w:val="Paragraph"/>
        <w:spacing w:after="120"/>
        <w:ind w:left="1134"/>
        <w:rPr>
          <w:rFonts w:ascii="Arial" w:hAnsi="Arial" w:cs="Arial"/>
          <w:i/>
          <w:sz w:val="22"/>
        </w:rPr>
      </w:pPr>
      <w:r>
        <w:rPr>
          <w:rFonts w:ascii="Arial" w:hAnsi="Arial" w:cs="Arial"/>
          <w:i/>
          <w:sz w:val="22"/>
        </w:rPr>
        <w:t>(e)</w:t>
      </w:r>
      <w:r>
        <w:rPr>
          <w:rFonts w:ascii="Arial" w:hAnsi="Arial" w:cs="Arial"/>
          <w:i/>
          <w:sz w:val="22"/>
        </w:rPr>
        <w:tab/>
        <w:t>the size, layout and facilities of the premises together with any proposed modification or relocation of the gaming machine areas of the premises; and</w:t>
      </w:r>
    </w:p>
    <w:p w:rsidR="003C76C1" w:rsidRDefault="003C76C1" w:rsidP="003C76C1">
      <w:pPr>
        <w:pStyle w:val="Paragraph"/>
        <w:ind w:left="1134"/>
        <w:rPr>
          <w:rFonts w:ascii="Arial" w:hAnsi="Arial" w:cs="Arial"/>
          <w:i/>
          <w:sz w:val="22"/>
        </w:rPr>
      </w:pPr>
      <w:r>
        <w:rPr>
          <w:rFonts w:ascii="Arial" w:hAnsi="Arial" w:cs="Arial"/>
          <w:i/>
          <w:sz w:val="22"/>
        </w:rPr>
        <w:t>(f)</w:t>
      </w:r>
      <w:r>
        <w:rPr>
          <w:rFonts w:ascii="Arial" w:hAnsi="Arial" w:cs="Arial"/>
          <w:i/>
          <w:sz w:val="22"/>
        </w:rPr>
        <w:tab/>
        <w:t>such other matters as the Director-General considers are relevant.</w:t>
      </w:r>
    </w:p>
    <w:p w:rsidR="003C76C1" w:rsidRDefault="003C76C1" w:rsidP="003C76C1">
      <w:pPr>
        <w:pStyle w:val="Heading3"/>
      </w:pPr>
      <w:r>
        <w:t>Increased number of gaming machines</w:t>
      </w:r>
    </w:p>
    <w:p w:rsidR="003C76C1" w:rsidRPr="003D7500" w:rsidRDefault="003C76C1" w:rsidP="00F31814">
      <w:pPr>
        <w:pStyle w:val="ListParagraph"/>
        <w:numPr>
          <w:ilvl w:val="0"/>
          <w:numId w:val="26"/>
        </w:numPr>
        <w:spacing w:after="240"/>
        <w:ind w:left="426" w:hanging="426"/>
        <w:jc w:val="both"/>
        <w:rPr>
          <w:rFonts w:cs="Arial"/>
        </w:rPr>
      </w:pPr>
      <w:r>
        <w:rPr>
          <w:rFonts w:cs="Arial"/>
        </w:rPr>
        <w:t xml:space="preserve">The Applicant seeks to increase the number of gaming machines from its current level of </w:t>
      </w:r>
      <w:r w:rsidR="003D7500">
        <w:rPr>
          <w:rFonts w:cs="Arial"/>
        </w:rPr>
        <w:t>45</w:t>
      </w:r>
      <w:r>
        <w:rPr>
          <w:rFonts w:cs="Arial"/>
        </w:rPr>
        <w:t xml:space="preserve"> to a proposed new number of </w:t>
      </w:r>
      <w:r w:rsidR="003D7500">
        <w:rPr>
          <w:rFonts w:cs="Arial"/>
        </w:rPr>
        <w:t>55</w:t>
      </w:r>
      <w:r>
        <w:rPr>
          <w:rFonts w:cs="Arial"/>
        </w:rPr>
        <w:t xml:space="preserve"> gaming machines, an increase of ten gaming machines.  </w:t>
      </w:r>
      <w:r w:rsidR="003D7500">
        <w:rPr>
          <w:rFonts w:cs="Arial"/>
        </w:rPr>
        <w:t>T</w:t>
      </w:r>
      <w:r w:rsidRPr="003D7500">
        <w:rPr>
          <w:rFonts w:cs="Arial"/>
        </w:rPr>
        <w:t>he Applicant is currently operating gaming machines to the limit of its current authorisation</w:t>
      </w:r>
      <w:r w:rsidR="003D7500">
        <w:rPr>
          <w:rFonts w:cs="Arial"/>
        </w:rPr>
        <w:t>, namely 45 gaming machines</w:t>
      </w:r>
      <w:r w:rsidRPr="003D7500">
        <w:rPr>
          <w:rFonts w:cs="Arial"/>
        </w:rPr>
        <w:t>.</w:t>
      </w:r>
    </w:p>
    <w:p w:rsidR="003C76C1" w:rsidRPr="003D7500" w:rsidRDefault="003C76C1" w:rsidP="003D7500">
      <w:pPr>
        <w:pStyle w:val="ListParagraph"/>
        <w:numPr>
          <w:ilvl w:val="0"/>
          <w:numId w:val="26"/>
        </w:numPr>
        <w:spacing w:after="240"/>
        <w:ind w:left="426" w:hanging="426"/>
        <w:jc w:val="both"/>
        <w:rPr>
          <w:rFonts w:cs="Arial"/>
          <w:szCs w:val="24"/>
        </w:rPr>
      </w:pPr>
      <w:r>
        <w:rPr>
          <w:rFonts w:cs="Arial"/>
        </w:rPr>
        <w:t xml:space="preserve">Regulation 3 of the Regulations sets the maximum number of gaming machines for a Category 2 licensed premise at </w:t>
      </w:r>
      <w:r w:rsidR="003D7500">
        <w:rPr>
          <w:rFonts w:cs="Arial"/>
        </w:rPr>
        <w:t>55.</w:t>
      </w:r>
      <w:r>
        <w:rPr>
          <w:rFonts w:cs="Arial"/>
        </w:rPr>
        <w:t xml:space="preserve">  As the Applicant </w:t>
      </w:r>
      <w:r>
        <w:rPr>
          <w:rFonts w:cs="Arial"/>
          <w:szCs w:val="24"/>
        </w:rPr>
        <w:t xml:space="preserve">is the holder of a licence issued under the </w:t>
      </w:r>
      <w:r>
        <w:rPr>
          <w:rFonts w:cs="Arial"/>
          <w:i/>
          <w:szCs w:val="24"/>
        </w:rPr>
        <w:t>Liquor Act</w:t>
      </w:r>
      <w:r>
        <w:rPr>
          <w:rFonts w:cs="Arial"/>
          <w:szCs w:val="24"/>
        </w:rPr>
        <w:t xml:space="preserve"> endorsed AUTHORITY – CLUB, which is defined under section 3 of the Act as a club liquor licence, the premises are considered to be a Category 2 licensed premise pursuant to 2(2)(b</w:t>
      </w:r>
      <w:r w:rsidR="003D7500">
        <w:rPr>
          <w:rFonts w:cs="Arial"/>
          <w:szCs w:val="24"/>
        </w:rPr>
        <w:t xml:space="preserve">) of the Regulations.  </w:t>
      </w:r>
      <w:r w:rsidRPr="003D7500">
        <w:rPr>
          <w:rFonts w:cs="Arial"/>
        </w:rPr>
        <w:t xml:space="preserve">As such, the Applicant is able to apply for an increase of ten gaming machines and if granted, I am satisfied that the number of gaming machines on the premises would be within the statutory limit of </w:t>
      </w:r>
      <w:r w:rsidR="00F9258F">
        <w:rPr>
          <w:rFonts w:cs="Arial"/>
        </w:rPr>
        <w:t>55</w:t>
      </w:r>
      <w:r w:rsidRPr="003D7500">
        <w:rPr>
          <w:rFonts w:cs="Arial"/>
        </w:rPr>
        <w:t xml:space="preserve"> gaming machines.</w:t>
      </w:r>
    </w:p>
    <w:p w:rsidR="003C76C1" w:rsidRDefault="003C76C1" w:rsidP="003C76C1">
      <w:pPr>
        <w:pStyle w:val="Heading3"/>
      </w:pPr>
      <w:r>
        <w:t>Community Impact Analysis</w:t>
      </w:r>
    </w:p>
    <w:p w:rsidR="003C76C1" w:rsidRDefault="003C76C1" w:rsidP="003D7500">
      <w:pPr>
        <w:pStyle w:val="ListParagraph"/>
        <w:keepNext/>
        <w:numPr>
          <w:ilvl w:val="0"/>
          <w:numId w:val="26"/>
        </w:numPr>
        <w:spacing w:after="120"/>
        <w:ind w:left="426" w:hanging="426"/>
        <w:jc w:val="both"/>
        <w:rPr>
          <w:rFonts w:cs="Arial"/>
        </w:rPr>
      </w:pPr>
      <w:r>
        <w:rPr>
          <w:rFonts w:cs="Arial"/>
        </w:rPr>
        <w:t>Pursuant to section 41A(2) of the Act, the CIA must provide details pertaining to:</w:t>
      </w:r>
    </w:p>
    <w:p w:rsidR="003C76C1" w:rsidRDefault="003C76C1" w:rsidP="003C76C1">
      <w:pPr>
        <w:pStyle w:val="ListParagraph"/>
        <w:keepNext/>
        <w:spacing w:after="120"/>
        <w:ind w:left="992" w:hanging="425"/>
        <w:jc w:val="both"/>
        <w:rPr>
          <w:rFonts w:cs="Arial"/>
          <w:i/>
          <w:szCs w:val="24"/>
        </w:rPr>
      </w:pPr>
      <w:r>
        <w:rPr>
          <w:rFonts w:cs="Arial"/>
          <w:szCs w:val="24"/>
        </w:rPr>
        <w:t>(a)</w:t>
      </w:r>
      <w:r>
        <w:rPr>
          <w:rFonts w:cs="Arial"/>
          <w:szCs w:val="24"/>
        </w:rPr>
        <w:tab/>
      </w:r>
      <w:r>
        <w:rPr>
          <w:rFonts w:cs="Arial"/>
          <w:i/>
          <w:szCs w:val="24"/>
        </w:rPr>
        <w:t xml:space="preserve">the suitability of the premises to which the application relates having regard to the size, layout and facilities of the premises; </w:t>
      </w:r>
    </w:p>
    <w:p w:rsidR="003C76C1" w:rsidRDefault="003C76C1" w:rsidP="003C76C1">
      <w:pPr>
        <w:pStyle w:val="ListParagraph"/>
        <w:spacing w:after="120"/>
        <w:ind w:left="993" w:hanging="426"/>
        <w:jc w:val="both"/>
        <w:rPr>
          <w:rFonts w:cs="Arial"/>
          <w:i/>
          <w:szCs w:val="24"/>
        </w:rPr>
      </w:pPr>
      <w:r>
        <w:rPr>
          <w:rFonts w:cs="Arial"/>
          <w:i/>
          <w:szCs w:val="24"/>
        </w:rPr>
        <w:t>(b)</w:t>
      </w:r>
      <w:r>
        <w:rPr>
          <w:rFonts w:cs="Arial"/>
          <w:i/>
          <w:szCs w:val="24"/>
        </w:rPr>
        <w:tab/>
        <w:t>the suitability of the premises to which the application relates having regard to the primary activity conducted at the premises;</w:t>
      </w:r>
    </w:p>
    <w:p w:rsidR="003C76C1" w:rsidRDefault="003C76C1" w:rsidP="00265401">
      <w:pPr>
        <w:pStyle w:val="ListParagraph"/>
        <w:keepLines/>
        <w:spacing w:after="120"/>
        <w:ind w:left="992" w:hanging="425"/>
        <w:jc w:val="both"/>
        <w:rPr>
          <w:rFonts w:cs="Arial"/>
          <w:i/>
          <w:szCs w:val="24"/>
        </w:rPr>
      </w:pPr>
      <w:r>
        <w:rPr>
          <w:rFonts w:cs="Arial"/>
          <w:i/>
          <w:szCs w:val="24"/>
        </w:rPr>
        <w:lastRenderedPageBreak/>
        <w:t>(c)</w:t>
      </w:r>
      <w:r>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3C76C1" w:rsidRDefault="003C76C1" w:rsidP="003C76C1">
      <w:pPr>
        <w:pStyle w:val="ListParagraph"/>
        <w:spacing w:after="120"/>
        <w:ind w:left="993" w:hanging="426"/>
        <w:jc w:val="both"/>
        <w:rPr>
          <w:rFonts w:cs="Arial"/>
          <w:i/>
          <w:szCs w:val="24"/>
        </w:rPr>
      </w:pPr>
      <w:r>
        <w:rPr>
          <w:rFonts w:cs="Arial"/>
          <w:i/>
          <w:szCs w:val="24"/>
        </w:rPr>
        <w:t>(d)</w:t>
      </w:r>
      <w:r>
        <w:rPr>
          <w:rFonts w:cs="Arial"/>
          <w:i/>
          <w:szCs w:val="24"/>
        </w:rPr>
        <w:tab/>
        <w:t>the appropriateness of problem gambling risk management and responsible gambling strategies;</w:t>
      </w:r>
    </w:p>
    <w:p w:rsidR="003C76C1" w:rsidRDefault="003C76C1" w:rsidP="003C76C1">
      <w:pPr>
        <w:pStyle w:val="ListParagraph"/>
        <w:spacing w:after="240"/>
        <w:ind w:left="993" w:hanging="426"/>
        <w:jc w:val="both"/>
        <w:rPr>
          <w:rFonts w:cs="Arial"/>
          <w:i/>
          <w:szCs w:val="24"/>
        </w:rPr>
      </w:pPr>
      <w:r>
        <w:rPr>
          <w:rFonts w:cs="Arial"/>
          <w:i/>
          <w:szCs w:val="24"/>
        </w:rPr>
        <w:t>(e)</w:t>
      </w:r>
      <w:r>
        <w:rPr>
          <w:rFonts w:cs="Arial"/>
          <w:i/>
          <w:szCs w:val="24"/>
        </w:rPr>
        <w:tab/>
        <w:t>economic impact of the proposal including contribution to the community, employment creation and significance or reliance of the venue to or on tourism.</w:t>
      </w:r>
    </w:p>
    <w:p w:rsidR="003C76C1" w:rsidRPr="00265401" w:rsidRDefault="003C76C1" w:rsidP="003C76C1">
      <w:pPr>
        <w:pStyle w:val="ListParagraph"/>
        <w:spacing w:after="120"/>
        <w:ind w:left="993" w:hanging="993"/>
        <w:jc w:val="both"/>
        <w:rPr>
          <w:rStyle w:val="Emphasis"/>
          <w:b/>
          <w:i w:val="0"/>
        </w:rPr>
      </w:pPr>
      <w:r w:rsidRPr="00265401">
        <w:rPr>
          <w:rStyle w:val="Emphasis"/>
          <w:b/>
          <w:i w:val="0"/>
          <w:szCs w:val="24"/>
        </w:rPr>
        <w:t>Suitability of Premises – size, layout and facilities</w:t>
      </w:r>
    </w:p>
    <w:p w:rsidR="003C76C1" w:rsidRDefault="003C76C1" w:rsidP="003D7500">
      <w:pPr>
        <w:pStyle w:val="ListParagraph"/>
        <w:numPr>
          <w:ilvl w:val="0"/>
          <w:numId w:val="26"/>
        </w:numPr>
        <w:spacing w:after="240"/>
        <w:ind w:left="426" w:hanging="426"/>
        <w:jc w:val="both"/>
        <w:rPr>
          <w:rFonts w:cs="Arial"/>
        </w:rPr>
      </w:pPr>
      <w:r>
        <w:rPr>
          <w:rFonts w:cs="Arial"/>
        </w:rPr>
        <w:t>Information contained within the CIA indicates that the current floor space of the premises is 1</w:t>
      </w:r>
      <w:r w:rsidR="009F4D67">
        <w:rPr>
          <w:rFonts w:cs="Arial"/>
        </w:rPr>
        <w:t> </w:t>
      </w:r>
      <w:r>
        <w:rPr>
          <w:rFonts w:cs="Arial"/>
        </w:rPr>
        <w:t xml:space="preserve">655 square metres of which 27% of the area is used for bars, 51% is used for dining, 6% is utilised for </w:t>
      </w:r>
      <w:r w:rsidR="003D7500">
        <w:rPr>
          <w:rFonts w:cs="Arial"/>
        </w:rPr>
        <w:t xml:space="preserve">the </w:t>
      </w:r>
      <w:r>
        <w:rPr>
          <w:rFonts w:cs="Arial"/>
        </w:rPr>
        <w:t xml:space="preserve">gaming </w:t>
      </w:r>
      <w:r w:rsidR="003D7500">
        <w:rPr>
          <w:rFonts w:cs="Arial"/>
        </w:rPr>
        <w:t xml:space="preserve">room, </w:t>
      </w:r>
      <w:r>
        <w:rPr>
          <w:rFonts w:cs="Arial"/>
        </w:rPr>
        <w:t xml:space="preserve">with the remaining area being occupied by the pool room and beer garden.  The CIA indicates that these percentages will change slightly with floor </w:t>
      </w:r>
      <w:r w:rsidR="008113B1">
        <w:rPr>
          <w:rFonts w:cs="Arial"/>
        </w:rPr>
        <w:t>space utilised by the gaming room increasing</w:t>
      </w:r>
      <w:r>
        <w:rPr>
          <w:rFonts w:cs="Arial"/>
        </w:rPr>
        <w:t xml:space="preserve"> to 9% </w:t>
      </w:r>
      <w:r w:rsidR="008113B1">
        <w:rPr>
          <w:rFonts w:cs="Arial"/>
        </w:rPr>
        <w:t xml:space="preserve">of total floor space </w:t>
      </w:r>
      <w:r>
        <w:rPr>
          <w:rFonts w:cs="Arial"/>
        </w:rPr>
        <w:t xml:space="preserve">a subsequent decrease by 3% of the </w:t>
      </w:r>
      <w:r w:rsidR="002A79F8">
        <w:rPr>
          <w:rFonts w:cs="Arial"/>
        </w:rPr>
        <w:t>Club</w:t>
      </w:r>
      <w:r w:rsidR="008113B1">
        <w:rPr>
          <w:rFonts w:cs="Arial"/>
        </w:rPr>
        <w:t>’</w:t>
      </w:r>
      <w:r>
        <w:rPr>
          <w:rFonts w:cs="Arial"/>
        </w:rPr>
        <w:t xml:space="preserve">s bar areas, should the application to increase the number of gaming machines for use be approved.  There will be no increase in the </w:t>
      </w:r>
      <w:r w:rsidR="003D7500">
        <w:rPr>
          <w:rFonts w:cs="Arial"/>
        </w:rPr>
        <w:t xml:space="preserve">overall </w:t>
      </w:r>
      <w:r>
        <w:rPr>
          <w:rFonts w:cs="Arial"/>
        </w:rPr>
        <w:t>size of the premises.</w:t>
      </w:r>
    </w:p>
    <w:p w:rsidR="003C76C1" w:rsidRDefault="003C76C1" w:rsidP="003D7500">
      <w:pPr>
        <w:pStyle w:val="ListParagraph"/>
        <w:numPr>
          <w:ilvl w:val="0"/>
          <w:numId w:val="26"/>
        </w:numPr>
        <w:spacing w:after="240"/>
        <w:ind w:left="426" w:hanging="426"/>
        <w:jc w:val="both"/>
        <w:rPr>
          <w:rFonts w:cs="Arial"/>
        </w:rPr>
      </w:pPr>
      <w:r>
        <w:rPr>
          <w:rFonts w:cs="Arial"/>
        </w:rPr>
        <w:t>The floor</w:t>
      </w:r>
      <w:r w:rsidR="003D7500">
        <w:rPr>
          <w:rFonts w:cs="Arial"/>
        </w:rPr>
        <w:t xml:space="preserve"> plans show that the gaming room</w:t>
      </w:r>
      <w:r>
        <w:rPr>
          <w:rFonts w:cs="Arial"/>
        </w:rPr>
        <w:t xml:space="preserve"> is a discrete area within the premises and that</w:t>
      </w:r>
      <w:r w:rsidR="00C53B5A">
        <w:rPr>
          <w:rFonts w:cs="Arial"/>
        </w:rPr>
        <w:t>,</w:t>
      </w:r>
      <w:r>
        <w:rPr>
          <w:rFonts w:cs="Arial"/>
        </w:rPr>
        <w:t xml:space="preserve"> with minor alterations, there is sufficient space to incorporate the additional gaming machines if approved.</w:t>
      </w:r>
      <w:r w:rsidR="008113B1">
        <w:rPr>
          <w:rFonts w:cs="Arial"/>
        </w:rPr>
        <w:t xml:space="preserve">  The area allocated to the gaming room is commensurate with that of similar club premises that offer gaming machines.</w:t>
      </w:r>
    </w:p>
    <w:p w:rsidR="003C76C1" w:rsidRPr="00265401" w:rsidRDefault="003C76C1" w:rsidP="003C76C1">
      <w:pPr>
        <w:pStyle w:val="ListParagraph"/>
        <w:spacing w:after="120"/>
        <w:ind w:left="993" w:hanging="993"/>
        <w:jc w:val="both"/>
        <w:rPr>
          <w:rStyle w:val="Emphasis"/>
          <w:b/>
          <w:i w:val="0"/>
        </w:rPr>
      </w:pPr>
      <w:r w:rsidRPr="00265401">
        <w:rPr>
          <w:rStyle w:val="Emphasis"/>
          <w:b/>
          <w:i w:val="0"/>
        </w:rPr>
        <w:t>Suitability of Premises – primary activity</w:t>
      </w:r>
    </w:p>
    <w:p w:rsidR="00DE3BD1" w:rsidRDefault="00590A64" w:rsidP="008113B1">
      <w:pPr>
        <w:pStyle w:val="ListParagraph"/>
        <w:numPr>
          <w:ilvl w:val="0"/>
          <w:numId w:val="26"/>
        </w:numPr>
        <w:spacing w:after="240"/>
        <w:ind w:left="426" w:hanging="426"/>
        <w:jc w:val="both"/>
        <w:rPr>
          <w:rFonts w:cs="Arial"/>
        </w:rPr>
      </w:pPr>
      <w:r>
        <w:rPr>
          <w:rFonts w:cs="Arial"/>
        </w:rPr>
        <w:t xml:space="preserve">The Club is located </w:t>
      </w:r>
      <w:r w:rsidR="007B6F10">
        <w:rPr>
          <w:rFonts w:cs="Arial"/>
        </w:rPr>
        <w:t>in a stand-</w:t>
      </w:r>
      <w:r>
        <w:rPr>
          <w:rFonts w:cs="Arial"/>
        </w:rPr>
        <w:t xml:space="preserve">alone location in the northern suburbs of Darwin. </w:t>
      </w:r>
      <w:r w:rsidR="007B6F10">
        <w:rPr>
          <w:rFonts w:cs="Arial"/>
        </w:rPr>
        <w:t xml:space="preserve">The Club has a long standing history in the area having been established in 1975 as part of the reconstruction project to rebuild Darwin following cyclone Tracy.  </w:t>
      </w:r>
      <w:r w:rsidR="003C76C1">
        <w:rPr>
          <w:rFonts w:cs="Arial"/>
        </w:rPr>
        <w:t xml:space="preserve">The CIA states that there is a mix of facilities at the </w:t>
      </w:r>
      <w:r w:rsidR="002A79F8">
        <w:rPr>
          <w:rFonts w:cs="Arial"/>
        </w:rPr>
        <w:t>Club</w:t>
      </w:r>
      <w:r w:rsidR="003C76C1">
        <w:rPr>
          <w:rFonts w:cs="Arial"/>
        </w:rPr>
        <w:t xml:space="preserve"> including bars</w:t>
      </w:r>
      <w:r w:rsidR="008113B1">
        <w:rPr>
          <w:rFonts w:cs="Arial"/>
        </w:rPr>
        <w:t xml:space="preserve">, a </w:t>
      </w:r>
      <w:r w:rsidR="003C76C1">
        <w:rPr>
          <w:rFonts w:cs="Arial"/>
        </w:rPr>
        <w:t xml:space="preserve">restaurant, </w:t>
      </w:r>
      <w:r w:rsidR="003D7500">
        <w:rPr>
          <w:rFonts w:cs="Arial"/>
        </w:rPr>
        <w:t xml:space="preserve">a </w:t>
      </w:r>
      <w:r w:rsidR="003C76C1">
        <w:rPr>
          <w:rFonts w:cs="Arial"/>
        </w:rPr>
        <w:t xml:space="preserve">pool room, darts </w:t>
      </w:r>
      <w:r w:rsidR="003D7500">
        <w:rPr>
          <w:rFonts w:cs="Arial"/>
        </w:rPr>
        <w:t xml:space="preserve">area </w:t>
      </w:r>
      <w:r w:rsidR="003C76C1">
        <w:rPr>
          <w:rFonts w:cs="Arial"/>
        </w:rPr>
        <w:t xml:space="preserve">as well as Keno, TAB and sports entertainment.  </w:t>
      </w:r>
    </w:p>
    <w:p w:rsidR="00DE3BD1" w:rsidRPr="00DE3BD1" w:rsidRDefault="003C76C1" w:rsidP="008113B1">
      <w:pPr>
        <w:pStyle w:val="ListParagraph"/>
        <w:numPr>
          <w:ilvl w:val="0"/>
          <w:numId w:val="26"/>
        </w:numPr>
        <w:spacing w:after="240"/>
        <w:ind w:left="426" w:hanging="426"/>
        <w:jc w:val="both"/>
        <w:rPr>
          <w:rFonts w:cs="Arial"/>
        </w:rPr>
      </w:pPr>
      <w:r>
        <w:rPr>
          <w:rFonts w:cs="Arial"/>
        </w:rPr>
        <w:t>The Club has eight affiliated sporting clubs and has built extensive sporti</w:t>
      </w:r>
      <w:r w:rsidR="003D7500">
        <w:rPr>
          <w:rFonts w:cs="Arial"/>
        </w:rPr>
        <w:t xml:space="preserve">ng infrastructure in the past ten years to cater for </w:t>
      </w:r>
      <w:r>
        <w:rPr>
          <w:rFonts w:cs="Arial"/>
        </w:rPr>
        <w:t>a diverse range of sporting and recreational facilities.</w:t>
      </w:r>
      <w:r w:rsidR="008113B1">
        <w:rPr>
          <w:rFonts w:cs="Arial"/>
        </w:rPr>
        <w:t xml:space="preserve">  </w:t>
      </w:r>
      <w:r w:rsidRPr="003D7500">
        <w:rPr>
          <w:rFonts w:cs="Arial"/>
        </w:rPr>
        <w:t xml:space="preserve">The CIA comments that the </w:t>
      </w:r>
      <w:r w:rsidR="002A79F8">
        <w:rPr>
          <w:rFonts w:cs="Arial"/>
        </w:rPr>
        <w:t>Club</w:t>
      </w:r>
      <w:r w:rsidRPr="003D7500">
        <w:rPr>
          <w:rFonts w:cs="Arial"/>
        </w:rPr>
        <w:t xml:space="preserve"> strives to provide a family-friendly, comfortable, lively club atmosphere, offering a diverse range of recreation, sporting and gaming facilities with good value and quality service.</w:t>
      </w:r>
      <w:r w:rsidRPr="003D7500">
        <w:rPr>
          <w:rFonts w:cs="Arial"/>
          <w:i/>
        </w:rPr>
        <w:t xml:space="preserve"> </w:t>
      </w:r>
      <w:r w:rsidR="00DE3BD1">
        <w:rPr>
          <w:rFonts w:cs="Arial"/>
        </w:rPr>
        <w:t>The Club is also host for a number of NT and natio</w:t>
      </w:r>
      <w:r w:rsidR="00C53B5A">
        <w:rPr>
          <w:rFonts w:cs="Arial"/>
        </w:rPr>
        <w:t>nal sports championships, held</w:t>
      </w:r>
      <w:r w:rsidR="00DE3BD1">
        <w:rPr>
          <w:rFonts w:cs="Arial"/>
        </w:rPr>
        <w:t xml:space="preserve"> at the sporting grounds within the Club’s boundaries</w:t>
      </w:r>
      <w:r w:rsidR="00C53B5A">
        <w:rPr>
          <w:rFonts w:cs="Arial"/>
        </w:rPr>
        <w:t>.</w:t>
      </w:r>
    </w:p>
    <w:p w:rsidR="00732767" w:rsidRPr="00DE3BD1" w:rsidRDefault="00DE3BD1" w:rsidP="00DE3BD1">
      <w:pPr>
        <w:pStyle w:val="ListParagraph"/>
        <w:numPr>
          <w:ilvl w:val="0"/>
          <w:numId w:val="26"/>
        </w:numPr>
        <w:spacing w:after="240"/>
        <w:ind w:left="426" w:hanging="426"/>
        <w:jc w:val="both"/>
        <w:rPr>
          <w:rFonts w:cs="Arial"/>
        </w:rPr>
      </w:pPr>
      <w:r>
        <w:rPr>
          <w:rFonts w:cs="Arial"/>
        </w:rPr>
        <w:t>As of July 2015 the Club had 2</w:t>
      </w:r>
      <w:r w:rsidR="009F4D67">
        <w:rPr>
          <w:rFonts w:cs="Arial"/>
        </w:rPr>
        <w:t xml:space="preserve"> </w:t>
      </w:r>
      <w:r>
        <w:rPr>
          <w:rFonts w:cs="Arial"/>
        </w:rPr>
        <w:t>660 active members, a significant number by NT standards and indicative of the popularity of the venue in the local and wi</w:t>
      </w:r>
      <w:r w:rsidRPr="00DE3BD1">
        <w:rPr>
          <w:rFonts w:cs="Arial"/>
        </w:rPr>
        <w:t>der communities.</w:t>
      </w:r>
      <w:r>
        <w:rPr>
          <w:rFonts w:cs="Arial"/>
        </w:rPr>
        <w:t xml:space="preserve">  Membership distribution indicates a strong family presence amongst the membership with a large percentage of members falling within the 30 to 49 </w:t>
      </w:r>
      <w:r w:rsidR="00C53B5A">
        <w:rPr>
          <w:rFonts w:cs="Arial"/>
        </w:rPr>
        <w:t xml:space="preserve">years </w:t>
      </w:r>
      <w:r>
        <w:rPr>
          <w:rFonts w:cs="Arial"/>
        </w:rPr>
        <w:t>age bracket.</w:t>
      </w:r>
    </w:p>
    <w:p w:rsidR="003C76C1" w:rsidRPr="003D7500" w:rsidRDefault="00732767" w:rsidP="008113B1">
      <w:pPr>
        <w:pStyle w:val="ListParagraph"/>
        <w:numPr>
          <w:ilvl w:val="0"/>
          <w:numId w:val="26"/>
        </w:numPr>
        <w:spacing w:after="240"/>
        <w:ind w:left="426" w:hanging="426"/>
        <w:jc w:val="both"/>
        <w:rPr>
          <w:rFonts w:cs="Arial"/>
        </w:rPr>
      </w:pPr>
      <w:r>
        <w:rPr>
          <w:rFonts w:cs="Arial"/>
        </w:rPr>
        <w:t>As stipulated in its constitution the Club’s primary objective is to assist an</w:t>
      </w:r>
      <w:r w:rsidR="00C53B5A">
        <w:rPr>
          <w:rFonts w:cs="Arial"/>
        </w:rPr>
        <w:t>y</w:t>
      </w:r>
      <w:r>
        <w:rPr>
          <w:rFonts w:cs="Arial"/>
        </w:rPr>
        <w:t xml:space="preserve"> charitable or sporting organisations that are considered to be working for the community.  At present the Club supports a wide range of sporing bodies including, softball, baseball, cricket</w:t>
      </w:r>
      <w:r w:rsidR="00C53B5A">
        <w:rPr>
          <w:rFonts w:cs="Arial"/>
        </w:rPr>
        <w:t>,</w:t>
      </w:r>
      <w:r>
        <w:rPr>
          <w:rFonts w:cs="Arial"/>
        </w:rPr>
        <w:t xml:space="preserve"> AFL, basketball, netball, darts and eight ball.  The Club is also the location of a number of sporting fields used by the respective sports clubs and affiliates.</w:t>
      </w:r>
    </w:p>
    <w:p w:rsidR="003C76C1" w:rsidRDefault="003C76C1" w:rsidP="008113B1">
      <w:pPr>
        <w:pStyle w:val="ListParagraph"/>
        <w:numPr>
          <w:ilvl w:val="0"/>
          <w:numId w:val="26"/>
        </w:numPr>
        <w:spacing w:after="240"/>
        <w:ind w:left="426" w:hanging="426"/>
        <w:jc w:val="both"/>
        <w:rPr>
          <w:rFonts w:cs="Arial"/>
        </w:rPr>
      </w:pPr>
      <w:r>
        <w:rPr>
          <w:rFonts w:cs="Arial"/>
        </w:rPr>
        <w:t xml:space="preserve">The CIA provides information regarding the </w:t>
      </w:r>
      <w:r w:rsidR="002A79F8">
        <w:rPr>
          <w:rFonts w:cs="Arial"/>
        </w:rPr>
        <w:t>Club</w:t>
      </w:r>
      <w:r>
        <w:rPr>
          <w:rFonts w:cs="Arial"/>
        </w:rPr>
        <w:t xml:space="preserve">’s financial performance.  In the 2013/14 financial year, it is reported that 23.3% of the </w:t>
      </w:r>
      <w:r w:rsidR="002A79F8">
        <w:rPr>
          <w:rFonts w:cs="Arial"/>
        </w:rPr>
        <w:t>Club</w:t>
      </w:r>
      <w:r>
        <w:rPr>
          <w:rFonts w:cs="Arial"/>
        </w:rPr>
        <w:t xml:space="preserve">’s revenue was derived from liquor, 19.4% derived from food and 57.3% derived from gaming.  The CIA advises that the </w:t>
      </w:r>
      <w:r w:rsidR="002A79F8">
        <w:rPr>
          <w:rFonts w:cs="Arial"/>
        </w:rPr>
        <w:t>Club</w:t>
      </w:r>
      <w:r>
        <w:rPr>
          <w:rFonts w:cs="Arial"/>
        </w:rPr>
        <w:t xml:space="preserve"> has experienced slight decreases in gaming revenues over the past three years while the percentage of total revenue has remained fairly stable.</w:t>
      </w:r>
    </w:p>
    <w:p w:rsidR="003C76C1" w:rsidRDefault="003C76C1" w:rsidP="008113B1">
      <w:pPr>
        <w:pStyle w:val="ListParagraph"/>
        <w:numPr>
          <w:ilvl w:val="0"/>
          <w:numId w:val="26"/>
        </w:numPr>
        <w:spacing w:after="240"/>
        <w:ind w:left="426" w:hanging="426"/>
        <w:jc w:val="both"/>
        <w:rPr>
          <w:rFonts w:cs="Arial"/>
        </w:rPr>
      </w:pPr>
      <w:r>
        <w:rPr>
          <w:rFonts w:cs="Arial"/>
        </w:rPr>
        <w:lastRenderedPageBreak/>
        <w:t xml:space="preserve">On the basis of the financial analysis provided, it is appears that the majority of the </w:t>
      </w:r>
      <w:r w:rsidR="002A79F8">
        <w:rPr>
          <w:rFonts w:cs="Arial"/>
        </w:rPr>
        <w:t>Club</w:t>
      </w:r>
      <w:r>
        <w:rPr>
          <w:rFonts w:cs="Arial"/>
        </w:rPr>
        <w:t>’s revenue is generated by gaming machine a</w:t>
      </w:r>
      <w:r w:rsidR="008113B1">
        <w:rPr>
          <w:rFonts w:cs="Arial"/>
        </w:rPr>
        <w:t>ctivity</w:t>
      </w:r>
      <w:r w:rsidR="00C53B5A">
        <w:rPr>
          <w:rFonts w:cs="Arial"/>
        </w:rPr>
        <w:t>, being</w:t>
      </w:r>
      <w:r w:rsidR="008113B1">
        <w:rPr>
          <w:rFonts w:cs="Arial"/>
        </w:rPr>
        <w:t xml:space="preserve"> almost 60%</w:t>
      </w:r>
      <w:r w:rsidR="00C53B5A">
        <w:rPr>
          <w:rFonts w:cs="Arial"/>
        </w:rPr>
        <w:t xml:space="preserve"> of total income</w:t>
      </w:r>
      <w:r>
        <w:rPr>
          <w:rFonts w:cs="Arial"/>
        </w:rPr>
        <w:t>.</w:t>
      </w:r>
      <w:r w:rsidR="008113B1">
        <w:rPr>
          <w:rFonts w:cs="Arial"/>
        </w:rPr>
        <w:t xml:space="preserve">  This is consistent with </w:t>
      </w:r>
      <w:r w:rsidR="00FD1335">
        <w:rPr>
          <w:rFonts w:cs="Arial"/>
        </w:rPr>
        <w:t xml:space="preserve">the revenue streams of </w:t>
      </w:r>
      <w:r w:rsidR="008113B1">
        <w:rPr>
          <w:rFonts w:cs="Arial"/>
        </w:rPr>
        <w:t>similar sized community clubs that provide the range services offered by the Applicant, including gaming machines.</w:t>
      </w:r>
    </w:p>
    <w:p w:rsidR="003C76C1" w:rsidRPr="00265401" w:rsidRDefault="003C76C1" w:rsidP="003C76C1">
      <w:pPr>
        <w:pStyle w:val="ListParagraph"/>
        <w:keepNext/>
        <w:spacing w:after="120"/>
        <w:ind w:left="0"/>
        <w:jc w:val="both"/>
        <w:rPr>
          <w:rStyle w:val="Emphasis"/>
          <w:b/>
          <w:i w:val="0"/>
        </w:rPr>
      </w:pPr>
      <w:r w:rsidRPr="00265401">
        <w:rPr>
          <w:rStyle w:val="Emphasis"/>
          <w:b/>
          <w:i w:val="0"/>
        </w:rPr>
        <w:t xml:space="preserve">Suitability of Location - population of local area, proximity to other gaming venues and proximity to sensitive areas </w:t>
      </w:r>
    </w:p>
    <w:p w:rsidR="003C76C1" w:rsidRDefault="003C76C1" w:rsidP="00160212">
      <w:pPr>
        <w:pStyle w:val="ListParagraph"/>
        <w:numPr>
          <w:ilvl w:val="0"/>
          <w:numId w:val="26"/>
        </w:numPr>
        <w:spacing w:after="240"/>
        <w:ind w:left="426" w:hanging="426"/>
        <w:jc w:val="both"/>
        <w:rPr>
          <w:rFonts w:cs="Arial"/>
        </w:rPr>
      </w:pPr>
      <w:r>
        <w:rPr>
          <w:rFonts w:cs="Arial"/>
        </w:rPr>
        <w:t xml:space="preserve">The Local Community Area (“LCA”) agreed to with Licensing NT for use in the </w:t>
      </w:r>
      <w:r w:rsidR="00FD1335">
        <w:rPr>
          <w:rFonts w:cs="Arial"/>
        </w:rPr>
        <w:t>preparation</w:t>
      </w:r>
      <w:r>
        <w:rPr>
          <w:rFonts w:cs="Arial"/>
        </w:rPr>
        <w:t xml:space="preserve"> of the CIA incorporates the </w:t>
      </w:r>
      <w:r w:rsidR="00FD1335">
        <w:rPr>
          <w:rFonts w:cs="Arial"/>
        </w:rPr>
        <w:t xml:space="preserve">Darwin northern </w:t>
      </w:r>
      <w:r>
        <w:rPr>
          <w:rFonts w:cs="Arial"/>
        </w:rPr>
        <w:t xml:space="preserve">suburbs of Alawa, Wagaman, Wulagi, Leanyer, Wanguri, Brinkin-Nakara, Tiwi and Lyons. </w:t>
      </w:r>
    </w:p>
    <w:p w:rsidR="003C76C1" w:rsidRDefault="003C76C1" w:rsidP="00160212">
      <w:pPr>
        <w:pStyle w:val="ListParagraph"/>
        <w:numPr>
          <w:ilvl w:val="0"/>
          <w:numId w:val="26"/>
        </w:numPr>
        <w:spacing w:after="240"/>
        <w:ind w:left="426" w:hanging="426"/>
        <w:jc w:val="both"/>
        <w:rPr>
          <w:rFonts w:cs="Arial"/>
        </w:rPr>
      </w:pPr>
      <w:r>
        <w:rPr>
          <w:rFonts w:cs="Arial"/>
        </w:rPr>
        <w:t xml:space="preserve">The area has a moderate population density </w:t>
      </w:r>
      <w:r w:rsidR="00FD1335">
        <w:rPr>
          <w:rFonts w:cs="Arial"/>
        </w:rPr>
        <w:t>as would be expected</w:t>
      </w:r>
      <w:r>
        <w:rPr>
          <w:rFonts w:cs="Arial"/>
        </w:rPr>
        <w:t xml:space="preserve"> for a suburban</w:t>
      </w:r>
      <w:r w:rsidR="00FD1335">
        <w:rPr>
          <w:rFonts w:cs="Arial"/>
        </w:rPr>
        <w:t xml:space="preserve"> area.  At the time of the most recent census the LCA had</w:t>
      </w:r>
      <w:r>
        <w:rPr>
          <w:rFonts w:cs="Arial"/>
        </w:rPr>
        <w:t xml:space="preserve"> a population of almost 21</w:t>
      </w:r>
      <w:r w:rsidR="009F4D67">
        <w:rPr>
          <w:rFonts w:cs="Arial"/>
        </w:rPr>
        <w:t xml:space="preserve"> </w:t>
      </w:r>
      <w:r>
        <w:rPr>
          <w:rFonts w:cs="Arial"/>
        </w:rPr>
        <w:t>000 consisting o</w:t>
      </w:r>
      <w:r w:rsidR="00C53B5A">
        <w:rPr>
          <w:rFonts w:cs="Arial"/>
        </w:rPr>
        <w:t>f approximately</w:t>
      </w:r>
      <w:r>
        <w:rPr>
          <w:rFonts w:cs="Arial"/>
        </w:rPr>
        <w:t xml:space="preserve"> 15</w:t>
      </w:r>
      <w:r w:rsidR="009F4D67">
        <w:rPr>
          <w:rFonts w:cs="Arial"/>
        </w:rPr>
        <w:t xml:space="preserve"> </w:t>
      </w:r>
      <w:r>
        <w:rPr>
          <w:rFonts w:cs="Arial"/>
        </w:rPr>
        <w:t xml:space="preserve">400 adults of </w:t>
      </w:r>
      <w:r w:rsidR="00013209">
        <w:rPr>
          <w:rFonts w:cs="Arial"/>
        </w:rPr>
        <w:t>whom</w:t>
      </w:r>
      <w:r>
        <w:rPr>
          <w:rFonts w:cs="Arial"/>
        </w:rPr>
        <w:t xml:space="preserve"> the age distribution is generally consistent with that of other Darwin and Northern Territory centres</w:t>
      </w:r>
      <w:r w:rsidR="00FD1335">
        <w:rPr>
          <w:rFonts w:cs="Arial"/>
        </w:rPr>
        <w:t xml:space="preserve">.  However, </w:t>
      </w:r>
      <w:r>
        <w:rPr>
          <w:rFonts w:cs="Arial"/>
        </w:rPr>
        <w:t>it should be noted that these stat</w:t>
      </w:r>
      <w:r w:rsidR="00FD1335">
        <w:rPr>
          <w:rFonts w:cs="Arial"/>
        </w:rPr>
        <w:t>istics a</w:t>
      </w:r>
      <w:r>
        <w:rPr>
          <w:rFonts w:cs="Arial"/>
        </w:rPr>
        <w:t xml:space="preserve">re based on the Australian Bureau of Statistics’ 2011 Census Data, which is somewhat dated </w:t>
      </w:r>
      <w:r w:rsidR="00FD1335">
        <w:rPr>
          <w:rFonts w:cs="Arial"/>
        </w:rPr>
        <w:t>with more recent reports showing</w:t>
      </w:r>
      <w:r>
        <w:rPr>
          <w:rFonts w:cs="Arial"/>
        </w:rPr>
        <w:t xml:space="preserve"> the LCA now has a</w:t>
      </w:r>
      <w:r w:rsidR="00FD1335">
        <w:rPr>
          <w:rFonts w:cs="Arial"/>
        </w:rPr>
        <w:t>n estimated</w:t>
      </w:r>
      <w:r>
        <w:rPr>
          <w:rFonts w:cs="Arial"/>
        </w:rPr>
        <w:t xml:space="preserve"> population in excess of 23</w:t>
      </w:r>
      <w:r w:rsidR="009F4D67">
        <w:rPr>
          <w:rFonts w:cs="Arial"/>
        </w:rPr>
        <w:t> </w:t>
      </w:r>
      <w:r>
        <w:rPr>
          <w:rFonts w:cs="Arial"/>
        </w:rPr>
        <w:t>2</w:t>
      </w:r>
      <w:r w:rsidR="00FD1335">
        <w:rPr>
          <w:rFonts w:cs="Arial"/>
        </w:rPr>
        <w:t>00 residents</w:t>
      </w:r>
      <w:r>
        <w:rPr>
          <w:rFonts w:cs="Arial"/>
        </w:rPr>
        <w:t xml:space="preserve">.  </w:t>
      </w:r>
    </w:p>
    <w:p w:rsidR="003C76C1" w:rsidRDefault="003C76C1" w:rsidP="00160212">
      <w:pPr>
        <w:pStyle w:val="ListParagraph"/>
        <w:numPr>
          <w:ilvl w:val="0"/>
          <w:numId w:val="26"/>
        </w:numPr>
        <w:spacing w:after="240"/>
        <w:ind w:left="426" w:hanging="426"/>
        <w:jc w:val="both"/>
        <w:rPr>
          <w:rFonts w:cs="Arial"/>
        </w:rPr>
      </w:pPr>
      <w:r>
        <w:rPr>
          <w:rFonts w:cs="Arial"/>
        </w:rPr>
        <w:t xml:space="preserve">Statistical information obtained from </w:t>
      </w:r>
      <w:r w:rsidR="00FD1335">
        <w:rPr>
          <w:rFonts w:cs="Arial"/>
        </w:rPr>
        <w:t>the 2011 census</w:t>
      </w:r>
      <w:r>
        <w:rPr>
          <w:rFonts w:cs="Arial"/>
        </w:rPr>
        <w:t xml:space="preserve"> shows that the LCA has </w:t>
      </w:r>
      <w:r w:rsidR="00FD1335">
        <w:rPr>
          <w:rFonts w:cs="Arial"/>
        </w:rPr>
        <w:t>higher proportion of people who</w:t>
      </w:r>
      <w:r>
        <w:rPr>
          <w:rFonts w:cs="Arial"/>
        </w:rPr>
        <w:t xml:space="preserve"> have completed a bachelor degree and advanced diploma/diploma when compared to the Darwin and NT benchmarks.  </w:t>
      </w:r>
      <w:r w:rsidR="00C65417">
        <w:rPr>
          <w:rFonts w:cs="Arial"/>
        </w:rPr>
        <w:t>The CIA also indicates that unemployment rates in the LCA were 2.8% as of March 2015, which is lower than both the Darwin and NT benchmarks.</w:t>
      </w:r>
    </w:p>
    <w:p w:rsidR="003C76C1" w:rsidRDefault="00FD1335" w:rsidP="00160212">
      <w:pPr>
        <w:pStyle w:val="ListParagraph"/>
        <w:numPr>
          <w:ilvl w:val="0"/>
          <w:numId w:val="26"/>
        </w:numPr>
        <w:spacing w:after="240"/>
        <w:ind w:left="426" w:hanging="426"/>
        <w:jc w:val="both"/>
        <w:rPr>
          <w:rFonts w:cs="Arial"/>
        </w:rPr>
      </w:pPr>
      <w:r>
        <w:rPr>
          <w:rFonts w:cs="Arial"/>
        </w:rPr>
        <w:t xml:space="preserve">An estimated </w:t>
      </w:r>
      <w:r w:rsidR="003C76C1">
        <w:rPr>
          <w:rFonts w:cs="Arial"/>
        </w:rPr>
        <w:t>39% of residents have a weekly income between $800 and $1</w:t>
      </w:r>
      <w:r w:rsidR="009F4D67">
        <w:rPr>
          <w:rFonts w:cs="Arial"/>
        </w:rPr>
        <w:t xml:space="preserve"> </w:t>
      </w:r>
      <w:r w:rsidR="003C76C1">
        <w:rPr>
          <w:rFonts w:cs="Arial"/>
        </w:rPr>
        <w:t xml:space="preserve">999 and 7% </w:t>
      </w:r>
      <w:r>
        <w:rPr>
          <w:rFonts w:cs="Arial"/>
        </w:rPr>
        <w:t xml:space="preserve">have an income </w:t>
      </w:r>
      <w:r w:rsidR="003C76C1">
        <w:rPr>
          <w:rFonts w:cs="Arial"/>
        </w:rPr>
        <w:t>above $2</w:t>
      </w:r>
      <w:r w:rsidR="009F4D67">
        <w:rPr>
          <w:rFonts w:cs="Arial"/>
        </w:rPr>
        <w:t xml:space="preserve"> </w:t>
      </w:r>
      <w:r w:rsidR="003C76C1">
        <w:rPr>
          <w:rFonts w:cs="Arial"/>
        </w:rPr>
        <w:t>000</w:t>
      </w:r>
      <w:r>
        <w:rPr>
          <w:rFonts w:cs="Arial"/>
        </w:rPr>
        <w:t xml:space="preserve"> per week</w:t>
      </w:r>
      <w:r w:rsidR="003C76C1">
        <w:rPr>
          <w:rFonts w:cs="Arial"/>
        </w:rPr>
        <w:t xml:space="preserve">, which is consistent with Darwin and NT benchmarks.  The LCA has a relatively high proportion of residents </w:t>
      </w:r>
      <w:r>
        <w:rPr>
          <w:rFonts w:cs="Arial"/>
        </w:rPr>
        <w:t>employed as</w:t>
      </w:r>
      <w:r w:rsidR="003C76C1">
        <w:rPr>
          <w:rFonts w:cs="Arial"/>
        </w:rPr>
        <w:t xml:space="preserve"> </w:t>
      </w:r>
      <w:r>
        <w:rPr>
          <w:rFonts w:cs="Arial"/>
        </w:rPr>
        <w:t xml:space="preserve">managers and professionals who are highly educated </w:t>
      </w:r>
      <w:r w:rsidR="003C76C1">
        <w:rPr>
          <w:rFonts w:cs="Arial"/>
        </w:rPr>
        <w:t xml:space="preserve">and </w:t>
      </w:r>
      <w:r>
        <w:rPr>
          <w:rFonts w:cs="Arial"/>
        </w:rPr>
        <w:t>who fall within the higher</w:t>
      </w:r>
      <w:r w:rsidR="003C76C1">
        <w:rPr>
          <w:rFonts w:cs="Arial"/>
        </w:rPr>
        <w:t xml:space="preserve"> income brackets</w:t>
      </w:r>
      <w:r>
        <w:rPr>
          <w:rFonts w:cs="Arial"/>
        </w:rPr>
        <w:t>, inferring</w:t>
      </w:r>
      <w:r w:rsidR="003C76C1">
        <w:rPr>
          <w:rFonts w:cs="Arial"/>
        </w:rPr>
        <w:t xml:space="preserve"> that the LCA is an area of </w:t>
      </w:r>
      <w:r>
        <w:rPr>
          <w:rFonts w:cs="Arial"/>
        </w:rPr>
        <w:t xml:space="preserve">relatively </w:t>
      </w:r>
      <w:r w:rsidR="003C76C1">
        <w:rPr>
          <w:rFonts w:cs="Arial"/>
        </w:rPr>
        <w:t xml:space="preserve">high socio-economic status.  </w:t>
      </w:r>
    </w:p>
    <w:p w:rsidR="003C76C1" w:rsidRDefault="003C76C1" w:rsidP="00160212">
      <w:pPr>
        <w:pStyle w:val="ListParagraph"/>
        <w:numPr>
          <w:ilvl w:val="0"/>
          <w:numId w:val="26"/>
        </w:numPr>
        <w:spacing w:after="240"/>
        <w:ind w:left="426" w:hanging="426"/>
        <w:jc w:val="both"/>
        <w:rPr>
          <w:rFonts w:cs="Arial"/>
        </w:rPr>
      </w:pPr>
      <w:r>
        <w:rPr>
          <w:rFonts w:cs="Arial"/>
        </w:rPr>
        <w:t>The statistics indicate that there is a high level of home ownership or people purchasing their own homes when compared to the Darwin LCA</w:t>
      </w:r>
      <w:r w:rsidR="009940F9">
        <w:rPr>
          <w:rFonts w:cs="Arial"/>
        </w:rPr>
        <w:t xml:space="preserve"> and NT benchmarks.  Consideration of</w:t>
      </w:r>
      <w:r>
        <w:rPr>
          <w:rFonts w:cs="Arial"/>
        </w:rPr>
        <w:t xml:space="preserve"> the low unemployment rates and h</w:t>
      </w:r>
      <w:r w:rsidR="009940F9">
        <w:rPr>
          <w:rFonts w:cs="Arial"/>
        </w:rPr>
        <w:t xml:space="preserve">igh household incomes </w:t>
      </w:r>
      <w:r>
        <w:rPr>
          <w:rFonts w:cs="Arial"/>
        </w:rPr>
        <w:t>suggest</w:t>
      </w:r>
      <w:r w:rsidR="009940F9">
        <w:rPr>
          <w:rFonts w:cs="Arial"/>
        </w:rPr>
        <w:t>s</w:t>
      </w:r>
      <w:r>
        <w:rPr>
          <w:rFonts w:cs="Arial"/>
        </w:rPr>
        <w:t xml:space="preserve"> that residents have a higher socio-economic profile with higher amounts of disposable income.</w:t>
      </w:r>
    </w:p>
    <w:p w:rsidR="003C76C1" w:rsidRDefault="003C76C1" w:rsidP="00160212">
      <w:pPr>
        <w:pStyle w:val="ListParagraph"/>
        <w:numPr>
          <w:ilvl w:val="0"/>
          <w:numId w:val="26"/>
        </w:numPr>
        <w:spacing w:after="240"/>
        <w:ind w:left="426" w:hanging="426"/>
        <w:jc w:val="both"/>
        <w:rPr>
          <w:rFonts w:cs="Arial"/>
        </w:rPr>
      </w:pPr>
      <w:r>
        <w:rPr>
          <w:rFonts w:cs="Arial"/>
        </w:rPr>
        <w:t xml:space="preserve">The CIA also contains information in relation to the </w:t>
      </w:r>
      <w:r>
        <w:rPr>
          <w:rFonts w:cs="Arial"/>
          <w:bCs/>
        </w:rPr>
        <w:t>Australian Bureau of Statistics’ Socio</w:t>
      </w:r>
      <w:r>
        <w:rPr>
          <w:rFonts w:cs="Arial"/>
          <w:bCs/>
        </w:rPr>
        <w:noBreakHyphen/>
        <w:t xml:space="preserve">Economic Indexes for Areas (“SEIFA”) which is a product that enables the assessment of the welfare of Australian communities based on census data relating to household income, education, employment, occupation, housing and other indicators of advantage and disadvantage.  The CIA states that the SEIFA analysis shows that the LCA is an area of </w:t>
      </w:r>
      <w:r w:rsidR="009940F9">
        <w:rPr>
          <w:rFonts w:cs="Arial"/>
          <w:bCs/>
        </w:rPr>
        <w:t xml:space="preserve">relatively </w:t>
      </w:r>
      <w:r>
        <w:rPr>
          <w:rFonts w:cs="Arial"/>
          <w:bCs/>
        </w:rPr>
        <w:t>high social advantage.</w:t>
      </w:r>
    </w:p>
    <w:p w:rsidR="003C76C1" w:rsidRDefault="003C76C1" w:rsidP="00160212">
      <w:pPr>
        <w:pStyle w:val="ListParagraph"/>
        <w:numPr>
          <w:ilvl w:val="0"/>
          <w:numId w:val="26"/>
        </w:numPr>
        <w:spacing w:after="240"/>
        <w:ind w:left="426" w:hanging="426"/>
        <w:jc w:val="both"/>
        <w:rPr>
          <w:rFonts w:cs="Arial"/>
        </w:rPr>
      </w:pPr>
      <w:r>
        <w:rPr>
          <w:rFonts w:cs="Arial"/>
          <w:bCs/>
        </w:rPr>
        <w:t>There are a number of ways to view the scores from the SEIFA, with one being through the decile score system where a ranking is given from 1 to 10 with 1 indicating that an area is in the bottom 10% of areas or</w:t>
      </w:r>
      <w:r w:rsidR="00C53B5A">
        <w:rPr>
          <w:rFonts w:cs="Arial"/>
          <w:bCs/>
        </w:rPr>
        <w:t>,</w:t>
      </w:r>
      <w:r>
        <w:rPr>
          <w:rFonts w:cs="Arial"/>
          <w:bCs/>
        </w:rPr>
        <w:t xml:space="preserve"> in other words, the most disadvantaged and 10 indicating that the area is in the top 10% of areas thus being the most advantaged</w:t>
      </w:r>
      <w:r w:rsidR="00C53B5A">
        <w:rPr>
          <w:rFonts w:cs="Arial"/>
          <w:bCs/>
        </w:rPr>
        <w:t xml:space="preserve"> by comparison</w:t>
      </w:r>
      <w:r>
        <w:rPr>
          <w:rFonts w:cs="Arial"/>
          <w:bCs/>
        </w:rPr>
        <w:t xml:space="preserve">.  Of the suburbs incorporated within the LCA, the decile scores range between 5 and 10 with the majority of the LCA being in the 8 to 10 </w:t>
      </w:r>
      <w:r w:rsidR="009940F9">
        <w:rPr>
          <w:rFonts w:cs="Arial"/>
          <w:bCs/>
        </w:rPr>
        <w:t xml:space="preserve">decile range.  </w:t>
      </w:r>
    </w:p>
    <w:p w:rsidR="003C76C1" w:rsidRPr="009D7C94" w:rsidRDefault="003C76C1" w:rsidP="00160212">
      <w:pPr>
        <w:pStyle w:val="ListParagraph"/>
        <w:keepLines/>
        <w:numPr>
          <w:ilvl w:val="0"/>
          <w:numId w:val="26"/>
        </w:numPr>
        <w:spacing w:after="240"/>
        <w:ind w:left="426" w:hanging="426"/>
        <w:jc w:val="both"/>
        <w:rPr>
          <w:rFonts w:cs="Arial"/>
          <w:bCs/>
        </w:rPr>
      </w:pPr>
      <w:r>
        <w:rPr>
          <w:rFonts w:cs="Arial"/>
          <w:bCs/>
        </w:rPr>
        <w:lastRenderedPageBreak/>
        <w:t>The CIA indicates that within the LCA there are only</w:t>
      </w:r>
      <w:r w:rsidR="00592EF8">
        <w:rPr>
          <w:rFonts w:cs="Arial"/>
          <w:bCs/>
        </w:rPr>
        <w:t xml:space="preserve"> two other gaming venues, </w:t>
      </w:r>
      <w:r>
        <w:rPr>
          <w:rFonts w:cs="Arial"/>
          <w:bCs/>
        </w:rPr>
        <w:t xml:space="preserve">being the </w:t>
      </w:r>
      <w:r w:rsidRPr="00761A80">
        <w:rPr>
          <w:rFonts w:cs="Arial"/>
          <w:bCs/>
        </w:rPr>
        <w:t xml:space="preserve">Casuarina </w:t>
      </w:r>
      <w:r w:rsidR="00761A80" w:rsidRPr="00761A80">
        <w:rPr>
          <w:rFonts w:cs="Arial"/>
          <w:bCs/>
        </w:rPr>
        <w:t>All Sports Club</w:t>
      </w:r>
      <w:r>
        <w:rPr>
          <w:rFonts w:cs="Arial"/>
          <w:bCs/>
        </w:rPr>
        <w:t xml:space="preserve"> and the Hibiscus Tavern</w:t>
      </w:r>
      <w:r w:rsidR="00761A80">
        <w:rPr>
          <w:rFonts w:cs="Arial"/>
          <w:bCs/>
        </w:rPr>
        <w:t xml:space="preserve"> which have authorisation for 55 and 20 gaming machines respectively</w:t>
      </w:r>
      <w:r>
        <w:rPr>
          <w:rFonts w:cs="Arial"/>
          <w:bCs/>
        </w:rPr>
        <w:t xml:space="preserve">. </w:t>
      </w:r>
      <w:r w:rsidR="009F4D67">
        <w:rPr>
          <w:rFonts w:cs="Arial"/>
          <w:bCs/>
        </w:rPr>
        <w:t xml:space="preserve"> </w:t>
      </w:r>
      <w:r>
        <w:rPr>
          <w:rFonts w:cs="Arial"/>
          <w:bCs/>
        </w:rPr>
        <w:t xml:space="preserve">Both of these venues have </w:t>
      </w:r>
      <w:r w:rsidR="00761A80">
        <w:rPr>
          <w:rFonts w:cs="Arial"/>
          <w:bCs/>
        </w:rPr>
        <w:t xml:space="preserve">had recent </w:t>
      </w:r>
      <w:r>
        <w:rPr>
          <w:rFonts w:cs="Arial"/>
          <w:bCs/>
        </w:rPr>
        <w:t>applica</w:t>
      </w:r>
      <w:r w:rsidR="00761A80">
        <w:rPr>
          <w:rFonts w:cs="Arial"/>
          <w:bCs/>
        </w:rPr>
        <w:t xml:space="preserve">tions </w:t>
      </w:r>
      <w:r>
        <w:rPr>
          <w:rFonts w:cs="Arial"/>
          <w:bCs/>
        </w:rPr>
        <w:t xml:space="preserve">for </w:t>
      </w:r>
      <w:r>
        <w:rPr>
          <w:rFonts w:cs="Arial"/>
          <w:szCs w:val="24"/>
        </w:rPr>
        <w:t>increase</w:t>
      </w:r>
      <w:r w:rsidR="00761A80">
        <w:rPr>
          <w:rFonts w:cs="Arial"/>
          <w:szCs w:val="24"/>
        </w:rPr>
        <w:t>s</w:t>
      </w:r>
      <w:r>
        <w:rPr>
          <w:rFonts w:cs="Arial"/>
          <w:szCs w:val="24"/>
        </w:rPr>
        <w:t xml:space="preserve"> in the number of gaming machines </w:t>
      </w:r>
      <w:r w:rsidR="00761A80">
        <w:rPr>
          <w:rFonts w:cs="Arial"/>
          <w:szCs w:val="24"/>
        </w:rPr>
        <w:t xml:space="preserve">approved </w:t>
      </w:r>
      <w:r w:rsidR="00592EF8">
        <w:rPr>
          <w:rFonts w:cs="Arial"/>
          <w:szCs w:val="24"/>
        </w:rPr>
        <w:t xml:space="preserve">by the Director-General </w:t>
      </w:r>
      <w:r w:rsidR="00761A80">
        <w:rPr>
          <w:rFonts w:cs="Arial"/>
          <w:szCs w:val="24"/>
        </w:rPr>
        <w:t>up to the maximum number allowable.  Whist the number of gaming machines in the LCA has increased by 20 in recent months the number of gaming machines per 1</w:t>
      </w:r>
      <w:r w:rsidR="009F4D67">
        <w:rPr>
          <w:rFonts w:cs="Arial"/>
          <w:szCs w:val="24"/>
        </w:rPr>
        <w:t xml:space="preserve"> </w:t>
      </w:r>
      <w:r w:rsidR="00761A80">
        <w:rPr>
          <w:rFonts w:cs="Arial"/>
          <w:szCs w:val="24"/>
        </w:rPr>
        <w:t>000 adult residents still falls below the comparative benchmarks.</w:t>
      </w:r>
      <w:r w:rsidR="009F4D67">
        <w:rPr>
          <w:rFonts w:cs="Arial"/>
          <w:szCs w:val="24"/>
        </w:rPr>
        <w:t xml:space="preserve"> </w:t>
      </w:r>
      <w:r w:rsidR="009D7C94">
        <w:rPr>
          <w:rFonts w:cs="Arial"/>
          <w:szCs w:val="24"/>
        </w:rPr>
        <w:t xml:space="preserve"> The CIA reports that the LCA has a slightly lower gaming machine density, with 61 machines per 10</w:t>
      </w:r>
      <w:r w:rsidR="009F4D67">
        <w:rPr>
          <w:rFonts w:cs="Arial"/>
          <w:szCs w:val="24"/>
        </w:rPr>
        <w:t xml:space="preserve"> </w:t>
      </w:r>
      <w:r w:rsidR="009D7C94">
        <w:rPr>
          <w:rFonts w:cs="Arial"/>
          <w:szCs w:val="24"/>
        </w:rPr>
        <w:t>000 residents compared to the Greater Darwin benchmark.</w:t>
      </w:r>
    </w:p>
    <w:p w:rsidR="00732767" w:rsidRDefault="00732767" w:rsidP="00160212">
      <w:pPr>
        <w:pStyle w:val="ListParagraph"/>
        <w:keepLines/>
        <w:numPr>
          <w:ilvl w:val="0"/>
          <w:numId w:val="26"/>
        </w:numPr>
        <w:spacing w:after="240"/>
        <w:ind w:left="426" w:hanging="426"/>
        <w:jc w:val="both"/>
        <w:rPr>
          <w:rFonts w:cs="Arial"/>
          <w:bCs/>
        </w:rPr>
      </w:pPr>
      <w:r>
        <w:rPr>
          <w:rFonts w:cs="Arial"/>
          <w:szCs w:val="24"/>
        </w:rPr>
        <w:t xml:space="preserve">Prior to the lifting of the cap on gaming machines the Club had a 45% market share of gaming machines in the LCA with </w:t>
      </w:r>
      <w:r w:rsidRPr="00761A80">
        <w:rPr>
          <w:rFonts w:cs="Arial"/>
          <w:bCs/>
        </w:rPr>
        <w:t>Casuarina All Sports Club</w:t>
      </w:r>
      <w:r>
        <w:rPr>
          <w:rFonts w:cs="Arial"/>
          <w:bCs/>
        </w:rPr>
        <w:t xml:space="preserve"> also enjoying a 45% share and the Hibiscus Tavern accounting for the remaining 10%.  That ratio will remain the same if the within application is approved as the other venues have recently received approval for an additional ten gaming machines respectively.</w:t>
      </w:r>
    </w:p>
    <w:p w:rsidR="003C76C1" w:rsidRPr="00486067" w:rsidRDefault="003C76C1" w:rsidP="00160212">
      <w:pPr>
        <w:pStyle w:val="ListParagraph"/>
        <w:numPr>
          <w:ilvl w:val="0"/>
          <w:numId w:val="26"/>
        </w:numPr>
        <w:spacing w:after="240"/>
        <w:ind w:left="426" w:hanging="426"/>
        <w:jc w:val="both"/>
        <w:rPr>
          <w:rFonts w:cs="Arial"/>
          <w:bCs/>
        </w:rPr>
      </w:pPr>
      <w:r w:rsidRPr="00486067">
        <w:rPr>
          <w:rFonts w:cs="Arial"/>
          <w:bCs/>
        </w:rPr>
        <w:t>It is evident that the accessibility to gaming machines by those people residing in the LCA will increa</w:t>
      </w:r>
      <w:r w:rsidR="00F03158" w:rsidRPr="00486067">
        <w:rPr>
          <w:rFonts w:cs="Arial"/>
          <w:bCs/>
        </w:rPr>
        <w:t>se should this application</w:t>
      </w:r>
      <w:r w:rsidRPr="00486067">
        <w:rPr>
          <w:rFonts w:cs="Arial"/>
          <w:bCs/>
        </w:rPr>
        <w:t xml:space="preserve"> be approved.  However, the SEIFA decile scores which identify that the LCA area is not regarded as an area of socio-economic deprivation also needs to be taken into consideration in determining whether an increase in accessibility to gaming machines within the LCA will lead to greater harm.  It would appear that the profile of the resident population living in the LCA does not mirror the profile of those most at-risk of experiencing harm from gambling.  </w:t>
      </w:r>
    </w:p>
    <w:p w:rsidR="003C76C1" w:rsidRPr="00590A64" w:rsidRDefault="00486067" w:rsidP="00160212">
      <w:pPr>
        <w:pStyle w:val="ListParagraph"/>
        <w:numPr>
          <w:ilvl w:val="0"/>
          <w:numId w:val="26"/>
        </w:numPr>
        <w:spacing w:after="240"/>
        <w:ind w:left="426" w:hanging="426"/>
        <w:jc w:val="both"/>
        <w:rPr>
          <w:rFonts w:cs="Arial"/>
          <w:bCs/>
        </w:rPr>
      </w:pPr>
      <w:r>
        <w:rPr>
          <w:rFonts w:cs="Arial"/>
          <w:bCs/>
        </w:rPr>
        <w:t>Whilst gaming machine density will</w:t>
      </w:r>
      <w:r w:rsidR="00592EF8">
        <w:rPr>
          <w:rFonts w:cs="Arial"/>
          <w:bCs/>
        </w:rPr>
        <w:t xml:space="preserve"> increase should this application </w:t>
      </w:r>
      <w:r w:rsidR="003C76C1">
        <w:rPr>
          <w:rFonts w:cs="Arial"/>
          <w:bCs/>
        </w:rPr>
        <w:t xml:space="preserve">be approved, the patron source for this </w:t>
      </w:r>
      <w:r w:rsidR="002A79F8">
        <w:rPr>
          <w:rFonts w:cs="Arial"/>
          <w:bCs/>
        </w:rPr>
        <w:t>Club</w:t>
      </w:r>
      <w:r w:rsidR="003C76C1">
        <w:rPr>
          <w:rFonts w:cs="Arial"/>
          <w:bCs/>
        </w:rPr>
        <w:t xml:space="preserve"> and others in thi</w:t>
      </w:r>
      <w:r>
        <w:rPr>
          <w:rFonts w:cs="Arial"/>
          <w:bCs/>
        </w:rPr>
        <w:t>s area is not restricted to only</w:t>
      </w:r>
      <w:r w:rsidR="003C76C1">
        <w:rPr>
          <w:rFonts w:cs="Arial"/>
          <w:bCs/>
        </w:rPr>
        <w:t xml:space="preserve"> residents of the LCA.  Although the LCA does not attract the same number of tourists and visitors as the Darwin City LCA, </w:t>
      </w:r>
      <w:r>
        <w:rPr>
          <w:rFonts w:cs="Arial"/>
          <w:bCs/>
        </w:rPr>
        <w:t>that category of client</w:t>
      </w:r>
      <w:r w:rsidR="003C76C1">
        <w:rPr>
          <w:rFonts w:cs="Arial"/>
          <w:bCs/>
        </w:rPr>
        <w:t xml:space="preserve"> account</w:t>
      </w:r>
      <w:r>
        <w:rPr>
          <w:rFonts w:cs="Arial"/>
          <w:bCs/>
        </w:rPr>
        <w:t>s</w:t>
      </w:r>
      <w:r w:rsidR="003C76C1">
        <w:rPr>
          <w:rFonts w:cs="Arial"/>
          <w:bCs/>
        </w:rPr>
        <w:t xml:space="preserve"> for 9.3% of t</w:t>
      </w:r>
      <w:r>
        <w:rPr>
          <w:rFonts w:cs="Arial"/>
          <w:bCs/>
        </w:rPr>
        <w:t>he Club’s</w:t>
      </w:r>
      <w:r w:rsidR="003C76C1">
        <w:rPr>
          <w:rFonts w:cs="Arial"/>
          <w:bCs/>
        </w:rPr>
        <w:t xml:space="preserve"> patronage, </w:t>
      </w:r>
      <w:r>
        <w:rPr>
          <w:rFonts w:cs="Arial"/>
          <w:bCs/>
        </w:rPr>
        <w:t xml:space="preserve">with the result </w:t>
      </w:r>
      <w:r w:rsidR="003C76C1">
        <w:rPr>
          <w:rFonts w:cs="Arial"/>
          <w:bCs/>
        </w:rPr>
        <w:t xml:space="preserve"> the actual gaming machine density may in fact be lower than current and projected figures if these additional </w:t>
      </w:r>
      <w:r>
        <w:rPr>
          <w:rFonts w:cs="Arial"/>
          <w:bCs/>
        </w:rPr>
        <w:t>patrons a</w:t>
      </w:r>
      <w:r w:rsidR="003C76C1">
        <w:rPr>
          <w:rFonts w:cs="Arial"/>
          <w:bCs/>
        </w:rPr>
        <w:t xml:space="preserve">re taken into account in gaming machine density calculations.  Considerations around problem gambling risk management and responsible gambling </w:t>
      </w:r>
      <w:r w:rsidR="003C76C1">
        <w:rPr>
          <w:rFonts w:cs="Arial"/>
          <w:szCs w:val="24"/>
        </w:rPr>
        <w:t xml:space="preserve">strategies implemented by the </w:t>
      </w:r>
      <w:r w:rsidR="002A79F8">
        <w:rPr>
          <w:rFonts w:cs="Arial"/>
          <w:szCs w:val="24"/>
        </w:rPr>
        <w:t>Club</w:t>
      </w:r>
      <w:r w:rsidR="003C76C1">
        <w:rPr>
          <w:rFonts w:cs="Arial"/>
          <w:szCs w:val="24"/>
        </w:rPr>
        <w:t xml:space="preserve"> must also be taken into account.</w:t>
      </w:r>
    </w:p>
    <w:p w:rsidR="003C76C1" w:rsidRDefault="003C76C1" w:rsidP="00160212">
      <w:pPr>
        <w:pStyle w:val="ListParagraph"/>
        <w:numPr>
          <w:ilvl w:val="0"/>
          <w:numId w:val="26"/>
        </w:numPr>
        <w:spacing w:after="240"/>
        <w:ind w:left="426" w:hanging="426"/>
        <w:jc w:val="both"/>
        <w:rPr>
          <w:rFonts w:cs="Arial"/>
          <w:bCs/>
        </w:rPr>
      </w:pPr>
      <w:r>
        <w:rPr>
          <w:rFonts w:cs="Arial"/>
          <w:bCs/>
        </w:rPr>
        <w:t xml:space="preserve">Pursuant to 41A(2)(c) of the Act, the CIA must provide details with respect to the proximity of the premises to sensitive areas such as schools, shopping centres, other community congregation facilities, welfare agencies, banks and pawn brokers.  In doing so, the CIA accompanying this application </w:t>
      </w:r>
      <w:r w:rsidR="00590A64">
        <w:rPr>
          <w:rFonts w:cs="Arial"/>
          <w:bCs/>
        </w:rPr>
        <w:t>states that there are no gambling sensitive sites within 400 metres of the Club.  However, the CIA does identify</w:t>
      </w:r>
      <w:r>
        <w:rPr>
          <w:rFonts w:cs="Arial"/>
          <w:bCs/>
        </w:rPr>
        <w:t xml:space="preserve"> a number of </w:t>
      </w:r>
      <w:r w:rsidR="00590A64">
        <w:rPr>
          <w:rFonts w:cs="Arial"/>
          <w:bCs/>
        </w:rPr>
        <w:t xml:space="preserve">gambling sensitive </w:t>
      </w:r>
      <w:r>
        <w:rPr>
          <w:rFonts w:cs="Arial"/>
          <w:bCs/>
        </w:rPr>
        <w:t xml:space="preserve">sites </w:t>
      </w:r>
      <w:r w:rsidR="009D7C94">
        <w:rPr>
          <w:rFonts w:cs="Arial"/>
          <w:bCs/>
        </w:rPr>
        <w:t>in the LCA</w:t>
      </w:r>
      <w:r w:rsidR="00590A64">
        <w:rPr>
          <w:rFonts w:cs="Arial"/>
          <w:bCs/>
        </w:rPr>
        <w:t xml:space="preserve"> </w:t>
      </w:r>
      <w:r>
        <w:rPr>
          <w:rFonts w:cs="Arial"/>
          <w:bCs/>
        </w:rPr>
        <w:t>including schools, churches, Casuarina Police Station, hospitals, St John Ambulance NT and several counselling services.  The CIA advises that with respect to these counselling services, none of them are dedicated to providing counselling in relation to gambling addiction.</w:t>
      </w:r>
      <w:r w:rsidR="00486067">
        <w:rPr>
          <w:rFonts w:cs="Arial"/>
          <w:bCs/>
        </w:rPr>
        <w:t xml:space="preserve">  In addition, there is no information available that suggests that tis </w:t>
      </w:r>
      <w:r w:rsidR="002A79F8">
        <w:rPr>
          <w:rFonts w:cs="Arial"/>
          <w:bCs/>
        </w:rPr>
        <w:t>Club</w:t>
      </w:r>
      <w:r w:rsidR="00486067">
        <w:rPr>
          <w:rFonts w:cs="Arial"/>
          <w:bCs/>
        </w:rPr>
        <w:t xml:space="preserve"> has had any adverse impacts on the identified gambling sensitive sites during the Club’s many years of existence, including the offering of gaming machine facilities.</w:t>
      </w:r>
    </w:p>
    <w:p w:rsidR="003C76C1" w:rsidRDefault="003C76C1" w:rsidP="00160212">
      <w:pPr>
        <w:pStyle w:val="ListParagraph"/>
        <w:numPr>
          <w:ilvl w:val="0"/>
          <w:numId w:val="26"/>
        </w:numPr>
        <w:spacing w:after="240"/>
        <w:ind w:left="426" w:hanging="426"/>
        <w:jc w:val="both"/>
        <w:rPr>
          <w:rFonts w:cs="Arial"/>
          <w:bCs/>
        </w:rPr>
      </w:pPr>
      <w:r>
        <w:rPr>
          <w:rFonts w:cs="Arial"/>
        </w:rPr>
        <w:t xml:space="preserve">The </w:t>
      </w:r>
      <w:r w:rsidR="002A79F8">
        <w:rPr>
          <w:rFonts w:cs="Arial"/>
        </w:rPr>
        <w:t>Club</w:t>
      </w:r>
      <w:r>
        <w:rPr>
          <w:rFonts w:cs="Arial"/>
        </w:rPr>
        <w:t xml:space="preserve"> currently holds a gaming machine licence and on the basis of the information available above, I am satisfied that the </w:t>
      </w:r>
      <w:r w:rsidR="002A79F8">
        <w:rPr>
          <w:rFonts w:cs="Arial"/>
        </w:rPr>
        <w:t>Club</w:t>
      </w:r>
      <w:r>
        <w:rPr>
          <w:rFonts w:cs="Arial"/>
        </w:rPr>
        <w:t>’s location continues to be suitable for the operation of gaming machines.</w:t>
      </w:r>
    </w:p>
    <w:p w:rsidR="003C76C1" w:rsidRPr="00265401" w:rsidRDefault="003C76C1" w:rsidP="009F4D67">
      <w:pPr>
        <w:pStyle w:val="ListParagraph"/>
        <w:keepNext/>
        <w:spacing w:after="120"/>
        <w:ind w:left="0"/>
        <w:jc w:val="both"/>
        <w:rPr>
          <w:rStyle w:val="Emphasis"/>
          <w:b/>
          <w:i w:val="0"/>
        </w:rPr>
      </w:pPr>
      <w:r w:rsidRPr="00265401">
        <w:rPr>
          <w:rStyle w:val="Emphasis"/>
          <w:b/>
          <w:i w:val="0"/>
        </w:rPr>
        <w:lastRenderedPageBreak/>
        <w:t>Appropriateness of problem gambling risk management and responsible gambling strategies</w:t>
      </w:r>
    </w:p>
    <w:p w:rsidR="003C76C1" w:rsidRDefault="00486067" w:rsidP="009F4D67">
      <w:pPr>
        <w:pStyle w:val="ListParagraph"/>
        <w:keepLines/>
        <w:numPr>
          <w:ilvl w:val="0"/>
          <w:numId w:val="26"/>
        </w:numPr>
        <w:spacing w:after="240"/>
        <w:ind w:left="425" w:hanging="425"/>
        <w:jc w:val="both"/>
        <w:rPr>
          <w:rFonts w:cs="Arial"/>
          <w:bCs/>
        </w:rPr>
      </w:pPr>
      <w:r>
        <w:rPr>
          <w:rFonts w:cs="Arial"/>
          <w:bCs/>
        </w:rPr>
        <w:t xml:space="preserve">The CIA refers </w:t>
      </w:r>
      <w:r w:rsidR="003C76C1">
        <w:rPr>
          <w:rFonts w:cs="Arial"/>
          <w:bCs/>
        </w:rPr>
        <w:t>to the 2014 report ‘Gambling Harm in the Northern Territory: An Atlas</w:t>
      </w:r>
      <w:r>
        <w:rPr>
          <w:rFonts w:cs="Arial"/>
          <w:bCs/>
        </w:rPr>
        <w:t xml:space="preserve"> of Venue Catchments’, </w:t>
      </w:r>
      <w:r w:rsidR="003C76C1">
        <w:rPr>
          <w:rFonts w:cs="Arial"/>
          <w:bCs/>
        </w:rPr>
        <w:t>a report prepared for the Community Benefit Committee through the Department of Business in May 2014</w:t>
      </w:r>
      <w:r w:rsidR="007938DA">
        <w:rPr>
          <w:rFonts w:cs="Arial"/>
          <w:bCs/>
        </w:rPr>
        <w:t xml:space="preserve">.  The report </w:t>
      </w:r>
      <w:r>
        <w:rPr>
          <w:rFonts w:cs="Arial"/>
          <w:bCs/>
        </w:rPr>
        <w:t>found</w:t>
      </w:r>
      <w:r w:rsidR="003C76C1">
        <w:rPr>
          <w:rFonts w:cs="Arial"/>
          <w:bCs/>
        </w:rPr>
        <w:t xml:space="preserve"> </w:t>
      </w:r>
      <w:r w:rsidR="007938DA">
        <w:rPr>
          <w:rFonts w:cs="Arial"/>
          <w:bCs/>
        </w:rPr>
        <w:t xml:space="preserve">that </w:t>
      </w:r>
      <w:r w:rsidR="003C76C1">
        <w:rPr>
          <w:rFonts w:cs="Arial"/>
          <w:bCs/>
        </w:rPr>
        <w:t>84% of residents within the Northern Territory present as non-problem gamblers, with the remaining being of either low, moderate or high ris</w:t>
      </w:r>
      <w:r w:rsidR="007938DA">
        <w:rPr>
          <w:rFonts w:cs="Arial"/>
          <w:bCs/>
        </w:rPr>
        <w:t xml:space="preserve">k.  Due to a low response rate </w:t>
      </w:r>
      <w:r w:rsidR="003C76C1">
        <w:rPr>
          <w:rFonts w:cs="Arial"/>
          <w:bCs/>
        </w:rPr>
        <w:t xml:space="preserve"> caution is </w:t>
      </w:r>
      <w:r w:rsidR="00EA37E4">
        <w:rPr>
          <w:rFonts w:cs="Arial"/>
          <w:bCs/>
        </w:rPr>
        <w:t>required</w:t>
      </w:r>
      <w:r w:rsidR="003C76C1">
        <w:rPr>
          <w:rFonts w:cs="Arial"/>
          <w:bCs/>
        </w:rPr>
        <w:t xml:space="preserve"> in relying on figures provided due to the low level of respondents.  </w:t>
      </w:r>
      <w:r w:rsidR="00EA37E4">
        <w:rPr>
          <w:rFonts w:cs="Arial"/>
          <w:bCs/>
        </w:rPr>
        <w:t>T</w:t>
      </w:r>
      <w:r w:rsidR="007938DA">
        <w:rPr>
          <w:rFonts w:cs="Arial"/>
          <w:bCs/>
        </w:rPr>
        <w:t>he CIA reports that, for the Club, 80.3% of patrons were assessed as non-problem gamblers, 1.2% were in the high risk category, 8.7% were assessed as moderate risk gamblers with 9.8% rated as low risk.  The CIA reports that the Club has a higher proportion of moderate risk problem gamblers and a lesser proportion of non-problem and high risk gamblers that the Darwin LGA.</w:t>
      </w:r>
      <w:r w:rsidR="00EA37E4">
        <w:rPr>
          <w:rFonts w:cs="Arial"/>
          <w:bCs/>
        </w:rPr>
        <w:t xml:space="preserve"> </w:t>
      </w:r>
    </w:p>
    <w:p w:rsidR="00732767" w:rsidRPr="00816026" w:rsidRDefault="003C76C1" w:rsidP="00816026">
      <w:pPr>
        <w:pStyle w:val="ListParagraph"/>
        <w:numPr>
          <w:ilvl w:val="0"/>
          <w:numId w:val="26"/>
        </w:numPr>
        <w:spacing w:after="240"/>
        <w:ind w:left="426" w:hanging="426"/>
        <w:jc w:val="both"/>
        <w:rPr>
          <w:rFonts w:cs="Arial"/>
          <w:bCs/>
        </w:rPr>
      </w:pPr>
      <w:r>
        <w:rPr>
          <w:rFonts w:cs="Arial"/>
          <w:bCs/>
        </w:rPr>
        <w:t xml:space="preserve">The CIA also sets out the policy and procedures underpinning the responsible delivery of gaming services relevant to the </w:t>
      </w:r>
      <w:r w:rsidR="002A79F8">
        <w:rPr>
          <w:rFonts w:cs="Arial"/>
          <w:bCs/>
        </w:rPr>
        <w:t>Club</w:t>
      </w:r>
      <w:r>
        <w:rPr>
          <w:rFonts w:cs="Arial"/>
          <w:bCs/>
        </w:rPr>
        <w:t xml:space="preserve"> in some detail.  Harm minimisation strategies and measures including exclusion provisions, cash limits, restrictions on cheque cashing and the location of Automatic Teller Machines away from the gaming room are stated to be in </w:t>
      </w:r>
      <w:r>
        <w:rPr>
          <w:rFonts w:cs="Arial"/>
          <w:szCs w:val="24"/>
        </w:rPr>
        <w:t>existence</w:t>
      </w:r>
      <w:r>
        <w:rPr>
          <w:rFonts w:cs="Arial"/>
          <w:bCs/>
        </w:rPr>
        <w:t xml:space="preserve"> at the </w:t>
      </w:r>
      <w:r w:rsidR="002A79F8">
        <w:rPr>
          <w:rFonts w:cs="Arial"/>
          <w:bCs/>
        </w:rPr>
        <w:t>Club</w:t>
      </w:r>
      <w:r>
        <w:rPr>
          <w:rFonts w:cs="Arial"/>
          <w:bCs/>
        </w:rPr>
        <w:t xml:space="preserve">.  These are also requirements that must be met to ensure the </w:t>
      </w:r>
      <w:r w:rsidR="002A79F8">
        <w:rPr>
          <w:rFonts w:cs="Arial"/>
          <w:bCs/>
        </w:rPr>
        <w:t>Club</w:t>
      </w:r>
      <w:r>
        <w:rPr>
          <w:rFonts w:cs="Arial"/>
          <w:bCs/>
        </w:rPr>
        <w:t xml:space="preserve"> complies with gaming machine audits that are conducted by Licensing NT officers on a </w:t>
      </w:r>
      <w:r w:rsidR="00EA37E4">
        <w:rPr>
          <w:rFonts w:cs="Arial"/>
          <w:bCs/>
        </w:rPr>
        <w:t>periodic</w:t>
      </w:r>
      <w:r>
        <w:rPr>
          <w:rFonts w:cs="Arial"/>
          <w:bCs/>
        </w:rPr>
        <w:t xml:space="preserve"> basis. </w:t>
      </w:r>
      <w:r w:rsidR="009F4D67">
        <w:rPr>
          <w:rFonts w:cs="Arial"/>
          <w:bCs/>
        </w:rPr>
        <w:t xml:space="preserve"> </w:t>
      </w:r>
      <w:r w:rsidR="00732767" w:rsidRPr="00816026">
        <w:rPr>
          <w:rFonts w:cs="Arial"/>
          <w:bCs/>
        </w:rPr>
        <w:t>Currently ten patrons of the Club are subject to self-exclusion arrangements</w:t>
      </w:r>
    </w:p>
    <w:p w:rsidR="003C76C1" w:rsidRDefault="003C76C1" w:rsidP="009D7C94">
      <w:pPr>
        <w:pStyle w:val="ListParagraph"/>
        <w:keepLines/>
        <w:numPr>
          <w:ilvl w:val="0"/>
          <w:numId w:val="26"/>
        </w:numPr>
        <w:spacing w:after="240"/>
        <w:ind w:left="426" w:hanging="426"/>
        <w:jc w:val="both"/>
        <w:rPr>
          <w:rFonts w:cs="Arial"/>
          <w:bCs/>
        </w:rPr>
      </w:pPr>
      <w:r>
        <w:rPr>
          <w:rFonts w:cs="Arial"/>
          <w:bCs/>
        </w:rPr>
        <w:t xml:space="preserve">The policies in place at the </w:t>
      </w:r>
      <w:r w:rsidR="002A79F8">
        <w:rPr>
          <w:rFonts w:cs="Arial"/>
          <w:bCs/>
        </w:rPr>
        <w:t>Club</w:t>
      </w:r>
      <w:r>
        <w:rPr>
          <w:rFonts w:cs="Arial"/>
          <w:bCs/>
        </w:rPr>
        <w:t xml:space="preserve"> at present are compliant with the current Code of Practice for Responsible Gambling in the Northern Territory and there is no indication that an </w:t>
      </w:r>
      <w:r>
        <w:rPr>
          <w:rFonts w:cs="Arial"/>
          <w:szCs w:val="24"/>
        </w:rPr>
        <w:t>increase</w:t>
      </w:r>
      <w:r>
        <w:rPr>
          <w:rFonts w:cs="Arial"/>
          <w:bCs/>
        </w:rPr>
        <w:t xml:space="preserve"> in the number of gaming machines at the </w:t>
      </w:r>
      <w:r w:rsidR="002A79F8">
        <w:rPr>
          <w:rFonts w:cs="Arial"/>
          <w:bCs/>
        </w:rPr>
        <w:t>Club</w:t>
      </w:r>
      <w:r>
        <w:rPr>
          <w:rFonts w:cs="Arial"/>
          <w:bCs/>
        </w:rPr>
        <w:t xml:space="preserve"> would require any amendment or addition to those policies or existing procedures relating to the management and monitoring of gaming. </w:t>
      </w:r>
    </w:p>
    <w:p w:rsidR="003C76C1" w:rsidRPr="00265401" w:rsidRDefault="003C76C1" w:rsidP="003C76C1">
      <w:pPr>
        <w:pStyle w:val="ListParagraph"/>
        <w:spacing w:after="120"/>
        <w:ind w:left="0"/>
        <w:jc w:val="both"/>
        <w:rPr>
          <w:rStyle w:val="Emphasis"/>
          <w:b/>
          <w:i w:val="0"/>
        </w:rPr>
      </w:pPr>
      <w:r w:rsidRPr="00265401">
        <w:rPr>
          <w:rStyle w:val="Emphasis"/>
          <w:b/>
          <w:i w:val="0"/>
        </w:rPr>
        <w:t>Economic impact - contribution to the community, employment creation and significance/reliance of the venue to or on tourism</w:t>
      </w:r>
    </w:p>
    <w:p w:rsidR="00073ECA" w:rsidRDefault="003C76C1" w:rsidP="00160212">
      <w:pPr>
        <w:pStyle w:val="ListParagraph"/>
        <w:numPr>
          <w:ilvl w:val="0"/>
          <w:numId w:val="26"/>
        </w:numPr>
        <w:spacing w:after="240"/>
        <w:ind w:left="426" w:hanging="425"/>
        <w:jc w:val="both"/>
        <w:rPr>
          <w:rFonts w:cs="Arial"/>
          <w:bCs/>
        </w:rPr>
      </w:pPr>
      <w:r>
        <w:rPr>
          <w:rFonts w:cs="Arial"/>
          <w:bCs/>
        </w:rPr>
        <w:t xml:space="preserve">The CIA states that the </w:t>
      </w:r>
      <w:r w:rsidR="002A79F8">
        <w:rPr>
          <w:rFonts w:cs="Arial"/>
          <w:bCs/>
        </w:rPr>
        <w:t>Club</w:t>
      </w:r>
      <w:r>
        <w:rPr>
          <w:rFonts w:cs="Arial"/>
          <w:bCs/>
        </w:rPr>
        <w:t xml:space="preserve"> currently employs</w:t>
      </w:r>
      <w:r w:rsidR="00EA37E4">
        <w:rPr>
          <w:rFonts w:cs="Arial"/>
          <w:bCs/>
        </w:rPr>
        <w:t xml:space="preserve"> 46 local staff (17 full </w:t>
      </w:r>
      <w:proofErr w:type="gramStart"/>
      <w:r w:rsidR="00EA37E4">
        <w:rPr>
          <w:rFonts w:cs="Arial"/>
          <w:bCs/>
        </w:rPr>
        <w:t>time</w:t>
      </w:r>
      <w:proofErr w:type="gramEnd"/>
      <w:r w:rsidR="00EA37E4">
        <w:rPr>
          <w:rFonts w:cs="Arial"/>
          <w:bCs/>
        </w:rPr>
        <w:t>, two</w:t>
      </w:r>
      <w:r>
        <w:rPr>
          <w:rFonts w:cs="Arial"/>
          <w:bCs/>
        </w:rPr>
        <w:t xml:space="preserve"> part time and 27 casual) and that they anticipate that if this application is granted that they </w:t>
      </w:r>
      <w:r w:rsidR="00EA37E4">
        <w:rPr>
          <w:rFonts w:cs="Arial"/>
          <w:bCs/>
        </w:rPr>
        <w:t>will need to employ additional three</w:t>
      </w:r>
      <w:r>
        <w:rPr>
          <w:rFonts w:cs="Arial"/>
          <w:bCs/>
        </w:rPr>
        <w:t xml:space="preserve"> staff to cater for the increased patronage, as well as increase the hours of the current employees. </w:t>
      </w:r>
    </w:p>
    <w:p w:rsidR="003C76C1" w:rsidRDefault="00073ECA" w:rsidP="00160212">
      <w:pPr>
        <w:pStyle w:val="ListParagraph"/>
        <w:numPr>
          <w:ilvl w:val="0"/>
          <w:numId w:val="26"/>
        </w:numPr>
        <w:spacing w:after="240"/>
        <w:ind w:left="426" w:hanging="425"/>
        <w:jc w:val="both"/>
        <w:rPr>
          <w:rFonts w:cs="Arial"/>
          <w:bCs/>
        </w:rPr>
      </w:pPr>
      <w:r>
        <w:rPr>
          <w:rFonts w:cs="Arial"/>
          <w:bCs/>
        </w:rPr>
        <w:t>The CIA reports that the Club is a strong contributor to the local community with total contributions to community organisations exceeding $350</w:t>
      </w:r>
      <w:r w:rsidR="009F4D67">
        <w:rPr>
          <w:rFonts w:cs="Arial"/>
          <w:bCs/>
        </w:rPr>
        <w:t xml:space="preserve"> </w:t>
      </w:r>
      <w:r>
        <w:rPr>
          <w:rFonts w:cs="Arial"/>
          <w:bCs/>
        </w:rPr>
        <w:t>000 in 2015.  Recipients included the Wagaman Primary School, Sids and Kids, Darwin Animal Rescue, Lions Club and St</w:t>
      </w:r>
      <w:r w:rsidR="009F4D67">
        <w:rPr>
          <w:rFonts w:cs="Arial"/>
          <w:bCs/>
        </w:rPr>
        <w:t> </w:t>
      </w:r>
      <w:r>
        <w:rPr>
          <w:rFonts w:cs="Arial"/>
          <w:bCs/>
        </w:rPr>
        <w:t>Vincent’s de Paul</w:t>
      </w:r>
      <w:proofErr w:type="gramStart"/>
      <w:r>
        <w:rPr>
          <w:rFonts w:cs="Arial"/>
          <w:bCs/>
        </w:rPr>
        <w:t xml:space="preserve">.  </w:t>
      </w:r>
      <w:proofErr w:type="gramEnd"/>
      <w:r w:rsidR="00013209">
        <w:rPr>
          <w:rFonts w:cs="Arial"/>
          <w:bCs/>
        </w:rPr>
        <w:t xml:space="preserve">The Club also contributes significantly to its affiliated local sports clubs.  </w:t>
      </w:r>
      <w:r>
        <w:rPr>
          <w:rFonts w:cs="Arial"/>
          <w:bCs/>
        </w:rPr>
        <w:t>The CIA states that the anticipated additional gaming machine revenue will result in greater donations to the local community.</w:t>
      </w:r>
      <w:r w:rsidR="003C76C1">
        <w:rPr>
          <w:rFonts w:cs="Arial"/>
          <w:bCs/>
        </w:rPr>
        <w:t xml:space="preserve"> </w:t>
      </w:r>
    </w:p>
    <w:p w:rsidR="003C76C1" w:rsidRDefault="003C76C1" w:rsidP="00160212">
      <w:pPr>
        <w:pStyle w:val="ListParagraph"/>
        <w:numPr>
          <w:ilvl w:val="0"/>
          <w:numId w:val="26"/>
        </w:numPr>
        <w:spacing w:after="240"/>
        <w:ind w:left="426" w:hanging="425"/>
        <w:jc w:val="both"/>
        <w:rPr>
          <w:rFonts w:cs="Arial"/>
          <w:szCs w:val="24"/>
        </w:rPr>
      </w:pPr>
      <w:r>
        <w:rPr>
          <w:rFonts w:cs="Arial"/>
          <w:bCs/>
        </w:rPr>
        <w:t xml:space="preserve">The CIA states that data from the Census of 2011 indicates that 9.3% of the persons present in the LCA on census night were visitors.  The CIA also presents </w:t>
      </w:r>
      <w:r w:rsidR="00EA37E4">
        <w:rPr>
          <w:rFonts w:cs="Arial"/>
          <w:bCs/>
        </w:rPr>
        <w:t>considerable</w:t>
      </w:r>
      <w:r>
        <w:rPr>
          <w:rFonts w:cs="Arial"/>
          <w:bCs/>
        </w:rPr>
        <w:t xml:space="preserve"> data pertaining to tourism with these statistics </w:t>
      </w:r>
      <w:r w:rsidR="00EA37E4">
        <w:rPr>
          <w:rFonts w:cs="Arial"/>
          <w:bCs/>
        </w:rPr>
        <w:t>indicating</w:t>
      </w:r>
      <w:r>
        <w:rPr>
          <w:rFonts w:cs="Arial"/>
          <w:bCs/>
        </w:rPr>
        <w:t xml:space="preserve"> that the LCA continues to attract visitors to the area.</w:t>
      </w:r>
    </w:p>
    <w:p w:rsidR="003C76C1" w:rsidRDefault="003C76C1" w:rsidP="003C76C1">
      <w:pPr>
        <w:pStyle w:val="Heading3"/>
      </w:pPr>
      <w:r>
        <w:t>Written submissions in response to the application</w:t>
      </w:r>
    </w:p>
    <w:p w:rsidR="003C76C1" w:rsidRDefault="003C76C1" w:rsidP="00160212">
      <w:pPr>
        <w:pStyle w:val="ListParagraph"/>
        <w:numPr>
          <w:ilvl w:val="0"/>
          <w:numId w:val="26"/>
        </w:numPr>
        <w:spacing w:after="240"/>
        <w:ind w:left="426" w:hanging="426"/>
        <w:jc w:val="both"/>
        <w:rPr>
          <w:rFonts w:cs="Arial"/>
          <w:szCs w:val="24"/>
        </w:rPr>
      </w:pPr>
      <w:r>
        <w:rPr>
          <w:rFonts w:cs="Arial"/>
          <w:szCs w:val="24"/>
        </w:rPr>
        <w:t>As required by section 41B of the Act, notification of the application was advertised in the Northern Territory News on 5 August 2015.  Pursuant to the Act, a written submission may be made to the Director-General within 30 days of the notification.  One submission was received from Amity Community Services Inc. (“Amity”)</w:t>
      </w:r>
      <w:r w:rsidR="009F4D67">
        <w:rPr>
          <w:rFonts w:cs="Arial"/>
          <w:szCs w:val="24"/>
        </w:rPr>
        <w:t>,</w:t>
      </w:r>
      <w:r>
        <w:rPr>
          <w:rFonts w:cs="Arial"/>
          <w:szCs w:val="24"/>
        </w:rPr>
        <w:t xml:space="preserve"> with the submission being in the form of a response to the Community Representative Feedback survey in respect of the application and a position paper.</w:t>
      </w:r>
    </w:p>
    <w:p w:rsidR="003C76C1" w:rsidRDefault="003C76C1" w:rsidP="00160212">
      <w:pPr>
        <w:pStyle w:val="ListParagraph"/>
        <w:keepLines/>
        <w:numPr>
          <w:ilvl w:val="0"/>
          <w:numId w:val="26"/>
        </w:numPr>
        <w:spacing w:after="240"/>
        <w:ind w:left="425" w:hanging="425"/>
        <w:jc w:val="both"/>
        <w:rPr>
          <w:rFonts w:cs="Arial"/>
          <w:szCs w:val="24"/>
        </w:rPr>
      </w:pPr>
      <w:r>
        <w:rPr>
          <w:rFonts w:cs="Arial"/>
          <w:bCs/>
        </w:rPr>
        <w:lastRenderedPageBreak/>
        <w:t>The submission states that Amity has been working in the area of gambling for over two decades and</w:t>
      </w:r>
      <w:r>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 </w:t>
      </w:r>
    </w:p>
    <w:p w:rsidR="003C76C1" w:rsidRDefault="003C76C1" w:rsidP="00160212">
      <w:pPr>
        <w:pStyle w:val="ListParagraph"/>
        <w:keepLines/>
        <w:numPr>
          <w:ilvl w:val="0"/>
          <w:numId w:val="26"/>
        </w:numPr>
        <w:spacing w:after="240"/>
        <w:ind w:left="425" w:hanging="425"/>
        <w:jc w:val="both"/>
        <w:rPr>
          <w:rFonts w:cs="Arial"/>
          <w:szCs w:val="24"/>
        </w:rPr>
      </w:pPr>
      <w:r>
        <w:rPr>
          <w:rFonts w:cs="Arial"/>
          <w:szCs w:val="24"/>
        </w:rPr>
        <w:t>Amity works predominately in the areas of prevention of and intervention in problem gambling areas by providing extensive training, education, community liaison and health promotion in consultation with the gambling industry.  Amity provides its services throughout the Northern Territory with the aim of implementing harm minimisation strategies for safer gambling.</w:t>
      </w:r>
    </w:p>
    <w:p w:rsidR="003C76C1" w:rsidRDefault="003C76C1" w:rsidP="00160212">
      <w:pPr>
        <w:pStyle w:val="ListParagraph"/>
        <w:numPr>
          <w:ilvl w:val="0"/>
          <w:numId w:val="26"/>
        </w:numPr>
        <w:spacing w:after="240"/>
        <w:ind w:left="425" w:hanging="425"/>
        <w:jc w:val="both"/>
        <w:rPr>
          <w:rFonts w:cs="Arial"/>
          <w:szCs w:val="24"/>
        </w:rPr>
      </w:pPr>
      <w:r>
        <w:rPr>
          <w:rFonts w:cs="Arial"/>
          <w:szCs w:val="24"/>
        </w:rPr>
        <w:t xml:space="preserve">Amity does not support the application to increase </w:t>
      </w:r>
      <w:r w:rsidR="00EA37E4">
        <w:rPr>
          <w:rFonts w:cs="Arial"/>
          <w:szCs w:val="24"/>
        </w:rPr>
        <w:t>the gaming machines at the Club</w:t>
      </w:r>
      <w:r>
        <w:rPr>
          <w:rFonts w:cs="Arial"/>
          <w:szCs w:val="24"/>
        </w:rPr>
        <w:t>, or generally throughout licensed hotels and clubs in the Northern Territory community.  Amity is of the view, based on their review of the balance of research on the issue of gambling outcomes, that an increase in gaming machines in the community will have an overall negative effect on the health, social and economic welfare of at least a proportion of the population of the Northern Territory.</w:t>
      </w:r>
    </w:p>
    <w:p w:rsidR="003C76C1" w:rsidRDefault="003C76C1" w:rsidP="00160212">
      <w:pPr>
        <w:pStyle w:val="ListParagraph"/>
        <w:numPr>
          <w:ilvl w:val="0"/>
          <w:numId w:val="26"/>
        </w:numPr>
        <w:spacing w:after="240"/>
        <w:ind w:left="425" w:hanging="425"/>
        <w:jc w:val="both"/>
        <w:rPr>
          <w:rFonts w:cs="Arial"/>
          <w:szCs w:val="24"/>
        </w:rPr>
      </w:pPr>
      <w:r>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Northern Territory.</w:t>
      </w:r>
    </w:p>
    <w:p w:rsidR="003C76C1" w:rsidRDefault="003C76C1" w:rsidP="00160212">
      <w:pPr>
        <w:pStyle w:val="ListParagraph"/>
        <w:numPr>
          <w:ilvl w:val="0"/>
          <w:numId w:val="26"/>
        </w:numPr>
        <w:spacing w:after="240"/>
        <w:ind w:left="425" w:hanging="425"/>
        <w:jc w:val="both"/>
        <w:rPr>
          <w:rFonts w:cs="Arial"/>
          <w:szCs w:val="24"/>
        </w:rPr>
      </w:pPr>
      <w:r>
        <w:rPr>
          <w:rFonts w:cs="Arial"/>
          <w:szCs w:val="24"/>
        </w:rPr>
        <w:t>Amity states that research further indicates that 27% of the adult population in the Northern Territory participate in the use of gaming machines and proble</w:t>
      </w:r>
      <w:r w:rsidR="00EA37E4">
        <w:rPr>
          <w:rFonts w:cs="Arial"/>
          <w:szCs w:val="24"/>
        </w:rPr>
        <w:t>m gamblers spend on average $30</w:t>
      </w:r>
      <w:r w:rsidR="009F4D67">
        <w:rPr>
          <w:rFonts w:cs="Arial"/>
          <w:szCs w:val="24"/>
        </w:rPr>
        <w:t xml:space="preserve"> </w:t>
      </w:r>
      <w:r>
        <w:rPr>
          <w:rFonts w:cs="Arial"/>
          <w:szCs w:val="24"/>
        </w:rPr>
        <w:t>000 per annum.  During 2012-13, Amity state that the average net loss by players in community venues (pubs &amp; clubs) in the Northern Territory was $141 per machine, per da</w:t>
      </w:r>
      <w:r w:rsidR="00EA37E4">
        <w:rPr>
          <w:rFonts w:cs="Arial"/>
          <w:szCs w:val="24"/>
        </w:rPr>
        <w:t>y equating to approximately $50</w:t>
      </w:r>
      <w:r w:rsidR="009F4D67">
        <w:rPr>
          <w:rFonts w:cs="Arial"/>
          <w:szCs w:val="24"/>
        </w:rPr>
        <w:t xml:space="preserve"> </w:t>
      </w:r>
      <w:r>
        <w:rPr>
          <w:rFonts w:cs="Arial"/>
          <w:szCs w:val="24"/>
        </w:rPr>
        <w:t>000 per machine per year.</w:t>
      </w:r>
    </w:p>
    <w:p w:rsidR="003C76C1" w:rsidRDefault="003C76C1" w:rsidP="00160212">
      <w:pPr>
        <w:pStyle w:val="ListParagraph"/>
        <w:keepLines/>
        <w:numPr>
          <w:ilvl w:val="0"/>
          <w:numId w:val="26"/>
        </w:numPr>
        <w:spacing w:after="240"/>
        <w:ind w:left="425" w:hanging="425"/>
        <w:jc w:val="both"/>
        <w:rPr>
          <w:rFonts w:cs="Arial"/>
          <w:szCs w:val="24"/>
        </w:rPr>
      </w:pPr>
      <w:r>
        <w:rPr>
          <w:rFonts w:cs="Arial"/>
          <w:szCs w:val="24"/>
        </w:rPr>
        <w:t>Amity submits that Darwin</w:t>
      </w:r>
      <w:r w:rsidR="00EA37E4">
        <w:rPr>
          <w:rFonts w:cs="Arial"/>
          <w:szCs w:val="24"/>
        </w:rPr>
        <w:t xml:space="preserve"> has a general population of 81</w:t>
      </w:r>
      <w:r w:rsidR="009F4D67">
        <w:rPr>
          <w:rFonts w:cs="Arial"/>
          <w:szCs w:val="24"/>
        </w:rPr>
        <w:t xml:space="preserve"> </w:t>
      </w:r>
      <w:r>
        <w:rPr>
          <w:rFonts w:cs="Arial"/>
          <w:szCs w:val="24"/>
        </w:rPr>
        <w:t>670, including person</w:t>
      </w:r>
      <w:r w:rsidR="00EA37E4">
        <w:rPr>
          <w:rFonts w:cs="Arial"/>
          <w:szCs w:val="24"/>
        </w:rPr>
        <w:t>s below 18 years of age, with 1</w:t>
      </w:r>
      <w:r w:rsidR="009F4D67">
        <w:rPr>
          <w:rFonts w:cs="Arial"/>
          <w:szCs w:val="24"/>
        </w:rPr>
        <w:t xml:space="preserve"> </w:t>
      </w:r>
      <w:r>
        <w:rPr>
          <w:rFonts w:cs="Arial"/>
          <w:szCs w:val="24"/>
        </w:rPr>
        <w:t>191 gaming machines located in the hot</w:t>
      </w:r>
      <w:r w:rsidR="00EA37E4">
        <w:rPr>
          <w:rFonts w:cs="Arial"/>
          <w:szCs w:val="24"/>
        </w:rPr>
        <w:t xml:space="preserve">els, clubs and the casino equating  to 14.6 gaming </w:t>
      </w:r>
      <w:r w:rsidR="00F9258F">
        <w:rPr>
          <w:rFonts w:cs="Arial"/>
          <w:szCs w:val="24"/>
        </w:rPr>
        <w:t xml:space="preserve">machines per 1 </w:t>
      </w:r>
      <w:r>
        <w:rPr>
          <w:rFonts w:cs="Arial"/>
          <w:szCs w:val="24"/>
        </w:rPr>
        <w:t>000 head of population.  Amity states that in 2014, the Australasian Gaming Council indicated that the national average for gaming machines was 11 mac</w:t>
      </w:r>
      <w:r w:rsidR="00EA37E4">
        <w:rPr>
          <w:rFonts w:cs="Arial"/>
          <w:szCs w:val="24"/>
        </w:rPr>
        <w:t>hines per 1</w:t>
      </w:r>
      <w:r w:rsidR="009F4D67">
        <w:rPr>
          <w:rFonts w:cs="Arial"/>
          <w:szCs w:val="24"/>
        </w:rPr>
        <w:t xml:space="preserve"> </w:t>
      </w:r>
      <w:r>
        <w:rPr>
          <w:rFonts w:cs="Arial"/>
          <w:szCs w:val="24"/>
        </w:rPr>
        <w:t>000 adults indicating a much higher gaming machine density in Darwin compared to the national average.  Amity suggests there is a plethora of evidence that demonstrates communities experiencing widespread social and economic problems are those communities with a higher concentration of convenience gambling.</w:t>
      </w:r>
    </w:p>
    <w:p w:rsidR="003C76C1" w:rsidRPr="00EA37E4" w:rsidRDefault="003C76C1" w:rsidP="00160212">
      <w:pPr>
        <w:pStyle w:val="ListParagraph"/>
        <w:numPr>
          <w:ilvl w:val="0"/>
          <w:numId w:val="26"/>
        </w:numPr>
        <w:spacing w:after="240"/>
        <w:ind w:left="425" w:hanging="425"/>
        <w:jc w:val="both"/>
        <w:rPr>
          <w:rFonts w:cs="Arial"/>
          <w:bCs/>
        </w:rPr>
      </w:pPr>
      <w:r>
        <w:rPr>
          <w:rFonts w:cs="Arial"/>
          <w:bCs/>
        </w:rPr>
        <w:t xml:space="preserve">Amity also advise that as their primary focus is on service delivery, they do not have the resources to analyse client data specifically in relation to the </w:t>
      </w:r>
      <w:r w:rsidR="002A79F8">
        <w:rPr>
          <w:rFonts w:cs="Arial"/>
          <w:bCs/>
        </w:rPr>
        <w:t>Club</w:t>
      </w:r>
      <w:r>
        <w:rPr>
          <w:rFonts w:cs="Arial"/>
          <w:bCs/>
        </w:rPr>
        <w:t xml:space="preserve"> and are therefore unable to comment on the number of individuals that have been counselled by Amity in </w:t>
      </w:r>
      <w:r>
        <w:rPr>
          <w:rFonts w:cs="Arial"/>
          <w:szCs w:val="24"/>
        </w:rPr>
        <w:t>relation</w:t>
      </w:r>
      <w:r>
        <w:rPr>
          <w:rFonts w:cs="Arial"/>
          <w:bCs/>
        </w:rPr>
        <w:t xml:space="preserve"> to gambling related issues in the last 12 months.</w:t>
      </w:r>
      <w:r w:rsidR="00EA37E4">
        <w:rPr>
          <w:rFonts w:cs="Arial"/>
          <w:bCs/>
        </w:rPr>
        <w:t xml:space="preserve">  </w:t>
      </w:r>
      <w:r w:rsidRPr="00EA37E4">
        <w:rPr>
          <w:rFonts w:cs="Arial"/>
          <w:bCs/>
        </w:rPr>
        <w:t xml:space="preserve">Amity also comments that in relation to the </w:t>
      </w:r>
      <w:r w:rsidR="002A79F8">
        <w:rPr>
          <w:rFonts w:cs="Arial"/>
          <w:bCs/>
        </w:rPr>
        <w:t>Club</w:t>
      </w:r>
      <w:r w:rsidRPr="00EA37E4">
        <w:rPr>
          <w:rFonts w:cs="Arial"/>
          <w:bCs/>
        </w:rPr>
        <w:t xml:space="preserve"> specifically, that they have provided training to some of the </w:t>
      </w:r>
      <w:r w:rsidR="002A79F8">
        <w:rPr>
          <w:rFonts w:cs="Arial"/>
          <w:bCs/>
        </w:rPr>
        <w:t>Club</w:t>
      </w:r>
      <w:r w:rsidRPr="00EA37E4">
        <w:rPr>
          <w:rFonts w:cs="Arial"/>
          <w:bCs/>
        </w:rPr>
        <w:t>’s staff in the past 12 months.</w:t>
      </w:r>
    </w:p>
    <w:p w:rsidR="003C76C1" w:rsidRDefault="006857EC" w:rsidP="00160212">
      <w:pPr>
        <w:pStyle w:val="ListParagraph"/>
        <w:numPr>
          <w:ilvl w:val="0"/>
          <w:numId w:val="26"/>
        </w:numPr>
        <w:spacing w:after="240"/>
        <w:ind w:left="425" w:hanging="425"/>
        <w:jc w:val="both"/>
        <w:rPr>
          <w:rFonts w:cs="Arial"/>
          <w:bCs/>
        </w:rPr>
      </w:pPr>
      <w:r>
        <w:rPr>
          <w:rFonts w:cs="Arial"/>
          <w:bCs/>
        </w:rPr>
        <w:t xml:space="preserve">Allowing </w:t>
      </w:r>
      <w:r w:rsidR="003C76C1">
        <w:rPr>
          <w:rFonts w:cs="Arial"/>
          <w:bCs/>
        </w:rPr>
        <w:t xml:space="preserve">that Amity’s comments are of a generalised nature in </w:t>
      </w:r>
      <w:r>
        <w:rPr>
          <w:rFonts w:cs="Arial"/>
          <w:bCs/>
        </w:rPr>
        <w:t xml:space="preserve">respect of its concerns with </w:t>
      </w:r>
      <w:r w:rsidR="003C76C1">
        <w:rPr>
          <w:rFonts w:cs="Arial"/>
          <w:bCs/>
        </w:rPr>
        <w:t xml:space="preserve">gambling </w:t>
      </w:r>
      <w:r>
        <w:rPr>
          <w:rFonts w:cs="Arial"/>
          <w:bCs/>
        </w:rPr>
        <w:t>generally and the potential negative impacts on a</w:t>
      </w:r>
      <w:r w:rsidR="003C76C1">
        <w:rPr>
          <w:rFonts w:cs="Arial"/>
          <w:bCs/>
        </w:rPr>
        <w:t xml:space="preserve"> wider community than that contained within the LCA, it is difficult to ascertain the aspects of their concern as they relate specifically to the venue the subject of this application</w:t>
      </w:r>
      <w:r>
        <w:rPr>
          <w:rFonts w:cs="Arial"/>
          <w:bCs/>
        </w:rPr>
        <w:t>.  Clearly, based on the services it provides and its stated policy position, Amity is</w:t>
      </w:r>
      <w:r w:rsidR="003C76C1">
        <w:rPr>
          <w:rFonts w:cs="Arial"/>
          <w:bCs/>
        </w:rPr>
        <w:t xml:space="preserve"> unlikely to support any application for an increase in gaming machines, regardless of </w:t>
      </w:r>
      <w:r>
        <w:rPr>
          <w:rFonts w:cs="Arial"/>
          <w:bCs/>
        </w:rPr>
        <w:t>the venue concerned.</w:t>
      </w:r>
    </w:p>
    <w:p w:rsidR="00816026" w:rsidRDefault="00816026" w:rsidP="00160212">
      <w:pPr>
        <w:pStyle w:val="ListParagraph"/>
        <w:keepLines/>
        <w:numPr>
          <w:ilvl w:val="0"/>
          <w:numId w:val="26"/>
        </w:numPr>
        <w:spacing w:after="240"/>
        <w:ind w:left="426" w:hanging="426"/>
        <w:jc w:val="both"/>
        <w:rPr>
          <w:rFonts w:cs="Arial"/>
          <w:szCs w:val="24"/>
        </w:rPr>
      </w:pPr>
      <w:r>
        <w:rPr>
          <w:rFonts w:cs="Arial"/>
          <w:bCs/>
        </w:rPr>
        <w:lastRenderedPageBreak/>
        <w:t xml:space="preserve">The CIA reports that 25 organisations were contacted in July 2015 to establish the </w:t>
      </w:r>
      <w:r>
        <w:rPr>
          <w:rFonts w:cs="Arial"/>
          <w:szCs w:val="24"/>
        </w:rPr>
        <w:t>community’s</w:t>
      </w:r>
      <w:r>
        <w:rPr>
          <w:rFonts w:cs="Arial"/>
          <w:bCs/>
        </w:rPr>
        <w:t xml:space="preserve"> views in respect of the proposed increase in gaming machines.  Only eight organisations provided a response and these included the Australian Christian Churches, Connect Counselling Services, Holy Spirit School, NT Council of Social Services Inc., Family Planning Welfare Association of NT, Darwin Aboriginal and Islander Women’s Shelter and the Wulagi Early Childhood Centre.  Of those who participated, one respondent believed that the application would have a positive impact whereas the other respondents </w:t>
      </w:r>
      <w:r>
        <w:rPr>
          <w:rFonts w:cs="Arial"/>
          <w:szCs w:val="24"/>
        </w:rPr>
        <w:t xml:space="preserve">believed that there would be a negative effect on the community.  One respondent initially said he had no issues with the club’s application but later changed his mind and said there were already enough machines in the area.  Upon reviewing these responses, it must be noted that a common theme among the respondents is that gambling has a negative effect and that the comments were made as general statements rather than specifically directed towards concerns against the Club subject of this application.  </w:t>
      </w:r>
    </w:p>
    <w:p w:rsidR="00816026" w:rsidRDefault="00816026" w:rsidP="00160212">
      <w:pPr>
        <w:pStyle w:val="ListParagraph"/>
        <w:numPr>
          <w:ilvl w:val="0"/>
          <w:numId w:val="26"/>
        </w:numPr>
        <w:spacing w:after="240"/>
        <w:ind w:left="426" w:hanging="426"/>
        <w:jc w:val="both"/>
        <w:rPr>
          <w:rFonts w:cs="Arial"/>
          <w:szCs w:val="24"/>
        </w:rPr>
      </w:pPr>
      <w:r>
        <w:rPr>
          <w:rFonts w:cs="Arial"/>
          <w:szCs w:val="24"/>
        </w:rPr>
        <w:t>A paper based survey was also undertaken within the Club with eight responses received of which the majority of patrons were in support of the increase and commented that the Club is well managed.  An email was also received from a club patron who supported the application, but stated the new machines should be ‘one cent’ machines only, w</w:t>
      </w:r>
      <w:r w:rsidR="00F9258F">
        <w:rPr>
          <w:rFonts w:cs="Arial"/>
          <w:szCs w:val="24"/>
        </w:rPr>
        <w:t>h</w:t>
      </w:r>
      <w:r>
        <w:rPr>
          <w:rFonts w:cs="Arial"/>
          <w:szCs w:val="24"/>
        </w:rPr>
        <w:t>ere a person could have some fun without outlaying too much money.</w:t>
      </w:r>
    </w:p>
    <w:p w:rsidR="00816026" w:rsidRPr="00816026" w:rsidRDefault="00816026" w:rsidP="00160212">
      <w:pPr>
        <w:pStyle w:val="ListParagraph"/>
        <w:numPr>
          <w:ilvl w:val="0"/>
          <w:numId w:val="26"/>
        </w:numPr>
        <w:spacing w:after="240"/>
        <w:ind w:left="426" w:hanging="426"/>
        <w:jc w:val="both"/>
        <w:rPr>
          <w:rFonts w:cs="Arial"/>
          <w:szCs w:val="24"/>
        </w:rPr>
      </w:pPr>
      <w:r>
        <w:rPr>
          <w:rFonts w:cs="Arial"/>
          <w:szCs w:val="24"/>
        </w:rPr>
        <w:t>Whilst the concerns expressed by those organisations that did complete the Community Representative Feedback survey should be noted and taken into account they are of a  generalised nature and not specific to the Club’s application.  As a result the weight attributed to the comments must be discounted to an extent in the ultimate determination of the application.</w:t>
      </w:r>
    </w:p>
    <w:p w:rsidR="003C76C1" w:rsidRDefault="003C76C1" w:rsidP="003C76C1">
      <w:pPr>
        <w:pStyle w:val="Heading3"/>
      </w:pPr>
      <w:r>
        <w:t>Gross monthly profit of existing gaming machines operated on the premises</w:t>
      </w:r>
    </w:p>
    <w:p w:rsidR="0050532A" w:rsidRPr="0050532A" w:rsidRDefault="003C76C1" w:rsidP="00160212">
      <w:pPr>
        <w:pStyle w:val="ListParagraph"/>
        <w:numPr>
          <w:ilvl w:val="0"/>
          <w:numId w:val="26"/>
        </w:numPr>
        <w:spacing w:after="240"/>
        <w:ind w:left="426" w:hanging="426"/>
        <w:jc w:val="both"/>
        <w:rPr>
          <w:rFonts w:cs="Arial"/>
        </w:rPr>
      </w:pPr>
      <w:r w:rsidRPr="0050532A">
        <w:rPr>
          <w:rFonts w:cs="Arial"/>
          <w:bCs/>
        </w:rPr>
        <w:t xml:space="preserve">Statistical information held by Licensing NT indicates that </w:t>
      </w:r>
      <w:r w:rsidR="006857EC" w:rsidRPr="0050532A">
        <w:rPr>
          <w:rFonts w:cs="Arial"/>
          <w:bCs/>
        </w:rPr>
        <w:t xml:space="preserve">for </w:t>
      </w:r>
      <w:r w:rsidRPr="0050532A">
        <w:rPr>
          <w:rFonts w:cs="Arial"/>
          <w:szCs w:val="24"/>
        </w:rPr>
        <w:t xml:space="preserve">clubs with gaming machines in the Northern Territory for the 2014/15 financial year, the </w:t>
      </w:r>
      <w:r w:rsidRPr="0050532A">
        <w:rPr>
          <w:rFonts w:cs="Arial"/>
          <w:bCs/>
        </w:rPr>
        <w:t>average gross monthly profit was $5</w:t>
      </w:r>
      <w:r w:rsidR="00160212">
        <w:rPr>
          <w:rFonts w:cs="Arial"/>
          <w:bCs/>
        </w:rPr>
        <w:t> </w:t>
      </w:r>
      <w:r w:rsidRPr="0050532A">
        <w:rPr>
          <w:rFonts w:cs="Arial"/>
          <w:bCs/>
        </w:rPr>
        <w:t xml:space="preserve">854 per machine.  </w:t>
      </w:r>
      <w:r w:rsidRPr="0050532A">
        <w:rPr>
          <w:rFonts w:cs="Arial"/>
          <w:szCs w:val="24"/>
        </w:rPr>
        <w:t>For</w:t>
      </w:r>
      <w:r w:rsidRPr="0050532A">
        <w:rPr>
          <w:rFonts w:cs="Arial"/>
          <w:bCs/>
        </w:rPr>
        <w:t xml:space="preserve"> this venue (Tracy Village), the </w:t>
      </w:r>
      <w:r w:rsidRPr="0050532A">
        <w:rPr>
          <w:rFonts w:cs="Arial"/>
          <w:szCs w:val="24"/>
        </w:rPr>
        <w:t>average gr</w:t>
      </w:r>
      <w:r w:rsidR="006857EC" w:rsidRPr="0050532A">
        <w:rPr>
          <w:rFonts w:cs="Arial"/>
          <w:szCs w:val="24"/>
        </w:rPr>
        <w:t>oss monthly profit per machine wa</w:t>
      </w:r>
      <w:r w:rsidRPr="0050532A">
        <w:rPr>
          <w:rFonts w:cs="Arial"/>
          <w:szCs w:val="24"/>
        </w:rPr>
        <w:t>s just over $9</w:t>
      </w:r>
      <w:r w:rsidR="00160212">
        <w:rPr>
          <w:rFonts w:cs="Arial"/>
          <w:szCs w:val="24"/>
        </w:rPr>
        <w:t xml:space="preserve"> </w:t>
      </w:r>
      <w:r w:rsidRPr="0050532A">
        <w:rPr>
          <w:rFonts w:cs="Arial"/>
          <w:szCs w:val="24"/>
        </w:rPr>
        <w:t>000.  However, another comparison was undertaken which only included clubs with the maximum number gaming machines (45)</w:t>
      </w:r>
      <w:r w:rsidR="006857EC" w:rsidRPr="0050532A">
        <w:rPr>
          <w:rFonts w:cs="Arial"/>
          <w:szCs w:val="24"/>
        </w:rPr>
        <w:t xml:space="preserve">.  That comparison </w:t>
      </w:r>
      <w:r w:rsidRPr="0050532A">
        <w:rPr>
          <w:rFonts w:cs="Arial"/>
          <w:szCs w:val="24"/>
        </w:rPr>
        <w:t xml:space="preserve">showed the </w:t>
      </w:r>
      <w:r w:rsidR="006857EC" w:rsidRPr="0050532A">
        <w:rPr>
          <w:rFonts w:cs="Arial"/>
          <w:szCs w:val="24"/>
        </w:rPr>
        <w:t>average monthly profit for similar community</w:t>
      </w:r>
      <w:r w:rsidRPr="0050532A">
        <w:rPr>
          <w:rFonts w:cs="Arial"/>
          <w:szCs w:val="24"/>
        </w:rPr>
        <w:t xml:space="preserve"> clubs to be $9</w:t>
      </w:r>
      <w:r w:rsidR="00160212">
        <w:rPr>
          <w:rFonts w:cs="Arial"/>
          <w:szCs w:val="24"/>
        </w:rPr>
        <w:t xml:space="preserve"> </w:t>
      </w:r>
      <w:r w:rsidRPr="0050532A">
        <w:rPr>
          <w:rFonts w:cs="Arial"/>
          <w:szCs w:val="24"/>
        </w:rPr>
        <w:t xml:space="preserve">523 </w:t>
      </w:r>
      <w:r w:rsidR="006857EC" w:rsidRPr="0050532A">
        <w:rPr>
          <w:rFonts w:cs="Arial"/>
          <w:szCs w:val="24"/>
        </w:rPr>
        <w:t>per gaming machine per day</w:t>
      </w:r>
      <w:r w:rsidR="0050532A" w:rsidRPr="0050532A">
        <w:rPr>
          <w:rFonts w:cs="Arial"/>
          <w:szCs w:val="24"/>
        </w:rPr>
        <w:t>, comparable to the gross monthly</w:t>
      </w:r>
      <w:r w:rsidRPr="0050532A">
        <w:rPr>
          <w:rFonts w:cs="Arial"/>
          <w:szCs w:val="24"/>
        </w:rPr>
        <w:t xml:space="preserve"> profit </w:t>
      </w:r>
      <w:r w:rsidR="0050532A" w:rsidRPr="0050532A">
        <w:rPr>
          <w:rFonts w:cs="Arial"/>
          <w:szCs w:val="24"/>
        </w:rPr>
        <w:t xml:space="preserve">for the Club calculated at </w:t>
      </w:r>
      <w:r w:rsidRPr="0050532A">
        <w:rPr>
          <w:rFonts w:cs="Arial"/>
          <w:szCs w:val="24"/>
        </w:rPr>
        <w:t xml:space="preserve"> just over $9</w:t>
      </w:r>
      <w:r w:rsidR="00160212">
        <w:rPr>
          <w:rFonts w:cs="Arial"/>
          <w:szCs w:val="24"/>
        </w:rPr>
        <w:t xml:space="preserve"> </w:t>
      </w:r>
      <w:r w:rsidRPr="0050532A">
        <w:rPr>
          <w:rFonts w:cs="Arial"/>
          <w:szCs w:val="24"/>
        </w:rPr>
        <w:t>000</w:t>
      </w:r>
      <w:r w:rsidR="0050532A" w:rsidRPr="0050532A">
        <w:rPr>
          <w:rFonts w:cs="Arial"/>
          <w:szCs w:val="24"/>
        </w:rPr>
        <w:t xml:space="preserve"> per gaming machine</w:t>
      </w:r>
      <w:proofErr w:type="gramStart"/>
      <w:r w:rsidR="0050532A" w:rsidRPr="0050532A">
        <w:rPr>
          <w:rFonts w:cs="Arial"/>
          <w:szCs w:val="24"/>
        </w:rPr>
        <w:t xml:space="preserve">.  </w:t>
      </w:r>
      <w:proofErr w:type="gramEnd"/>
      <w:r w:rsidR="0050532A" w:rsidRPr="0050532A">
        <w:rPr>
          <w:rFonts w:cs="Arial"/>
          <w:szCs w:val="24"/>
        </w:rPr>
        <w:t>The comparison of only</w:t>
      </w:r>
      <w:r w:rsidRPr="0050532A">
        <w:rPr>
          <w:rFonts w:cs="Arial"/>
          <w:szCs w:val="24"/>
        </w:rPr>
        <w:t xml:space="preserve"> similar size</w:t>
      </w:r>
      <w:r w:rsidR="0050532A" w:rsidRPr="0050532A">
        <w:rPr>
          <w:rFonts w:cs="Arial"/>
          <w:szCs w:val="24"/>
        </w:rPr>
        <w:t>d</w:t>
      </w:r>
      <w:r w:rsidRPr="0050532A">
        <w:rPr>
          <w:rFonts w:cs="Arial"/>
          <w:szCs w:val="24"/>
        </w:rPr>
        <w:t xml:space="preserve"> venues with </w:t>
      </w:r>
      <w:r w:rsidR="0050532A" w:rsidRPr="0050532A">
        <w:rPr>
          <w:rFonts w:cs="Arial"/>
          <w:szCs w:val="24"/>
        </w:rPr>
        <w:t xml:space="preserve">significant </w:t>
      </w:r>
      <w:r w:rsidRPr="0050532A">
        <w:rPr>
          <w:rFonts w:cs="Arial"/>
          <w:szCs w:val="24"/>
        </w:rPr>
        <w:t>gaming machine operations</w:t>
      </w:r>
      <w:r w:rsidR="0050532A" w:rsidRPr="0050532A">
        <w:rPr>
          <w:rFonts w:cs="Arial"/>
          <w:szCs w:val="24"/>
        </w:rPr>
        <w:t xml:space="preserve"> demonstrates clearly that the income derived from gaming machines by the Club is comparable </w:t>
      </w:r>
      <w:r w:rsidR="0050532A">
        <w:rPr>
          <w:rFonts w:cs="Arial"/>
          <w:szCs w:val="24"/>
        </w:rPr>
        <w:t>to that achieved by similar ven</w:t>
      </w:r>
      <w:r w:rsidR="0050532A" w:rsidRPr="0050532A">
        <w:rPr>
          <w:rFonts w:cs="Arial"/>
          <w:szCs w:val="24"/>
        </w:rPr>
        <w:t>ues</w:t>
      </w:r>
      <w:r w:rsidRPr="0050532A">
        <w:rPr>
          <w:rFonts w:cs="Arial"/>
          <w:szCs w:val="24"/>
        </w:rPr>
        <w:t xml:space="preserve">.  </w:t>
      </w:r>
    </w:p>
    <w:p w:rsidR="003C76C1" w:rsidRPr="0050532A" w:rsidRDefault="003C76C1" w:rsidP="00160212">
      <w:pPr>
        <w:pStyle w:val="ListParagraph"/>
        <w:numPr>
          <w:ilvl w:val="0"/>
          <w:numId w:val="26"/>
        </w:numPr>
        <w:spacing w:after="240"/>
        <w:ind w:left="426" w:hanging="426"/>
        <w:jc w:val="both"/>
        <w:rPr>
          <w:rFonts w:cs="Arial"/>
        </w:rPr>
      </w:pPr>
      <w:r w:rsidRPr="0050532A">
        <w:rPr>
          <w:rFonts w:cs="Arial"/>
        </w:rPr>
        <w:t xml:space="preserve">As explored earlier in this decision, on the basis of the financial analysis provided and Licensing NT data it is apparent that the majority of the </w:t>
      </w:r>
      <w:r w:rsidR="002A79F8">
        <w:rPr>
          <w:rFonts w:cs="Arial"/>
        </w:rPr>
        <w:t>Club</w:t>
      </w:r>
      <w:r w:rsidRPr="0050532A">
        <w:rPr>
          <w:rFonts w:cs="Arial"/>
        </w:rPr>
        <w:t>’s revenue is generated by</w:t>
      </w:r>
      <w:r w:rsidR="0050532A">
        <w:rPr>
          <w:rFonts w:cs="Arial"/>
        </w:rPr>
        <w:t xml:space="preserve"> gaming machine activity,</w:t>
      </w:r>
      <w:r w:rsidRPr="0050532A">
        <w:rPr>
          <w:rFonts w:cs="Arial"/>
        </w:rPr>
        <w:t xml:space="preserve"> almost 60% </w:t>
      </w:r>
      <w:r w:rsidR="0050532A">
        <w:rPr>
          <w:rFonts w:cs="Arial"/>
        </w:rPr>
        <w:t xml:space="preserve">of overall revenue </w:t>
      </w:r>
      <w:r w:rsidRPr="0050532A">
        <w:rPr>
          <w:rFonts w:cs="Arial"/>
        </w:rPr>
        <w:t xml:space="preserve">is attributed to gaming machine component of its operations. </w:t>
      </w:r>
      <w:r w:rsidR="0050532A">
        <w:rPr>
          <w:rFonts w:cs="Arial"/>
        </w:rPr>
        <w:t xml:space="preserve"> That percentage of income is commensurate with that achieved by community club venues that offer gaming machine facilities.</w:t>
      </w:r>
    </w:p>
    <w:p w:rsidR="003C76C1" w:rsidRDefault="003C76C1" w:rsidP="00160212">
      <w:pPr>
        <w:pStyle w:val="ListParagraph"/>
        <w:numPr>
          <w:ilvl w:val="0"/>
          <w:numId w:val="26"/>
        </w:numPr>
        <w:spacing w:after="240"/>
        <w:ind w:left="426" w:hanging="426"/>
        <w:jc w:val="both"/>
        <w:rPr>
          <w:rFonts w:cs="Arial"/>
          <w:szCs w:val="24"/>
        </w:rPr>
      </w:pPr>
      <w:r>
        <w:rPr>
          <w:rFonts w:cs="Arial"/>
          <w:szCs w:val="24"/>
        </w:rPr>
        <w:t>Should the application be approved, the cost to the Applicant of installing ten additional gaming machines will be in the order of $354</w:t>
      </w:r>
      <w:r w:rsidR="00265401">
        <w:rPr>
          <w:rFonts w:cs="Arial"/>
          <w:szCs w:val="24"/>
        </w:rPr>
        <w:t xml:space="preserve"> </w:t>
      </w:r>
      <w:r>
        <w:rPr>
          <w:rFonts w:cs="Arial"/>
          <w:szCs w:val="24"/>
        </w:rPr>
        <w:t>000</w:t>
      </w:r>
      <w:r w:rsidR="0050532A">
        <w:rPr>
          <w:rFonts w:cs="Arial"/>
          <w:szCs w:val="24"/>
        </w:rPr>
        <w:t>,</w:t>
      </w:r>
      <w:r>
        <w:rPr>
          <w:rFonts w:cs="Arial"/>
          <w:szCs w:val="24"/>
        </w:rPr>
        <w:t xml:space="preserve"> comprising the application fee and prescribed levy costs together with the costs of purchasing ten additional gaming machines.</w:t>
      </w:r>
    </w:p>
    <w:p w:rsidR="003C76C1" w:rsidRDefault="003C76C1" w:rsidP="00160212">
      <w:pPr>
        <w:pStyle w:val="ListParagraph"/>
        <w:numPr>
          <w:ilvl w:val="0"/>
          <w:numId w:val="26"/>
        </w:numPr>
        <w:spacing w:after="240"/>
        <w:ind w:left="426" w:hanging="426"/>
        <w:jc w:val="both"/>
        <w:rPr>
          <w:rFonts w:cs="Arial"/>
          <w:szCs w:val="24"/>
        </w:rPr>
      </w:pPr>
      <w:r>
        <w:rPr>
          <w:rFonts w:cs="Arial"/>
          <w:szCs w:val="24"/>
        </w:rPr>
        <w:t xml:space="preserve">The Financial Analysis provided within the </w:t>
      </w:r>
      <w:r w:rsidR="0050532A">
        <w:rPr>
          <w:rFonts w:cs="Arial"/>
          <w:szCs w:val="24"/>
        </w:rPr>
        <w:t xml:space="preserve">confidential section of the </w:t>
      </w:r>
      <w:r>
        <w:rPr>
          <w:rFonts w:cs="Arial"/>
          <w:szCs w:val="24"/>
        </w:rPr>
        <w:t xml:space="preserve">CIA indicates that the </w:t>
      </w:r>
      <w:r w:rsidR="002A79F8">
        <w:rPr>
          <w:rFonts w:cs="Arial"/>
          <w:szCs w:val="24"/>
        </w:rPr>
        <w:t>Club</w:t>
      </w:r>
      <w:r>
        <w:rPr>
          <w:rFonts w:cs="Arial"/>
          <w:szCs w:val="24"/>
        </w:rPr>
        <w:t xml:space="preserve"> is currently profitable but relies heavily on profits generated from gaming machines.</w:t>
      </w:r>
      <w:r w:rsidR="0050532A">
        <w:rPr>
          <w:rFonts w:cs="Arial"/>
          <w:szCs w:val="24"/>
        </w:rPr>
        <w:t xml:space="preserve"> Again, that is a similar situation to that for other large community clubs located in the Darwin, Palmerston and Alice Springs regions.</w:t>
      </w:r>
    </w:p>
    <w:p w:rsidR="003C76C1" w:rsidRDefault="003C76C1" w:rsidP="003C76C1">
      <w:pPr>
        <w:pStyle w:val="Heading3"/>
      </w:pPr>
      <w:r>
        <w:lastRenderedPageBreak/>
        <w:t>Hours and days when the premises are open for the sale of liquor</w:t>
      </w:r>
    </w:p>
    <w:p w:rsidR="003C76C1" w:rsidRDefault="003C76C1" w:rsidP="00160212">
      <w:pPr>
        <w:pStyle w:val="ListParagraph"/>
        <w:numPr>
          <w:ilvl w:val="0"/>
          <w:numId w:val="26"/>
        </w:numPr>
        <w:spacing w:after="240"/>
        <w:ind w:left="426" w:hanging="426"/>
        <w:jc w:val="both"/>
        <w:rPr>
          <w:rFonts w:cs="Arial"/>
          <w:szCs w:val="24"/>
        </w:rPr>
      </w:pPr>
      <w:r>
        <w:rPr>
          <w:rFonts w:cs="Arial"/>
          <w:szCs w:val="24"/>
        </w:rPr>
        <w:t xml:space="preserve">The trading hours for the Club are from 10.00am to </w:t>
      </w:r>
      <w:r w:rsidR="00265401">
        <w:rPr>
          <w:rFonts w:cs="Arial"/>
          <w:szCs w:val="24"/>
        </w:rPr>
        <w:t>11</w:t>
      </w:r>
      <w:r>
        <w:rPr>
          <w:rFonts w:cs="Arial"/>
          <w:szCs w:val="24"/>
        </w:rPr>
        <w:t xml:space="preserve">.59pm Monday to Wednesday and </w:t>
      </w:r>
      <w:r w:rsidR="0050532A">
        <w:rPr>
          <w:rFonts w:cs="Arial"/>
          <w:szCs w:val="24"/>
        </w:rPr>
        <w:t xml:space="preserve">from </w:t>
      </w:r>
      <w:r>
        <w:rPr>
          <w:rFonts w:cs="Arial"/>
          <w:szCs w:val="24"/>
        </w:rPr>
        <w:t>10.00</w:t>
      </w:r>
      <w:r w:rsidR="0050532A">
        <w:rPr>
          <w:rFonts w:cs="Arial"/>
          <w:szCs w:val="24"/>
        </w:rPr>
        <w:t xml:space="preserve">am to </w:t>
      </w:r>
      <w:r>
        <w:rPr>
          <w:rFonts w:cs="Arial"/>
          <w:szCs w:val="24"/>
        </w:rPr>
        <w:t>2</w:t>
      </w:r>
      <w:r w:rsidR="00265401">
        <w:rPr>
          <w:rFonts w:cs="Arial"/>
          <w:szCs w:val="24"/>
        </w:rPr>
        <w:t>.</w:t>
      </w:r>
      <w:r>
        <w:rPr>
          <w:rFonts w:cs="Arial"/>
          <w:szCs w:val="24"/>
        </w:rPr>
        <w:t>00</w:t>
      </w:r>
      <w:r w:rsidR="0050532A">
        <w:rPr>
          <w:rFonts w:cs="Arial"/>
          <w:szCs w:val="24"/>
        </w:rPr>
        <w:t xml:space="preserve">am </w:t>
      </w:r>
      <w:r>
        <w:rPr>
          <w:rFonts w:cs="Arial"/>
          <w:szCs w:val="24"/>
        </w:rPr>
        <w:t>the following day Thursday to Sunday.  No trading is permitted on Good Friday and Christmas Day.</w:t>
      </w:r>
    </w:p>
    <w:p w:rsidR="003C76C1" w:rsidRDefault="003C76C1" w:rsidP="003C76C1">
      <w:pPr>
        <w:pStyle w:val="Heading3"/>
      </w:pPr>
      <w:r>
        <w:t>Size, layout and facilities of the premises</w:t>
      </w:r>
    </w:p>
    <w:p w:rsidR="003C76C1" w:rsidRDefault="003C76C1" w:rsidP="00160212">
      <w:pPr>
        <w:pStyle w:val="ListParagraph"/>
        <w:numPr>
          <w:ilvl w:val="0"/>
          <w:numId w:val="26"/>
        </w:numPr>
        <w:spacing w:after="240"/>
        <w:ind w:left="426" w:hanging="426"/>
        <w:jc w:val="both"/>
        <w:rPr>
          <w:rFonts w:cs="Arial"/>
          <w:szCs w:val="24"/>
        </w:rPr>
      </w:pPr>
      <w:r>
        <w:rPr>
          <w:rFonts w:cs="Arial"/>
          <w:szCs w:val="24"/>
        </w:rPr>
        <w:t xml:space="preserve">As </w:t>
      </w:r>
      <w:r w:rsidR="00816026">
        <w:rPr>
          <w:rFonts w:cs="Arial"/>
          <w:szCs w:val="24"/>
        </w:rPr>
        <w:t>discussed above</w:t>
      </w:r>
      <w:r>
        <w:rPr>
          <w:rFonts w:cs="Arial"/>
          <w:szCs w:val="24"/>
        </w:rPr>
        <w:t xml:space="preserve">, information contained </w:t>
      </w:r>
      <w:r w:rsidR="0050532A">
        <w:rPr>
          <w:rFonts w:cs="Arial"/>
          <w:szCs w:val="24"/>
        </w:rPr>
        <w:t xml:space="preserve">within </w:t>
      </w:r>
      <w:r>
        <w:rPr>
          <w:rFonts w:cs="Arial"/>
          <w:szCs w:val="24"/>
        </w:rPr>
        <w:t>the CIA indicates that 6% of the current floor space is used for gaming, 51% is used for dining and 27% for bars.  The CIA states that these percentages of floor space utilisation will change slightly with floor space utilisation consisting of an increase to 9% for the gaming area.  There will be no increase in the</w:t>
      </w:r>
      <w:r w:rsidR="0050532A">
        <w:rPr>
          <w:rFonts w:cs="Arial"/>
          <w:szCs w:val="24"/>
        </w:rPr>
        <w:t xml:space="preserve"> overall size of the </w:t>
      </w:r>
      <w:r w:rsidR="002A79F8">
        <w:rPr>
          <w:rFonts w:cs="Arial"/>
          <w:szCs w:val="24"/>
        </w:rPr>
        <w:t>Club</w:t>
      </w:r>
      <w:r w:rsidR="0050532A">
        <w:rPr>
          <w:rFonts w:cs="Arial"/>
          <w:szCs w:val="24"/>
        </w:rPr>
        <w:t>, however</w:t>
      </w:r>
      <w:r>
        <w:rPr>
          <w:rFonts w:cs="Arial"/>
          <w:szCs w:val="24"/>
        </w:rPr>
        <w:t xml:space="preserve"> the bar areas will </w:t>
      </w:r>
      <w:r w:rsidR="0050532A">
        <w:rPr>
          <w:rFonts w:cs="Arial"/>
          <w:szCs w:val="24"/>
        </w:rPr>
        <w:t xml:space="preserve">be </w:t>
      </w:r>
      <w:r>
        <w:rPr>
          <w:rFonts w:cs="Arial"/>
          <w:szCs w:val="24"/>
        </w:rPr>
        <w:t>reduce</w:t>
      </w:r>
      <w:r w:rsidR="0050532A">
        <w:rPr>
          <w:rFonts w:cs="Arial"/>
          <w:szCs w:val="24"/>
        </w:rPr>
        <w:t>d</w:t>
      </w:r>
      <w:r>
        <w:rPr>
          <w:rFonts w:cs="Arial"/>
          <w:szCs w:val="24"/>
        </w:rPr>
        <w:t xml:space="preserve"> in size by </w:t>
      </w:r>
      <w:r w:rsidR="0050532A">
        <w:rPr>
          <w:rFonts w:cs="Arial"/>
          <w:szCs w:val="24"/>
        </w:rPr>
        <w:t xml:space="preserve">approximately </w:t>
      </w:r>
      <w:r>
        <w:rPr>
          <w:rFonts w:cs="Arial"/>
          <w:szCs w:val="24"/>
        </w:rPr>
        <w:t>3%.</w:t>
      </w:r>
    </w:p>
    <w:p w:rsidR="003C76C1" w:rsidRDefault="003C76C1" w:rsidP="00160212">
      <w:pPr>
        <w:pStyle w:val="ListParagraph"/>
        <w:numPr>
          <w:ilvl w:val="0"/>
          <w:numId w:val="26"/>
        </w:numPr>
        <w:spacing w:after="240"/>
        <w:ind w:left="426" w:hanging="426"/>
        <w:jc w:val="both"/>
        <w:rPr>
          <w:rFonts w:cs="Arial"/>
          <w:szCs w:val="24"/>
        </w:rPr>
      </w:pPr>
      <w:r>
        <w:rPr>
          <w:rFonts w:cs="Arial"/>
          <w:szCs w:val="24"/>
        </w:rPr>
        <w:t xml:space="preserve">The Applicant advises that gaming area will only increase slightly in size and that the focus of the </w:t>
      </w:r>
      <w:r w:rsidR="002A79F8">
        <w:rPr>
          <w:rFonts w:cs="Arial"/>
          <w:szCs w:val="24"/>
        </w:rPr>
        <w:t>Club</w:t>
      </w:r>
      <w:r>
        <w:rPr>
          <w:rFonts w:cs="Arial"/>
          <w:szCs w:val="24"/>
        </w:rPr>
        <w:t xml:space="preserve"> </w:t>
      </w:r>
      <w:r w:rsidR="00816026">
        <w:rPr>
          <w:rFonts w:cs="Arial"/>
          <w:szCs w:val="24"/>
        </w:rPr>
        <w:t xml:space="preserve">in terms of its core activities </w:t>
      </w:r>
      <w:r>
        <w:rPr>
          <w:rFonts w:cs="Arial"/>
          <w:szCs w:val="24"/>
        </w:rPr>
        <w:t>will not change.</w:t>
      </w:r>
    </w:p>
    <w:p w:rsidR="003C76C1" w:rsidRDefault="003C76C1" w:rsidP="003C76C1">
      <w:pPr>
        <w:pStyle w:val="Heading3"/>
      </w:pPr>
      <w:r>
        <w:t>Other matters the Director-General considers relevant</w:t>
      </w:r>
    </w:p>
    <w:p w:rsidR="003C76C1" w:rsidRDefault="003C76C1" w:rsidP="00013209">
      <w:pPr>
        <w:pStyle w:val="ListParagraph"/>
        <w:numPr>
          <w:ilvl w:val="0"/>
          <w:numId w:val="26"/>
        </w:numPr>
        <w:spacing w:after="240"/>
        <w:ind w:left="426" w:hanging="426"/>
        <w:jc w:val="both"/>
        <w:rPr>
          <w:rFonts w:cs="Arial"/>
          <w:bCs/>
        </w:rPr>
      </w:pPr>
      <w:r>
        <w:rPr>
          <w:rFonts w:cs="Arial"/>
          <w:bCs/>
        </w:rPr>
        <w:t xml:space="preserve">The Gaming and Liquor Amendment Bill of 2015 amended the Act to effectively lift the previously imposed cap on authorisations of gaming machines in licensed hotels, taverns and clubs in the Northern Territory.  As well as lifting the overall cap, the amendments also provided for an increase of the number of gaming machines in clubs, which </w:t>
      </w:r>
      <w:r w:rsidR="007805CB">
        <w:rPr>
          <w:rFonts w:cs="Arial"/>
          <w:bCs/>
        </w:rPr>
        <w:t xml:space="preserve">now </w:t>
      </w:r>
      <w:r>
        <w:rPr>
          <w:rFonts w:cs="Arial"/>
          <w:bCs/>
        </w:rPr>
        <w:t xml:space="preserve">allows for a maximum of 55 machines, up from 45 machines.  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  </w:t>
      </w:r>
    </w:p>
    <w:p w:rsidR="003C76C1" w:rsidRDefault="003C76C1" w:rsidP="00013209">
      <w:pPr>
        <w:pStyle w:val="ListParagraph"/>
        <w:keepLines/>
        <w:numPr>
          <w:ilvl w:val="0"/>
          <w:numId w:val="26"/>
        </w:numPr>
        <w:spacing w:after="240"/>
        <w:ind w:left="426" w:hanging="426"/>
        <w:jc w:val="both"/>
        <w:rPr>
          <w:rFonts w:cs="Arial"/>
          <w:bCs/>
        </w:rPr>
      </w:pPr>
      <w:r>
        <w:rPr>
          <w:rFonts w:cs="Arial"/>
          <w:bCs/>
        </w:rPr>
        <w:t xml:space="preserve">Against that background the Applicant has presented a well prepared application with strong supporting evidence indicating that this application meets the </w:t>
      </w:r>
      <w:r>
        <w:rPr>
          <w:rFonts w:cs="Arial"/>
          <w:szCs w:val="24"/>
        </w:rPr>
        <w:t>requirements</w:t>
      </w:r>
      <w:r>
        <w:rPr>
          <w:rFonts w:cs="Arial"/>
          <w:bCs/>
        </w:rPr>
        <w:t xml:space="preserve"> of the Act in relation to an increase in the authorised number of gaming machines.</w:t>
      </w:r>
    </w:p>
    <w:p w:rsidR="003C76C1" w:rsidRDefault="003C76C1" w:rsidP="00013209">
      <w:pPr>
        <w:pStyle w:val="ListParagraph"/>
        <w:numPr>
          <w:ilvl w:val="0"/>
          <w:numId w:val="26"/>
        </w:numPr>
        <w:spacing w:after="240"/>
        <w:ind w:left="426" w:hanging="426"/>
        <w:jc w:val="both"/>
        <w:rPr>
          <w:rFonts w:cs="Arial"/>
          <w:bCs/>
        </w:rPr>
      </w:pPr>
      <w:r>
        <w:rPr>
          <w:rFonts w:cs="Arial"/>
          <w:bCs/>
        </w:rPr>
        <w:t xml:space="preserve">The comprehensive CIA prepared for the purpose of this application is analysed in considerable </w:t>
      </w:r>
      <w:r>
        <w:rPr>
          <w:rFonts w:cs="Arial"/>
          <w:szCs w:val="24"/>
        </w:rPr>
        <w:t>detail</w:t>
      </w:r>
      <w:r>
        <w:rPr>
          <w:rFonts w:cs="Arial"/>
          <w:bCs/>
        </w:rPr>
        <w:t xml:space="preserve"> above and </w:t>
      </w:r>
      <w:r w:rsidR="007805CB">
        <w:rPr>
          <w:rFonts w:cs="Arial"/>
          <w:bCs/>
        </w:rPr>
        <w:t xml:space="preserve">does not raise any issues specific to </w:t>
      </w:r>
      <w:r>
        <w:rPr>
          <w:rFonts w:cs="Arial"/>
          <w:bCs/>
        </w:rPr>
        <w:t>the Tracy Village Socia</w:t>
      </w:r>
      <w:r w:rsidR="007805CB">
        <w:rPr>
          <w:rFonts w:cs="Arial"/>
          <w:bCs/>
        </w:rPr>
        <w:t>l and Sports Club Inc. would persuade me to reject the application</w:t>
      </w:r>
      <w:r>
        <w:rPr>
          <w:rFonts w:cs="Arial"/>
          <w:bCs/>
        </w:rPr>
        <w:t>.</w:t>
      </w:r>
    </w:p>
    <w:p w:rsidR="003C76C1" w:rsidRDefault="003C76C1" w:rsidP="00013209">
      <w:pPr>
        <w:pStyle w:val="ListParagraph"/>
        <w:numPr>
          <w:ilvl w:val="0"/>
          <w:numId w:val="26"/>
        </w:numPr>
        <w:spacing w:after="240"/>
        <w:ind w:left="426" w:hanging="426"/>
        <w:jc w:val="both"/>
        <w:rPr>
          <w:rFonts w:cs="Arial"/>
          <w:bCs/>
        </w:rPr>
      </w:pPr>
      <w:r>
        <w:rPr>
          <w:rFonts w:cs="Arial"/>
          <w:bCs/>
        </w:rPr>
        <w:t xml:space="preserve">The harms associated with gaming machines and problem gambling are well documented and well known within the general community.  However, the Applicant in this instance has in place policies and procedures that will have the effect of minimising the harms </w:t>
      </w:r>
      <w:r>
        <w:rPr>
          <w:rFonts w:cs="Arial"/>
          <w:szCs w:val="24"/>
        </w:rPr>
        <w:t>associated</w:t>
      </w:r>
      <w:r>
        <w:rPr>
          <w:rFonts w:cs="Arial"/>
          <w:bCs/>
        </w:rPr>
        <w:t xml:space="preserve"> with gambling generally and the use of gaming machines specifically at the </w:t>
      </w:r>
      <w:r w:rsidR="007805CB">
        <w:rPr>
          <w:rFonts w:cs="Arial"/>
          <w:bCs/>
        </w:rPr>
        <w:t>Club</w:t>
      </w:r>
      <w:r>
        <w:rPr>
          <w:rFonts w:cs="Arial"/>
          <w:bCs/>
        </w:rPr>
        <w:t>.</w:t>
      </w:r>
    </w:p>
    <w:p w:rsidR="003C76C1" w:rsidRDefault="003C76C1" w:rsidP="00013209">
      <w:pPr>
        <w:pStyle w:val="ListParagraph"/>
        <w:keepLines/>
        <w:numPr>
          <w:ilvl w:val="0"/>
          <w:numId w:val="26"/>
        </w:numPr>
        <w:spacing w:after="240"/>
        <w:ind w:left="426" w:hanging="426"/>
        <w:jc w:val="both"/>
        <w:rPr>
          <w:rFonts w:cs="Arial"/>
          <w:bCs/>
        </w:rPr>
      </w:pPr>
      <w:r>
        <w:rPr>
          <w:rFonts w:cs="Arial"/>
          <w:bCs/>
        </w:rPr>
        <w:t xml:space="preserve">Amity submitted a well-researched and evidence based position paper.  Amity clearly does not support the application, suggesting the Northern Territory is not underserved with gaming machines at </w:t>
      </w:r>
      <w:r>
        <w:rPr>
          <w:rFonts w:cs="Arial"/>
          <w:szCs w:val="24"/>
        </w:rPr>
        <w:t>present</w:t>
      </w:r>
      <w:r>
        <w:rPr>
          <w:rFonts w:cs="Arial"/>
          <w:bCs/>
        </w:rPr>
        <w:t xml:space="preserve"> and an increase in the number of gaming machines is a reflection of increasing gaming revenue</w:t>
      </w:r>
      <w:r w:rsidR="007805CB">
        <w:rPr>
          <w:rFonts w:cs="Arial"/>
          <w:bCs/>
        </w:rPr>
        <w:t>.  This will</w:t>
      </w:r>
      <w:r>
        <w:rPr>
          <w:rFonts w:cs="Arial"/>
          <w:bCs/>
        </w:rPr>
        <w:t>, in Amity’s submission, have an overall negative health, social and economic impact on the community and the Northern Territory as a whole.</w:t>
      </w:r>
    </w:p>
    <w:p w:rsidR="003C76C1" w:rsidRPr="00013209" w:rsidRDefault="003C76C1" w:rsidP="00013209">
      <w:pPr>
        <w:pStyle w:val="ListParagraph"/>
        <w:numPr>
          <w:ilvl w:val="0"/>
          <w:numId w:val="26"/>
        </w:numPr>
        <w:spacing w:after="240"/>
        <w:ind w:left="426" w:hanging="426"/>
        <w:jc w:val="both"/>
        <w:rPr>
          <w:rFonts w:cs="Arial"/>
          <w:bCs/>
        </w:rPr>
      </w:pPr>
      <w:r>
        <w:rPr>
          <w:rFonts w:cs="Arial"/>
          <w:bCs/>
        </w:rPr>
        <w:t xml:space="preserve">The CIA suggests non-government agencies who responded via the Community </w:t>
      </w:r>
      <w:r>
        <w:rPr>
          <w:rFonts w:cs="Arial"/>
          <w:szCs w:val="24"/>
        </w:rPr>
        <w:t>Representative</w:t>
      </w:r>
      <w:r>
        <w:rPr>
          <w:rFonts w:cs="Arial"/>
          <w:bCs/>
        </w:rPr>
        <w:t xml:space="preserve"> survey have concerns with the application believing the increase in gaming machines will have a negative effect on the community and, as a result, the majority of those organisations do not support the application.</w:t>
      </w:r>
      <w:r w:rsidR="00013209">
        <w:rPr>
          <w:rFonts w:cs="Arial"/>
          <w:bCs/>
        </w:rPr>
        <w:t xml:space="preserve">  </w:t>
      </w:r>
      <w:r w:rsidRPr="00013209">
        <w:rPr>
          <w:rFonts w:cs="Arial"/>
          <w:bCs/>
        </w:rPr>
        <w:t xml:space="preserve">Whilst those comments and submissions are properly made and no doubt indicative of the views </w:t>
      </w:r>
      <w:r w:rsidRPr="00013209">
        <w:rPr>
          <w:rFonts w:cs="Arial"/>
          <w:szCs w:val="24"/>
        </w:rPr>
        <w:t>of</w:t>
      </w:r>
      <w:r w:rsidRPr="00013209">
        <w:rPr>
          <w:rFonts w:cs="Arial"/>
          <w:bCs/>
        </w:rPr>
        <w:t xml:space="preserve"> the organisations represented, they do not provide any specific details of prospective harms or potential adverse community outcomes directly related to the </w:t>
      </w:r>
      <w:r w:rsidR="007805CB" w:rsidRPr="00013209">
        <w:rPr>
          <w:rFonts w:cs="Arial"/>
          <w:bCs/>
        </w:rPr>
        <w:t>Club</w:t>
      </w:r>
      <w:r w:rsidRPr="00013209">
        <w:rPr>
          <w:rFonts w:cs="Arial"/>
          <w:bCs/>
        </w:rPr>
        <w:t>.</w:t>
      </w:r>
    </w:p>
    <w:p w:rsidR="007805CB" w:rsidRPr="007805CB" w:rsidRDefault="003C76C1" w:rsidP="00265401">
      <w:pPr>
        <w:pStyle w:val="ListParagraph"/>
        <w:numPr>
          <w:ilvl w:val="0"/>
          <w:numId w:val="26"/>
        </w:numPr>
        <w:spacing w:after="240"/>
        <w:ind w:left="426" w:hanging="426"/>
        <w:jc w:val="both"/>
      </w:pPr>
      <w:r w:rsidRPr="007805CB">
        <w:rPr>
          <w:rFonts w:cs="Arial"/>
          <w:bCs/>
        </w:rPr>
        <w:lastRenderedPageBreak/>
        <w:t>In addition, the Applicant and as ev</w:t>
      </w:r>
      <w:r w:rsidR="007805CB" w:rsidRPr="007805CB">
        <w:rPr>
          <w:rFonts w:cs="Arial"/>
        </w:rPr>
        <w:t xml:space="preserve">idenced by its </w:t>
      </w:r>
      <w:r w:rsidRPr="007805CB">
        <w:rPr>
          <w:rFonts w:cs="Arial"/>
          <w:bCs/>
        </w:rPr>
        <w:t>submissions in support of the application, including the content of the CIA, intends to incorporate strategies aimed at reducing gaming-related harm if the application is approved.</w:t>
      </w:r>
    </w:p>
    <w:p w:rsidR="007805CB" w:rsidRPr="00F9258F" w:rsidRDefault="007805CB" w:rsidP="00F9258F">
      <w:pPr>
        <w:pStyle w:val="Heading2"/>
        <w:spacing w:before="0"/>
        <w:rPr>
          <w:b w:val="0"/>
          <w:szCs w:val="24"/>
        </w:rPr>
      </w:pPr>
      <w:r w:rsidRPr="00F9258F">
        <w:t>Decision</w:t>
      </w:r>
    </w:p>
    <w:p w:rsidR="007805CB" w:rsidRPr="007805CB" w:rsidRDefault="007805CB" w:rsidP="00160212">
      <w:pPr>
        <w:pStyle w:val="ListParagraph"/>
        <w:numPr>
          <w:ilvl w:val="0"/>
          <w:numId w:val="26"/>
        </w:numPr>
        <w:spacing w:after="240"/>
        <w:ind w:left="426" w:hanging="425"/>
        <w:jc w:val="both"/>
      </w:pPr>
      <w:r w:rsidRPr="007805CB">
        <w:rPr>
          <w:rFonts w:cs="Arial"/>
          <w:bCs/>
          <w:szCs w:val="22"/>
        </w:rPr>
        <w:t xml:space="preserve">For the reasons set out above, and in accordance with section 41(3) of the Act I have determined to grant the application lodged by the </w:t>
      </w:r>
      <w:r>
        <w:rPr>
          <w:rFonts w:cs="Arial"/>
          <w:bCs/>
          <w:szCs w:val="22"/>
        </w:rPr>
        <w:t xml:space="preserve">Tracy Village Social &amp; </w:t>
      </w:r>
      <w:r w:rsidR="00C65417">
        <w:rPr>
          <w:rFonts w:cs="Arial"/>
          <w:bCs/>
          <w:szCs w:val="22"/>
        </w:rPr>
        <w:t>Sports</w:t>
      </w:r>
      <w:r w:rsidRPr="007805CB">
        <w:rPr>
          <w:rFonts w:cs="Arial"/>
          <w:bCs/>
          <w:szCs w:val="22"/>
        </w:rPr>
        <w:t xml:space="preserve"> Club Inc. and authorise the increase of the number of gaming machines located at the Club from the current limit of 45 gaming machines to the current maximum allowable for the holder of a club liquor licence, namely 55 gaming machines.</w:t>
      </w:r>
    </w:p>
    <w:p w:rsidR="007805CB" w:rsidRPr="00F9258F" w:rsidRDefault="007805CB" w:rsidP="00160212">
      <w:pPr>
        <w:pStyle w:val="ListParagraph"/>
        <w:numPr>
          <w:ilvl w:val="0"/>
          <w:numId w:val="26"/>
        </w:numPr>
        <w:spacing w:after="240"/>
        <w:ind w:left="426" w:hanging="425"/>
        <w:jc w:val="both"/>
        <w:rPr>
          <w:szCs w:val="22"/>
        </w:rPr>
      </w:pPr>
      <w:r w:rsidRPr="00F9258F">
        <w:rPr>
          <w:szCs w:val="22"/>
        </w:rPr>
        <w:t xml:space="preserve">The </w:t>
      </w:r>
      <w:r w:rsidRPr="00F9258F">
        <w:rPr>
          <w:rFonts w:cs="Arial"/>
          <w:bCs/>
          <w:szCs w:val="22"/>
        </w:rPr>
        <w:t>additional</w:t>
      </w:r>
      <w:r w:rsidRPr="00F9258F">
        <w:rPr>
          <w:szCs w:val="22"/>
        </w:rPr>
        <w:t xml:space="preserve"> approved ten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 once they have been purchased.</w:t>
      </w:r>
    </w:p>
    <w:p w:rsidR="007805CB" w:rsidRPr="00F9258F" w:rsidRDefault="007805CB" w:rsidP="00F9258F">
      <w:pPr>
        <w:pStyle w:val="Heading2"/>
        <w:spacing w:before="0"/>
        <w:rPr>
          <w:sz w:val="24"/>
        </w:rPr>
      </w:pPr>
      <w:r w:rsidRPr="00F9258F">
        <w:rPr>
          <w:sz w:val="24"/>
        </w:rPr>
        <w:t>Review of Decision</w:t>
      </w:r>
    </w:p>
    <w:p w:rsidR="007805CB" w:rsidRPr="007805CB" w:rsidRDefault="007805CB" w:rsidP="00160212">
      <w:pPr>
        <w:pStyle w:val="ListParagraph"/>
        <w:numPr>
          <w:ilvl w:val="0"/>
          <w:numId w:val="26"/>
        </w:numPr>
        <w:spacing w:after="120"/>
        <w:ind w:left="426" w:hanging="425"/>
        <w:jc w:val="both"/>
      </w:pPr>
      <w:r w:rsidRPr="007805CB">
        <w:rPr>
          <w:rFonts w:cs="Arial"/>
          <w:bCs/>
          <w:szCs w:val="22"/>
        </w:rPr>
        <w:t>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Amity Community Services Inc. lodged a submission in respect of this application.  As a result the affected persons for the purpose of this decision are the Applicant and Amity Community Services Inc.</w:t>
      </w:r>
    </w:p>
    <w:p w:rsidR="003C76C1" w:rsidRDefault="003C76C1" w:rsidP="003C76C1">
      <w:pPr>
        <w:pStyle w:val="Signature"/>
        <w:spacing w:before="1320" w:after="0"/>
        <w:rPr>
          <w:rFonts w:cs="Arial"/>
          <w:sz w:val="24"/>
          <w:szCs w:val="24"/>
        </w:rPr>
      </w:pPr>
      <w:r>
        <w:rPr>
          <w:rFonts w:cs="Arial"/>
          <w:sz w:val="24"/>
          <w:szCs w:val="24"/>
        </w:rPr>
        <w:t>Cindy Bravos</w:t>
      </w:r>
    </w:p>
    <w:p w:rsidR="003C76C1" w:rsidRDefault="003C76C1" w:rsidP="003C76C1">
      <w:pPr>
        <w:pStyle w:val="Signature"/>
        <w:spacing w:before="0"/>
        <w:rPr>
          <w:rFonts w:cs="Arial"/>
          <w:sz w:val="24"/>
          <w:szCs w:val="24"/>
        </w:rPr>
      </w:pPr>
      <w:r>
        <w:rPr>
          <w:rFonts w:cs="Arial"/>
          <w:sz w:val="24"/>
          <w:szCs w:val="24"/>
        </w:rPr>
        <w:t>Director-General of Licensing</w:t>
      </w:r>
    </w:p>
    <w:p w:rsidR="003C76C1" w:rsidRDefault="003D24B4" w:rsidP="003C76C1">
      <w:pPr>
        <w:spacing w:after="120"/>
        <w:jc w:val="both"/>
        <w:rPr>
          <w:rFonts w:cs="Arial"/>
          <w:bCs/>
          <w:szCs w:val="22"/>
        </w:rPr>
      </w:pPr>
      <w:r>
        <w:rPr>
          <w:rFonts w:cs="Arial"/>
        </w:rPr>
        <w:t>2</w:t>
      </w:r>
      <w:r w:rsidR="00F9258F">
        <w:rPr>
          <w:rFonts w:cs="Arial"/>
        </w:rPr>
        <w:t>6</w:t>
      </w:r>
      <w:r w:rsidR="007805CB">
        <w:rPr>
          <w:rFonts w:cs="Arial"/>
        </w:rPr>
        <w:t xml:space="preserve"> </w:t>
      </w:r>
      <w:r w:rsidR="007805CB" w:rsidRPr="00265401">
        <w:rPr>
          <w:rFonts w:cs="Arial"/>
        </w:rPr>
        <w:t>February</w:t>
      </w:r>
      <w:r w:rsidR="003C76C1" w:rsidRPr="00265401">
        <w:rPr>
          <w:rFonts w:cs="Arial"/>
        </w:rPr>
        <w:t xml:space="preserve"> 2016</w:t>
      </w:r>
    </w:p>
    <w:p w:rsidR="00182E72" w:rsidRPr="00655618" w:rsidRDefault="00182E72" w:rsidP="003C76C1">
      <w:pPr>
        <w:pStyle w:val="Heading2"/>
        <w:spacing w:before="120"/>
        <w:rPr>
          <w:rFonts w:cs="Arial"/>
          <w:bCs w:val="0"/>
          <w:szCs w:val="22"/>
        </w:rPr>
      </w:pPr>
    </w:p>
    <w:sectPr w:rsidR="00182E72"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16C" w:rsidRDefault="008E216C" w:rsidP="00293A72">
      <w:r>
        <w:separator/>
      </w:r>
    </w:p>
  </w:endnote>
  <w:endnote w:type="continuationSeparator" w:id="0">
    <w:p w:rsidR="008E216C" w:rsidRDefault="008E216C"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Application for increase in Ga</w:t>
        </w:r>
        <w:r w:rsidR="009815A9">
          <w:rPr>
            <w:color w:val="A6A6A6" w:themeColor="background1" w:themeShade="A6"/>
            <w:sz w:val="16"/>
            <w:szCs w:val="20"/>
          </w:rPr>
          <w:t xml:space="preserve">ming Machines – </w:t>
        </w:r>
        <w:r w:rsidR="00FD1335">
          <w:rPr>
            <w:color w:val="A6A6A6" w:themeColor="background1" w:themeShade="A6"/>
            <w:sz w:val="16"/>
            <w:szCs w:val="20"/>
          </w:rPr>
          <w:t>Tracy Village Social &amp; Sports Club</w:t>
        </w:r>
        <w:r w:rsidR="009815A9">
          <w:rPr>
            <w:color w:val="A6A6A6" w:themeColor="background1" w:themeShade="A6"/>
            <w:sz w:val="16"/>
            <w:szCs w:val="20"/>
          </w:rPr>
          <w:t xml:space="preserve"> Inc.</w:t>
        </w:r>
      </w:sdtContent>
    </w:sdt>
    <w:r w:rsidRPr="00A65194">
      <w:rPr>
        <w:color w:val="A6A6A6" w:themeColor="background1" w:themeShade="A6"/>
        <w:sz w:val="16"/>
        <w:szCs w:val="20"/>
      </w:rPr>
      <w:t xml:space="preserve">  </w:t>
    </w:r>
    <w:r>
      <w:rPr>
        <w:color w:val="A6A6A6" w:themeColor="background1" w:themeShade="A6"/>
        <w:sz w:val="16"/>
        <w:szCs w:val="20"/>
      </w:rPr>
      <w:tab/>
    </w:r>
    <w:r w:rsidRPr="00265401">
      <w:rPr>
        <w:color w:val="A6A6A6" w:themeColor="background1" w:themeShade="A6"/>
        <w:sz w:val="16"/>
        <w:szCs w:val="20"/>
      </w:rPr>
      <w:t xml:space="preserve">Date of Decision </w:t>
    </w:r>
    <w:r w:rsidR="00160212">
      <w:rPr>
        <w:color w:val="A6A6A6" w:themeColor="background1" w:themeShade="A6"/>
        <w:sz w:val="16"/>
        <w:szCs w:val="20"/>
      </w:rPr>
      <w:t>2</w:t>
    </w:r>
    <w:r w:rsidR="00F9258F">
      <w:rPr>
        <w:color w:val="A6A6A6" w:themeColor="background1" w:themeShade="A6"/>
        <w:sz w:val="16"/>
        <w:szCs w:val="20"/>
      </w:rPr>
      <w:t>6</w:t>
    </w:r>
    <w:r w:rsidR="00265401">
      <w:rPr>
        <w:color w:val="A6A6A6" w:themeColor="background1" w:themeShade="A6"/>
        <w:sz w:val="16"/>
        <w:szCs w:val="20"/>
      </w:rPr>
      <w:t xml:space="preserve"> </w:t>
    </w:r>
    <w:sdt>
      <w:sdtPr>
        <w:rPr>
          <w:color w:val="A6A6A6" w:themeColor="background1" w:themeShade="A6"/>
          <w:sz w:val="16"/>
          <w:szCs w:val="20"/>
        </w:rPr>
        <w:id w:val="-1373383606"/>
        <w:placeholder>
          <w:docPart w:val="DefaultPlaceholder_1082065158"/>
        </w:placeholder>
      </w:sdtPr>
      <w:sdtEndPr/>
      <w:sdtContent>
        <w:r w:rsidR="00FD1335" w:rsidRPr="00265401">
          <w:rPr>
            <w:color w:val="A6A6A6" w:themeColor="background1" w:themeShade="A6"/>
            <w:sz w:val="16"/>
            <w:szCs w:val="20"/>
          </w:rPr>
          <w:t>February 2016</w:t>
        </w:r>
      </w:sdtContent>
    </w:sdt>
  </w:p>
  <w:p w:rsidR="006770F2" w:rsidRDefault="002E6443" w:rsidP="002E6443">
    <w:pPr>
      <w:pStyle w:val="Footer"/>
      <w:tabs>
        <w:tab w:val="clear" w:pos="9639"/>
        <w:tab w:val="right" w:pos="9923"/>
      </w:tabs>
      <w:ind w:right="-285"/>
      <w:jc w:val="right"/>
      <w:rPr>
        <w:rFonts w:cs="Times New Roman"/>
        <w:noProof/>
        <w:szCs w:val="20"/>
      </w:rPr>
    </w:pPr>
    <w:r w:rsidRPr="00FD1335">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FD1335" w:rsidRPr="00FD1335">
          <w:rPr>
            <w:color w:val="A6A6A6" w:themeColor="background1" w:themeShade="A6"/>
            <w:sz w:val="16"/>
            <w:szCs w:val="20"/>
          </w:rPr>
          <w:t>DOB2015/00486-00021</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4205BA">
          <w:rPr>
            <w:noProof/>
          </w:rPr>
          <w:t>7</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C00907">
    <w:pPr>
      <w:pStyle w:val="Footer"/>
      <w:tabs>
        <w:tab w:val="clear" w:pos="9639"/>
        <w:tab w:val="right" w:pos="9923"/>
      </w:tabs>
      <w:ind w:right="-285"/>
      <w:rPr>
        <w:color w:val="A6A6A6" w:themeColor="background1" w:themeShade="A6"/>
        <w:sz w:val="16"/>
        <w:szCs w:val="20"/>
      </w:rPr>
    </w:pPr>
    <w:r w:rsidRPr="00F3181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sidRPr="00F31814">
          <w:rPr>
            <w:color w:val="A6A6A6" w:themeColor="background1" w:themeShade="A6"/>
            <w:sz w:val="16"/>
            <w:szCs w:val="20"/>
          </w:rPr>
          <w:t xml:space="preserve">Application for increase in Gaming Machines – </w:t>
        </w:r>
        <w:r w:rsidR="00FD1335" w:rsidRPr="00F31814">
          <w:rPr>
            <w:color w:val="A6A6A6" w:themeColor="background1" w:themeShade="A6"/>
            <w:sz w:val="16"/>
            <w:szCs w:val="20"/>
          </w:rPr>
          <w:t>Tracy Village Social &amp; Sports Club Inc</w:t>
        </w:r>
        <w:r w:rsidR="00441A6B" w:rsidRPr="00F31814">
          <w:rPr>
            <w:color w:val="A6A6A6" w:themeColor="background1" w:themeShade="A6"/>
            <w:sz w:val="16"/>
            <w:szCs w:val="20"/>
          </w:rPr>
          <w:t>.</w:t>
        </w:r>
      </w:sdtContent>
    </w:sdt>
    <w:r w:rsidRPr="00F31814">
      <w:rPr>
        <w:color w:val="A6A6A6" w:themeColor="background1" w:themeShade="A6"/>
        <w:sz w:val="16"/>
        <w:szCs w:val="20"/>
      </w:rPr>
      <w:tab/>
      <w:t xml:space="preserve">Date of Decision </w:t>
    </w:r>
    <w:sdt>
      <w:sdtPr>
        <w:rPr>
          <w:color w:val="A6A6A6" w:themeColor="background1" w:themeShade="A6"/>
          <w:sz w:val="16"/>
          <w:szCs w:val="20"/>
        </w:rPr>
        <w:id w:val="-1946298919"/>
      </w:sdtPr>
      <w:sdtEndPr/>
      <w:sdtContent>
        <w:r w:rsidR="00160212">
          <w:rPr>
            <w:color w:val="A6A6A6" w:themeColor="background1" w:themeShade="A6"/>
            <w:sz w:val="16"/>
            <w:szCs w:val="20"/>
          </w:rPr>
          <w:t>2</w:t>
        </w:r>
        <w:r w:rsidR="00F9258F">
          <w:rPr>
            <w:color w:val="A6A6A6" w:themeColor="background1" w:themeShade="A6"/>
            <w:sz w:val="16"/>
            <w:szCs w:val="20"/>
          </w:rPr>
          <w:t>6</w:t>
        </w:r>
        <w:r w:rsidR="007A3B66" w:rsidRPr="00F31814">
          <w:rPr>
            <w:color w:val="A6A6A6" w:themeColor="background1" w:themeShade="A6"/>
            <w:sz w:val="16"/>
            <w:szCs w:val="20"/>
          </w:rPr>
          <w:t xml:space="preserve"> February 2016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sidR="00FD1335">
          <w:rPr>
            <w:color w:val="A6A6A6" w:themeColor="background1" w:themeShade="A6"/>
            <w:sz w:val="16"/>
            <w:szCs w:val="20"/>
          </w:rPr>
          <w:t>DOB2015/00486-0021</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4205BA">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16C" w:rsidRDefault="008E216C" w:rsidP="00293A72">
      <w:r>
        <w:separator/>
      </w:r>
    </w:p>
  </w:footnote>
  <w:footnote w:type="continuationSeparator" w:id="0">
    <w:p w:rsidR="008E216C" w:rsidRDefault="008E216C"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D09EFBD4"/>
    <w:lvl w:ilvl="0" w:tplc="B18A79F8">
      <w:start w:val="1"/>
      <w:numFmt w:val="decimal"/>
      <w:lvlText w:val="%1."/>
      <w:lvlJc w:val="left"/>
      <w:pPr>
        <w:ind w:left="786" w:hanging="360"/>
      </w:pPr>
      <w:rPr>
        <w:sz w:val="22"/>
        <w:szCs w:val="22"/>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0AB0393E"/>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371B3455"/>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626EA6"/>
    <w:multiLevelType w:val="hybridMultilevel"/>
    <w:tmpl w:val="976802B6"/>
    <w:lvl w:ilvl="0" w:tplc="1BEC9EE8">
      <w:start w:val="1"/>
      <w:numFmt w:val="decimal"/>
      <w:lvlText w:val="%1."/>
      <w:lvlJc w:val="left"/>
      <w:pPr>
        <w:ind w:left="928" w:hanging="360"/>
      </w:pPr>
      <w:rPr>
        <w:rFonts w:hint="default"/>
        <w:b w:val="0"/>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64F008F4"/>
    <w:multiLevelType w:val="hybridMultilevel"/>
    <w:tmpl w:val="B0367E9A"/>
    <w:lvl w:ilvl="0" w:tplc="0C09000F">
      <w:start w:val="1"/>
      <w:numFmt w:val="decimal"/>
      <w:lvlText w:val="%1."/>
      <w:lvlJc w:val="left"/>
      <w:pPr>
        <w:ind w:left="1353"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0"/>
  </w:num>
  <w:num w:numId="2">
    <w:abstractNumId w:val="10"/>
  </w:num>
  <w:num w:numId="3">
    <w:abstractNumId w:val="10"/>
  </w:num>
  <w:num w:numId="4">
    <w:abstractNumId w:val="10"/>
  </w:num>
  <w:num w:numId="5">
    <w:abstractNumId w:val="0"/>
  </w:num>
  <w:num w:numId="6">
    <w:abstractNumId w:val="5"/>
  </w:num>
  <w:num w:numId="7">
    <w:abstractNumId w:val="6"/>
  </w:num>
  <w:num w:numId="8">
    <w:abstractNumId w:val="8"/>
  </w:num>
  <w:num w:numId="9">
    <w:abstractNumId w:val="21"/>
  </w:num>
  <w:num w:numId="10">
    <w:abstractNumId w:val="9"/>
  </w:num>
  <w:num w:numId="11">
    <w:abstractNumId w:val="19"/>
  </w:num>
  <w:num w:numId="12">
    <w:abstractNumId w:val="3"/>
  </w:num>
  <w:num w:numId="13">
    <w:abstractNumId w:val="18"/>
  </w:num>
  <w:num w:numId="14">
    <w:abstractNumId w:val="7"/>
  </w:num>
  <w:num w:numId="15">
    <w:abstractNumId w:val="15"/>
  </w:num>
  <w:num w:numId="16">
    <w:abstractNumId w:val="2"/>
  </w:num>
  <w:num w:numId="17">
    <w:abstractNumId w:val="12"/>
  </w:num>
  <w:num w:numId="18">
    <w:abstractNumId w:val="20"/>
  </w:num>
  <w:num w:numId="19">
    <w:abstractNumId w:val="14"/>
  </w:num>
  <w:num w:numId="20">
    <w:abstractNumId w:val="22"/>
  </w:num>
  <w:num w:numId="21">
    <w:abstractNumId w:val="16"/>
  </w:num>
  <w:num w:numId="22">
    <w:abstractNumId w:val="1"/>
  </w:num>
  <w:num w:numId="23">
    <w:abstractNumId w:val="11"/>
  </w:num>
  <w:num w:numId="24">
    <w:abstractNumId w:val="4"/>
  </w:num>
  <w:num w:numId="25">
    <w:abstractNumId w:val="1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13209"/>
    <w:rsid w:val="00020B12"/>
    <w:rsid w:val="000251D6"/>
    <w:rsid w:val="00033323"/>
    <w:rsid w:val="00037217"/>
    <w:rsid w:val="000519A2"/>
    <w:rsid w:val="00061F7E"/>
    <w:rsid w:val="00065C4C"/>
    <w:rsid w:val="0007259C"/>
    <w:rsid w:val="00073ECA"/>
    <w:rsid w:val="0007569C"/>
    <w:rsid w:val="00090012"/>
    <w:rsid w:val="00090245"/>
    <w:rsid w:val="0009695A"/>
    <w:rsid w:val="000A5093"/>
    <w:rsid w:val="000B090B"/>
    <w:rsid w:val="000B5975"/>
    <w:rsid w:val="000C07CC"/>
    <w:rsid w:val="000D0C27"/>
    <w:rsid w:val="000D2696"/>
    <w:rsid w:val="000D331C"/>
    <w:rsid w:val="000F0431"/>
    <w:rsid w:val="000F40A9"/>
    <w:rsid w:val="001041C0"/>
    <w:rsid w:val="00107C87"/>
    <w:rsid w:val="00116023"/>
    <w:rsid w:val="00117743"/>
    <w:rsid w:val="00117F5B"/>
    <w:rsid w:val="001250E7"/>
    <w:rsid w:val="001277FA"/>
    <w:rsid w:val="00127D50"/>
    <w:rsid w:val="00140FDD"/>
    <w:rsid w:val="00141560"/>
    <w:rsid w:val="0014385B"/>
    <w:rsid w:val="00146CFA"/>
    <w:rsid w:val="001505FB"/>
    <w:rsid w:val="001508BE"/>
    <w:rsid w:val="00151524"/>
    <w:rsid w:val="001552A6"/>
    <w:rsid w:val="00160212"/>
    <w:rsid w:val="001620E9"/>
    <w:rsid w:val="0017294F"/>
    <w:rsid w:val="00175621"/>
    <w:rsid w:val="00176F0D"/>
    <w:rsid w:val="00182E72"/>
    <w:rsid w:val="00184EFE"/>
    <w:rsid w:val="00194D7F"/>
    <w:rsid w:val="001A2B7F"/>
    <w:rsid w:val="001E0F80"/>
    <w:rsid w:val="001E2178"/>
    <w:rsid w:val="001E3A78"/>
    <w:rsid w:val="001E5EB4"/>
    <w:rsid w:val="001F76BC"/>
    <w:rsid w:val="00205CA3"/>
    <w:rsid w:val="00206E08"/>
    <w:rsid w:val="002073A4"/>
    <w:rsid w:val="00210093"/>
    <w:rsid w:val="0021413A"/>
    <w:rsid w:val="00220937"/>
    <w:rsid w:val="00230DDA"/>
    <w:rsid w:val="00244FF0"/>
    <w:rsid w:val="00245650"/>
    <w:rsid w:val="00265401"/>
    <w:rsid w:val="00284A86"/>
    <w:rsid w:val="002929EB"/>
    <w:rsid w:val="002935BE"/>
    <w:rsid w:val="00293A72"/>
    <w:rsid w:val="002A548A"/>
    <w:rsid w:val="002A79F8"/>
    <w:rsid w:val="002B0DEC"/>
    <w:rsid w:val="002E6443"/>
    <w:rsid w:val="002F2885"/>
    <w:rsid w:val="002F60ED"/>
    <w:rsid w:val="00315827"/>
    <w:rsid w:val="00322F46"/>
    <w:rsid w:val="00342283"/>
    <w:rsid w:val="00347B47"/>
    <w:rsid w:val="003569C9"/>
    <w:rsid w:val="003630C7"/>
    <w:rsid w:val="0037055F"/>
    <w:rsid w:val="00373494"/>
    <w:rsid w:val="0038496D"/>
    <w:rsid w:val="003918BF"/>
    <w:rsid w:val="00394AAF"/>
    <w:rsid w:val="003A21D9"/>
    <w:rsid w:val="003A5D36"/>
    <w:rsid w:val="003B7A67"/>
    <w:rsid w:val="003C2211"/>
    <w:rsid w:val="003C234E"/>
    <w:rsid w:val="003C76C1"/>
    <w:rsid w:val="003C7905"/>
    <w:rsid w:val="003D2157"/>
    <w:rsid w:val="003D24B4"/>
    <w:rsid w:val="003D7500"/>
    <w:rsid w:val="003E045C"/>
    <w:rsid w:val="003E7505"/>
    <w:rsid w:val="003F790A"/>
    <w:rsid w:val="0040222A"/>
    <w:rsid w:val="0040316A"/>
    <w:rsid w:val="004047BC"/>
    <w:rsid w:val="00411E9B"/>
    <w:rsid w:val="00416535"/>
    <w:rsid w:val="004205BA"/>
    <w:rsid w:val="00425340"/>
    <w:rsid w:val="00426E25"/>
    <w:rsid w:val="0042790A"/>
    <w:rsid w:val="00441A6B"/>
    <w:rsid w:val="004423E6"/>
    <w:rsid w:val="0046387B"/>
    <w:rsid w:val="004732FE"/>
    <w:rsid w:val="00483F7E"/>
    <w:rsid w:val="00486067"/>
    <w:rsid w:val="004873C6"/>
    <w:rsid w:val="004A37BA"/>
    <w:rsid w:val="004B70BC"/>
    <w:rsid w:val="004C5B41"/>
    <w:rsid w:val="004C6508"/>
    <w:rsid w:val="004E2627"/>
    <w:rsid w:val="004F4447"/>
    <w:rsid w:val="0050150D"/>
    <w:rsid w:val="00503996"/>
    <w:rsid w:val="0050532A"/>
    <w:rsid w:val="00512F0E"/>
    <w:rsid w:val="005257EC"/>
    <w:rsid w:val="005303FC"/>
    <w:rsid w:val="00530A50"/>
    <w:rsid w:val="00532F5C"/>
    <w:rsid w:val="00543A1E"/>
    <w:rsid w:val="0054571C"/>
    <w:rsid w:val="00553AF2"/>
    <w:rsid w:val="00554FD1"/>
    <w:rsid w:val="005654B8"/>
    <w:rsid w:val="00570BC3"/>
    <w:rsid w:val="00580C27"/>
    <w:rsid w:val="00587446"/>
    <w:rsid w:val="00590A64"/>
    <w:rsid w:val="00591B49"/>
    <w:rsid w:val="00592EF8"/>
    <w:rsid w:val="005A6D6D"/>
    <w:rsid w:val="005B25C4"/>
    <w:rsid w:val="005B5AC2"/>
    <w:rsid w:val="005C47C1"/>
    <w:rsid w:val="005D1EE0"/>
    <w:rsid w:val="005D72CE"/>
    <w:rsid w:val="005D786F"/>
    <w:rsid w:val="005E24DC"/>
    <w:rsid w:val="005E4681"/>
    <w:rsid w:val="006038D3"/>
    <w:rsid w:val="006163AB"/>
    <w:rsid w:val="00630155"/>
    <w:rsid w:val="006400D3"/>
    <w:rsid w:val="006419C4"/>
    <w:rsid w:val="00643D36"/>
    <w:rsid w:val="00650F5B"/>
    <w:rsid w:val="006513AF"/>
    <w:rsid w:val="00655618"/>
    <w:rsid w:val="00656256"/>
    <w:rsid w:val="006627E4"/>
    <w:rsid w:val="00662B26"/>
    <w:rsid w:val="00662DAD"/>
    <w:rsid w:val="006643D0"/>
    <w:rsid w:val="006719EA"/>
    <w:rsid w:val="00674E97"/>
    <w:rsid w:val="006770F2"/>
    <w:rsid w:val="00681CE0"/>
    <w:rsid w:val="006857EC"/>
    <w:rsid w:val="0068683B"/>
    <w:rsid w:val="00692285"/>
    <w:rsid w:val="006A2598"/>
    <w:rsid w:val="006A2710"/>
    <w:rsid w:val="006B4310"/>
    <w:rsid w:val="006C07A1"/>
    <w:rsid w:val="006C668D"/>
    <w:rsid w:val="006F3617"/>
    <w:rsid w:val="007023AB"/>
    <w:rsid w:val="00705F26"/>
    <w:rsid w:val="00722DDB"/>
    <w:rsid w:val="0073034C"/>
    <w:rsid w:val="00732767"/>
    <w:rsid w:val="007408F5"/>
    <w:rsid w:val="007476FD"/>
    <w:rsid w:val="00747F28"/>
    <w:rsid w:val="00761A80"/>
    <w:rsid w:val="00770807"/>
    <w:rsid w:val="007769A4"/>
    <w:rsid w:val="007805CB"/>
    <w:rsid w:val="00787D74"/>
    <w:rsid w:val="00791E11"/>
    <w:rsid w:val="007938DA"/>
    <w:rsid w:val="007A3A0F"/>
    <w:rsid w:val="007A3B66"/>
    <w:rsid w:val="007B6A96"/>
    <w:rsid w:val="007B6F10"/>
    <w:rsid w:val="007C295B"/>
    <w:rsid w:val="007D4D33"/>
    <w:rsid w:val="007E01C6"/>
    <w:rsid w:val="0080624F"/>
    <w:rsid w:val="008113B1"/>
    <w:rsid w:val="00815F68"/>
    <w:rsid w:val="00816026"/>
    <w:rsid w:val="00817AF1"/>
    <w:rsid w:val="008313C4"/>
    <w:rsid w:val="008516CC"/>
    <w:rsid w:val="0085544C"/>
    <w:rsid w:val="00856C0A"/>
    <w:rsid w:val="0086109D"/>
    <w:rsid w:val="00861DC3"/>
    <w:rsid w:val="0086745F"/>
    <w:rsid w:val="0087091E"/>
    <w:rsid w:val="008811AA"/>
    <w:rsid w:val="0088588D"/>
    <w:rsid w:val="008A27E4"/>
    <w:rsid w:val="008A32EB"/>
    <w:rsid w:val="008E216C"/>
    <w:rsid w:val="008E22F8"/>
    <w:rsid w:val="008E47CE"/>
    <w:rsid w:val="008E63B1"/>
    <w:rsid w:val="008F70BE"/>
    <w:rsid w:val="00930D60"/>
    <w:rsid w:val="00936A77"/>
    <w:rsid w:val="009616DF"/>
    <w:rsid w:val="009641E3"/>
    <w:rsid w:val="009815A9"/>
    <w:rsid w:val="00986421"/>
    <w:rsid w:val="0098759C"/>
    <w:rsid w:val="009940F9"/>
    <w:rsid w:val="009A73E5"/>
    <w:rsid w:val="009C079F"/>
    <w:rsid w:val="009D153B"/>
    <w:rsid w:val="009D65D7"/>
    <w:rsid w:val="009D7C94"/>
    <w:rsid w:val="009E096F"/>
    <w:rsid w:val="009E2332"/>
    <w:rsid w:val="009F4D67"/>
    <w:rsid w:val="00A04BDC"/>
    <w:rsid w:val="00A1772B"/>
    <w:rsid w:val="00A234B1"/>
    <w:rsid w:val="00A24D7D"/>
    <w:rsid w:val="00A37DDA"/>
    <w:rsid w:val="00A704E6"/>
    <w:rsid w:val="00A8061F"/>
    <w:rsid w:val="00AA16B6"/>
    <w:rsid w:val="00AC3FD1"/>
    <w:rsid w:val="00AD06A3"/>
    <w:rsid w:val="00AD0B03"/>
    <w:rsid w:val="00AE7B5D"/>
    <w:rsid w:val="00B12589"/>
    <w:rsid w:val="00B17CAF"/>
    <w:rsid w:val="00B3067F"/>
    <w:rsid w:val="00B32D1A"/>
    <w:rsid w:val="00B44012"/>
    <w:rsid w:val="00B54E86"/>
    <w:rsid w:val="00B61B26"/>
    <w:rsid w:val="00B8518A"/>
    <w:rsid w:val="00B96BD8"/>
    <w:rsid w:val="00BA75DE"/>
    <w:rsid w:val="00BB0A00"/>
    <w:rsid w:val="00BB4846"/>
    <w:rsid w:val="00BC1372"/>
    <w:rsid w:val="00BC1846"/>
    <w:rsid w:val="00BC4320"/>
    <w:rsid w:val="00BC7928"/>
    <w:rsid w:val="00BE75A5"/>
    <w:rsid w:val="00BF158B"/>
    <w:rsid w:val="00BF6661"/>
    <w:rsid w:val="00C00907"/>
    <w:rsid w:val="00C04D9C"/>
    <w:rsid w:val="00C067E1"/>
    <w:rsid w:val="00C1505C"/>
    <w:rsid w:val="00C2295F"/>
    <w:rsid w:val="00C26CCD"/>
    <w:rsid w:val="00C345B1"/>
    <w:rsid w:val="00C36B82"/>
    <w:rsid w:val="00C40C00"/>
    <w:rsid w:val="00C53B5A"/>
    <w:rsid w:val="00C579D3"/>
    <w:rsid w:val="00C6059D"/>
    <w:rsid w:val="00C62099"/>
    <w:rsid w:val="00C65417"/>
    <w:rsid w:val="00C72848"/>
    <w:rsid w:val="00C75E81"/>
    <w:rsid w:val="00C81E12"/>
    <w:rsid w:val="00C82D5A"/>
    <w:rsid w:val="00C9363A"/>
    <w:rsid w:val="00C96786"/>
    <w:rsid w:val="00CA6DDE"/>
    <w:rsid w:val="00CB7DC0"/>
    <w:rsid w:val="00CC3330"/>
    <w:rsid w:val="00CC5AF5"/>
    <w:rsid w:val="00CC768C"/>
    <w:rsid w:val="00CD1BE0"/>
    <w:rsid w:val="00CD451C"/>
    <w:rsid w:val="00CE5E50"/>
    <w:rsid w:val="00D02AA7"/>
    <w:rsid w:val="00D044AA"/>
    <w:rsid w:val="00D17A30"/>
    <w:rsid w:val="00D25638"/>
    <w:rsid w:val="00D265AE"/>
    <w:rsid w:val="00D27945"/>
    <w:rsid w:val="00D33764"/>
    <w:rsid w:val="00D42C89"/>
    <w:rsid w:val="00D470F0"/>
    <w:rsid w:val="00D55BBF"/>
    <w:rsid w:val="00D80A15"/>
    <w:rsid w:val="00D829E9"/>
    <w:rsid w:val="00D840DD"/>
    <w:rsid w:val="00D92D3F"/>
    <w:rsid w:val="00D975C0"/>
    <w:rsid w:val="00DB0EEC"/>
    <w:rsid w:val="00DB3B7B"/>
    <w:rsid w:val="00DC3E7D"/>
    <w:rsid w:val="00DC5DD9"/>
    <w:rsid w:val="00DD0C69"/>
    <w:rsid w:val="00DD5638"/>
    <w:rsid w:val="00DD7F4C"/>
    <w:rsid w:val="00DE0886"/>
    <w:rsid w:val="00DE3BD1"/>
    <w:rsid w:val="00DE7143"/>
    <w:rsid w:val="00DE71E4"/>
    <w:rsid w:val="00DF0487"/>
    <w:rsid w:val="00E07444"/>
    <w:rsid w:val="00E1681A"/>
    <w:rsid w:val="00E30907"/>
    <w:rsid w:val="00E3121D"/>
    <w:rsid w:val="00E34E0A"/>
    <w:rsid w:val="00E371EA"/>
    <w:rsid w:val="00E41C2A"/>
    <w:rsid w:val="00E619FF"/>
    <w:rsid w:val="00E62781"/>
    <w:rsid w:val="00E6625A"/>
    <w:rsid w:val="00E71A10"/>
    <w:rsid w:val="00E76967"/>
    <w:rsid w:val="00E81309"/>
    <w:rsid w:val="00E823AF"/>
    <w:rsid w:val="00E85526"/>
    <w:rsid w:val="00E85A3E"/>
    <w:rsid w:val="00EA1A20"/>
    <w:rsid w:val="00EA37E4"/>
    <w:rsid w:val="00EB758F"/>
    <w:rsid w:val="00EC03C8"/>
    <w:rsid w:val="00EC7F7B"/>
    <w:rsid w:val="00EE7F0E"/>
    <w:rsid w:val="00EF14FB"/>
    <w:rsid w:val="00F03158"/>
    <w:rsid w:val="00F1351E"/>
    <w:rsid w:val="00F15C61"/>
    <w:rsid w:val="00F15ED0"/>
    <w:rsid w:val="00F262F1"/>
    <w:rsid w:val="00F31814"/>
    <w:rsid w:val="00F31EE1"/>
    <w:rsid w:val="00F37CFA"/>
    <w:rsid w:val="00F41832"/>
    <w:rsid w:val="00F51BDB"/>
    <w:rsid w:val="00F53185"/>
    <w:rsid w:val="00F534F3"/>
    <w:rsid w:val="00F54FC0"/>
    <w:rsid w:val="00F60C05"/>
    <w:rsid w:val="00F6779E"/>
    <w:rsid w:val="00F76467"/>
    <w:rsid w:val="00F76DDE"/>
    <w:rsid w:val="00F775BB"/>
    <w:rsid w:val="00F9258F"/>
    <w:rsid w:val="00F92910"/>
    <w:rsid w:val="00F96B49"/>
    <w:rsid w:val="00FB31AE"/>
    <w:rsid w:val="00FC32C1"/>
    <w:rsid w:val="00FD00B0"/>
    <w:rsid w:val="00FD1042"/>
    <w:rsid w:val="00FD1335"/>
    <w:rsid w:val="00FD6B1F"/>
    <w:rsid w:val="00FE5096"/>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character" w:customStyle="1" w:styleId="SubparaChar">
    <w:name w:val="Subpara Char"/>
    <w:link w:val="Subpara"/>
    <w:rsid w:val="00E371EA"/>
    <w:rPr>
      <w:rFonts w:ascii="Helvetica" w:hAnsi="Helvetica"/>
      <w:sz w:val="24"/>
      <w:szCs w:val="24"/>
    </w:rPr>
  </w:style>
  <w:style w:type="paragraph" w:customStyle="1" w:styleId="Subpara">
    <w:name w:val="Subpara"/>
    <w:basedOn w:val="Paragraph"/>
    <w:link w:val="SubparaChar"/>
    <w:rsid w:val="00E371EA"/>
    <w:pPr>
      <w:ind w:left="2268"/>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E3442"/>
    <w:rsid w:val="001524F2"/>
    <w:rsid w:val="002B3B96"/>
    <w:rsid w:val="002C6384"/>
    <w:rsid w:val="002D4C43"/>
    <w:rsid w:val="003147DB"/>
    <w:rsid w:val="00691588"/>
    <w:rsid w:val="006B55B3"/>
    <w:rsid w:val="00941C01"/>
    <w:rsid w:val="00BD6E5F"/>
    <w:rsid w:val="00C43B85"/>
    <w:rsid w:val="00DA1B94"/>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B522A9BD-3BB1-4A71-A50C-CC54608E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4803</Words>
  <Characters>27379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32118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Village Social and Sports Club Inc - Application for increase in Gaming Machines</dc:title>
  <dc:creator>Cindy Bravos</dc:creator>
  <cp:lastModifiedBy>Marlene Woods</cp:lastModifiedBy>
  <cp:revision>9</cp:revision>
  <cp:lastPrinted>2016-02-26T06:49:00Z</cp:lastPrinted>
  <dcterms:created xsi:type="dcterms:W3CDTF">2016-02-19T03:33:00Z</dcterms:created>
  <dcterms:modified xsi:type="dcterms:W3CDTF">2016-03-21T06:19:00Z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