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AB2049">
        <w:rPr>
          <w:rFonts w:cs="Arial"/>
        </w:rPr>
        <w:t>Katherine Country Club</w:t>
      </w:r>
    </w:p>
    <w:p w:rsidR="009B5150" w:rsidRDefault="00AB2049" w:rsidP="00D33764">
      <w:pPr>
        <w:pStyle w:val="Tabformatting"/>
        <w:spacing w:after="0"/>
        <w:rPr>
          <w:rFonts w:cs="Arial"/>
        </w:rPr>
      </w:pPr>
      <w:r>
        <w:rPr>
          <w:rFonts w:cs="Arial"/>
        </w:rPr>
        <w:tab/>
        <w:t>Pearce Street</w:t>
      </w:r>
    </w:p>
    <w:p w:rsidR="00D33764" w:rsidRPr="00655618" w:rsidRDefault="00D33764" w:rsidP="001620E9">
      <w:pPr>
        <w:pStyle w:val="Tabformatting"/>
        <w:rPr>
          <w:rFonts w:cs="Arial"/>
        </w:rPr>
      </w:pPr>
      <w:r w:rsidRPr="00655618">
        <w:rPr>
          <w:rFonts w:cs="Arial"/>
        </w:rPr>
        <w:tab/>
      </w:r>
      <w:proofErr w:type="gramStart"/>
      <w:r w:rsidR="00AB2049">
        <w:rPr>
          <w:rFonts w:cs="Arial"/>
        </w:rPr>
        <w:t>Katherine  NT</w:t>
      </w:r>
      <w:proofErr w:type="gramEnd"/>
      <w:r w:rsidR="00AB2049">
        <w:rPr>
          <w:rFonts w:cs="Arial"/>
        </w:rPr>
        <w:t xml:space="preserve">  0850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AB2049">
        <w:rPr>
          <w:rFonts w:cs="Arial"/>
        </w:rPr>
        <w:t>Katherine Country Club Inc.</w:t>
      </w:r>
    </w:p>
    <w:p w:rsidR="00CC3330" w:rsidRPr="00655618" w:rsidRDefault="00AB2049" w:rsidP="001620E9">
      <w:pPr>
        <w:pStyle w:val="Tabformatting"/>
        <w:rPr>
          <w:rFonts w:cs="Arial"/>
        </w:rPr>
      </w:pPr>
      <w:r>
        <w:rPr>
          <w:rFonts w:cs="Arial"/>
          <w:b/>
        </w:rPr>
        <w:t xml:space="preserve">Dual </w:t>
      </w:r>
      <w:r w:rsidR="00CC3330" w:rsidRPr="00655618">
        <w:rPr>
          <w:rFonts w:cs="Arial"/>
          <w:b/>
        </w:rPr>
        <w:t>Nominee</w:t>
      </w:r>
      <w:r>
        <w:rPr>
          <w:rFonts w:cs="Arial"/>
          <w:b/>
        </w:rPr>
        <w:t>s</w:t>
      </w:r>
      <w:r w:rsidR="00CC3330" w:rsidRPr="00655618">
        <w:rPr>
          <w:rFonts w:cs="Arial"/>
        </w:rPr>
        <w:t>:</w:t>
      </w:r>
      <w:r w:rsidR="00CC3330" w:rsidRPr="00655618">
        <w:rPr>
          <w:rFonts w:cs="Arial"/>
        </w:rPr>
        <w:tab/>
      </w:r>
      <w:r w:rsidR="00D33764" w:rsidRPr="00655618">
        <w:rPr>
          <w:rFonts w:cs="Arial"/>
        </w:rPr>
        <w:t xml:space="preserve">Mr </w:t>
      </w:r>
      <w:r>
        <w:rPr>
          <w:rFonts w:cs="Arial"/>
        </w:rPr>
        <w:t xml:space="preserve">Frank Dalton and Ms Jennifer </w:t>
      </w:r>
      <w:proofErr w:type="spellStart"/>
      <w:r>
        <w:rPr>
          <w:rFonts w:cs="Arial"/>
        </w:rPr>
        <w:t>McCulley</w:t>
      </w:r>
      <w:proofErr w:type="spellEnd"/>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AB2049">
        <w:rPr>
          <w:rFonts w:cs="Arial"/>
        </w:rPr>
        <w:t xml:space="preserve">A/Deputy </w:t>
      </w:r>
      <w:r w:rsidR="006770F2" w:rsidRPr="00655618">
        <w:rPr>
          <w:rFonts w:cs="Arial"/>
        </w:rPr>
        <w:t xml:space="preserve">Director-General </w:t>
      </w:r>
      <w:r w:rsidR="00AB2049">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23</w:t>
      </w:r>
      <w:r w:rsidR="00AB2049">
        <w:rPr>
          <w:rFonts w:cs="Arial"/>
        </w:rPr>
        <w:t xml:space="preserve"> August 2016</w:t>
      </w:r>
    </w:p>
    <w:p w:rsidR="001620E9" w:rsidRPr="00655618" w:rsidRDefault="001620E9" w:rsidP="001620E9">
      <w:pPr>
        <w:pStyle w:val="BottomLine"/>
        <w:rPr>
          <w:rFonts w:cs="Arial"/>
        </w:rPr>
      </w:pPr>
    </w:p>
    <w:p w:rsidR="00D33764" w:rsidRPr="00655618" w:rsidRDefault="00C36B82" w:rsidP="00747F39">
      <w:pPr>
        <w:pStyle w:val="Heading2"/>
        <w:spacing w:before="120"/>
      </w:pPr>
      <w:r w:rsidRPr="00655618">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170AE4">
        <w:rPr>
          <w:rFonts w:cs="Arial"/>
          <w:szCs w:val="24"/>
        </w:rPr>
        <w:t>1</w:t>
      </w:r>
      <w:r w:rsidR="00AB2049">
        <w:rPr>
          <w:rFonts w:cs="Arial"/>
          <w:szCs w:val="24"/>
        </w:rPr>
        <w:t>0 May 2016</w:t>
      </w:r>
      <w:r w:rsidRPr="00655618">
        <w:rPr>
          <w:rFonts w:cs="Arial"/>
          <w:szCs w:val="24"/>
        </w:rPr>
        <w:t>,</w:t>
      </w:r>
      <w:r w:rsidR="00D33764" w:rsidRPr="00655618">
        <w:rPr>
          <w:rFonts w:cs="Arial"/>
          <w:szCs w:val="24"/>
        </w:rPr>
        <w:t xml:space="preserve"> Mr </w:t>
      </w:r>
      <w:r w:rsidR="00AB2049">
        <w:rPr>
          <w:rFonts w:cs="Arial"/>
          <w:szCs w:val="24"/>
        </w:rPr>
        <w:t xml:space="preserve">Anthony Adams and Mr Bradley </w:t>
      </w:r>
      <w:proofErr w:type="spellStart"/>
      <w:r w:rsidR="00AB2049">
        <w:rPr>
          <w:rFonts w:cs="Arial"/>
          <w:szCs w:val="24"/>
        </w:rPr>
        <w:t>Goodings</w:t>
      </w:r>
      <w:proofErr w:type="spellEnd"/>
      <w:r w:rsidR="00AB2049">
        <w:rPr>
          <w:rFonts w:cs="Arial"/>
          <w:szCs w:val="24"/>
        </w:rPr>
        <w:t>, Authorised Executive Officers of Katherine Country Club Inc</w:t>
      </w:r>
      <w:r w:rsidR="00170AE4">
        <w:rPr>
          <w:rFonts w:cs="Arial"/>
          <w:szCs w:val="24"/>
        </w:rPr>
        <w:t xml:space="preserve"> </w:t>
      </w:r>
      <w:r w:rsidR="00D33764" w:rsidRPr="00655618">
        <w:rPr>
          <w:rFonts w:cs="Arial"/>
          <w:szCs w:val="24"/>
        </w:rPr>
        <w:t>(“the Ap</w:t>
      </w:r>
      <w:bookmarkStart w:id="0" w:name="_GoBack"/>
      <w:bookmarkEnd w:id="0"/>
      <w:r w:rsidR="00D33764" w:rsidRPr="00655618">
        <w:rPr>
          <w:rFonts w:cs="Arial"/>
          <w:szCs w:val="24"/>
        </w:rPr>
        <w:t>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AB2049">
        <w:rPr>
          <w:rFonts w:cs="Arial"/>
          <w:szCs w:val="24"/>
        </w:rPr>
        <w:t>Katherine Country Club</w:t>
      </w:r>
      <w:r w:rsidRPr="00655618">
        <w:rPr>
          <w:rFonts w:cs="Arial"/>
          <w:szCs w:val="24"/>
        </w:rPr>
        <w:t xml:space="preserve"> </w:t>
      </w:r>
      <w:r w:rsidR="00322F46" w:rsidRPr="00655618">
        <w:rPr>
          <w:rFonts w:cs="Arial"/>
          <w:szCs w:val="24"/>
        </w:rPr>
        <w:t xml:space="preserve">(“the </w:t>
      </w:r>
      <w:r w:rsidR="00AB2049">
        <w:rPr>
          <w:rFonts w:cs="Arial"/>
          <w:szCs w:val="24"/>
        </w:rPr>
        <w:t>premises</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w:t>
      </w:r>
      <w:r w:rsidR="00AB2049">
        <w:rPr>
          <w:rFonts w:cs="Arial"/>
          <w:szCs w:val="24"/>
        </w:rPr>
        <w:t>b</w:t>
      </w:r>
      <w:r w:rsidRPr="00655618">
        <w:rPr>
          <w:rFonts w:cs="Arial"/>
          <w:szCs w:val="24"/>
        </w:rPr>
        <w:t>) of the Gaming Machine Regulations (</w:t>
      </w:r>
      <w:r w:rsidR="00532F5C">
        <w:rPr>
          <w:rFonts w:cs="Arial"/>
          <w:szCs w:val="24"/>
        </w:rPr>
        <w:t>“</w:t>
      </w:r>
      <w:r w:rsidRPr="00655618">
        <w:rPr>
          <w:rFonts w:cs="Arial"/>
          <w:szCs w:val="24"/>
        </w:rPr>
        <w:t xml:space="preserve">the Regulations”) sets the maximum number of gaming machines that may be authorised for Category </w:t>
      </w:r>
      <w:r w:rsidR="00AB2049">
        <w:rPr>
          <w:rFonts w:cs="Arial"/>
          <w:szCs w:val="24"/>
        </w:rPr>
        <w:t>2</w:t>
      </w:r>
      <w:r w:rsidRPr="00655618">
        <w:rPr>
          <w:rFonts w:cs="Arial"/>
          <w:szCs w:val="24"/>
        </w:rPr>
        <w:t xml:space="preserve"> licensed premise</w:t>
      </w:r>
      <w:r w:rsidR="005236E8">
        <w:rPr>
          <w:rFonts w:cs="Arial"/>
          <w:szCs w:val="24"/>
        </w:rPr>
        <w:t>s</w:t>
      </w:r>
      <w:r w:rsidRPr="00655618">
        <w:rPr>
          <w:rFonts w:cs="Arial"/>
          <w:szCs w:val="24"/>
        </w:rPr>
        <w:t xml:space="preserv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w:t>
      </w:r>
      <w:r w:rsidR="00AB2049">
        <w:rPr>
          <w:rFonts w:cs="Arial"/>
          <w:szCs w:val="24"/>
        </w:rPr>
        <w:t>b</w:t>
      </w:r>
      <w:r w:rsidRPr="00B3067F">
        <w:rPr>
          <w:rFonts w:cs="Arial"/>
          <w:szCs w:val="24"/>
        </w:rPr>
        <w:t xml:space="preserve">) of the Regulations defines Category </w:t>
      </w:r>
      <w:r w:rsidR="00AB2049">
        <w:rPr>
          <w:rFonts w:cs="Arial"/>
          <w:szCs w:val="24"/>
        </w:rPr>
        <w:t>2</w:t>
      </w:r>
      <w:r w:rsidRPr="00B3067F">
        <w:rPr>
          <w:rFonts w:cs="Arial"/>
          <w:szCs w:val="24"/>
        </w:rPr>
        <w:t xml:space="preserve"> licensed premise</w:t>
      </w:r>
      <w:r w:rsidR="005236E8">
        <w:rPr>
          <w:rFonts w:cs="Arial"/>
          <w:szCs w:val="24"/>
        </w:rPr>
        <w:t>s</w:t>
      </w:r>
      <w:r w:rsidRPr="00B3067F">
        <w:rPr>
          <w:rFonts w:cs="Arial"/>
          <w:szCs w:val="24"/>
        </w:rPr>
        <w:t xml:space="preserve"> </w:t>
      </w:r>
      <w:r w:rsidR="0040316A" w:rsidRPr="00B3067F">
        <w:rPr>
          <w:rFonts w:cs="Arial"/>
          <w:szCs w:val="24"/>
        </w:rPr>
        <w:t>as premise</w:t>
      </w:r>
      <w:r w:rsidR="005236E8">
        <w:rPr>
          <w:rFonts w:cs="Arial"/>
          <w:szCs w:val="24"/>
        </w:rPr>
        <w:t>s</w:t>
      </w:r>
      <w:r w:rsidR="0040316A" w:rsidRPr="00B3067F">
        <w:rPr>
          <w:rFonts w:cs="Arial"/>
          <w:szCs w:val="24"/>
        </w:rPr>
        <w:t xml:space="preserve"> for which a </w:t>
      </w:r>
      <w:r w:rsidR="00AB2049">
        <w:rPr>
          <w:rFonts w:cs="Arial"/>
          <w:szCs w:val="24"/>
        </w:rPr>
        <w:t>club</w:t>
      </w:r>
      <w:r w:rsidR="0040316A" w:rsidRPr="00B3067F">
        <w:rPr>
          <w:rFonts w:cs="Arial"/>
          <w:szCs w:val="24"/>
        </w:rPr>
        <w:t xml:space="preserve">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AB2049">
        <w:rPr>
          <w:rFonts w:cs="Arial"/>
          <w:szCs w:val="24"/>
        </w:rPr>
        <w:t>CLUB (INCORPORATED)</w:t>
      </w:r>
      <w:r w:rsidRPr="00B3067F">
        <w:rPr>
          <w:rFonts w:cs="Arial"/>
          <w:szCs w:val="24"/>
        </w:rPr>
        <w:t xml:space="preserve"> (number 8</w:t>
      </w:r>
      <w:r w:rsidR="00AB2049">
        <w:rPr>
          <w:rFonts w:cs="Arial"/>
          <w:szCs w:val="24"/>
        </w:rPr>
        <w:t>1401075</w:t>
      </w:r>
      <w:r w:rsidRPr="00B3067F">
        <w:rPr>
          <w:rFonts w:cs="Arial"/>
          <w:szCs w:val="24"/>
        </w:rPr>
        <w:t xml:space="preserve">), which is defined under section 3 of the Act as a </w:t>
      </w:r>
      <w:r w:rsidR="00AB2049">
        <w:rPr>
          <w:rFonts w:cs="Arial"/>
          <w:szCs w:val="24"/>
        </w:rPr>
        <w:t>club</w:t>
      </w:r>
      <w:r w:rsidRPr="00B3067F">
        <w:rPr>
          <w:rFonts w:cs="Arial"/>
          <w:szCs w:val="24"/>
        </w:rPr>
        <w:t xml:space="preserve">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E30AA3">
        <w:rPr>
          <w:rFonts w:cs="Arial"/>
          <w:szCs w:val="24"/>
        </w:rPr>
        <w:t>GM</w:t>
      </w:r>
      <w:r w:rsidR="00AB2049">
        <w:rPr>
          <w:rFonts w:cs="Arial"/>
          <w:szCs w:val="24"/>
        </w:rPr>
        <w:t>119</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increase the number of gaming machines from its current level of</w:t>
      </w:r>
      <w:r w:rsidR="00AB2049">
        <w:rPr>
          <w:rFonts w:cs="Arial"/>
          <w:szCs w:val="22"/>
        </w:rPr>
        <w:t xml:space="preserve"> 35</w:t>
      </w:r>
      <w:r w:rsidR="003B7A67" w:rsidRPr="00B3067F">
        <w:rPr>
          <w:rFonts w:cs="Arial"/>
          <w:szCs w:val="22"/>
        </w:rPr>
        <w:t xml:space="preserve"> to a proposed new number of </w:t>
      </w:r>
      <w:r w:rsidR="00A31F5D">
        <w:rPr>
          <w:rFonts w:cs="Arial"/>
          <w:szCs w:val="22"/>
        </w:rPr>
        <w:t>45</w:t>
      </w:r>
      <w:r w:rsidR="003B7A67" w:rsidRPr="00B3067F">
        <w:rPr>
          <w:rFonts w:cs="Arial"/>
          <w:szCs w:val="22"/>
        </w:rPr>
        <w:t xml:space="preserve">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for the ten additional gaming machines applied for.</w:t>
      </w:r>
      <w:r w:rsidR="00A31F5D">
        <w:rPr>
          <w:rFonts w:cs="Arial"/>
          <w:szCs w:val="24"/>
        </w:rPr>
        <w:t xml:space="preserve">  No levy was due as the Applicant is not exceeding the previous maximum limit of 45 machines.</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lastRenderedPageBreak/>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747F39">
      <w:pPr>
        <w:pStyle w:val="Heading2"/>
      </w:pPr>
      <w:r>
        <w:t>Consideration</w:t>
      </w:r>
      <w:r w:rsidRPr="00B3067F">
        <w:t xml:space="preserve"> </w:t>
      </w:r>
      <w:r w:rsidR="00E07444" w:rsidRPr="00B3067F">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747F39" w:rsidRDefault="00F31EE1" w:rsidP="00747F39">
      <w:pPr>
        <w:pStyle w:val="Heading3"/>
      </w:pPr>
      <w:r w:rsidRPr="00747F39">
        <w:t>Increased number of gaming machines</w:t>
      </w:r>
    </w:p>
    <w:p w:rsidR="00F76467" w:rsidRPr="00B3067F" w:rsidRDefault="003B7A67" w:rsidP="00E30AA3">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A31F5D">
        <w:rPr>
          <w:rFonts w:cs="Arial"/>
          <w:szCs w:val="22"/>
        </w:rPr>
        <w:t>35</w:t>
      </w:r>
      <w:r w:rsidR="00F76467" w:rsidRPr="00655618">
        <w:rPr>
          <w:rFonts w:cs="Arial"/>
          <w:szCs w:val="22"/>
        </w:rPr>
        <w:t xml:space="preserve"> to a proposed new number of </w:t>
      </w:r>
      <w:r w:rsidR="00A31F5D">
        <w:rPr>
          <w:rFonts w:cs="Arial"/>
          <w:szCs w:val="22"/>
        </w:rPr>
        <w:t>45</w:t>
      </w:r>
      <w:r w:rsidR="00F76467" w:rsidRPr="00655618">
        <w:rPr>
          <w:rFonts w:cs="Arial"/>
          <w:szCs w:val="22"/>
        </w:rPr>
        <w:t xml:space="preserve"> gaming machines, an increase of </w:t>
      </w:r>
      <w:r w:rsidRPr="00655618">
        <w:rPr>
          <w:rFonts w:cs="Arial"/>
          <w:szCs w:val="22"/>
        </w:rPr>
        <w:t>ten</w:t>
      </w:r>
      <w:r w:rsidR="00F76467" w:rsidRPr="00B3067F">
        <w:rPr>
          <w:rFonts w:cs="Arial"/>
          <w:szCs w:val="22"/>
        </w:rPr>
        <w:t xml:space="preserve"> gaming machines</w:t>
      </w:r>
      <w:proofErr w:type="gramStart"/>
      <w:r w:rsidR="00F76467" w:rsidRPr="00B3067F">
        <w:rPr>
          <w:rFonts w:cs="Arial"/>
          <w:szCs w:val="22"/>
        </w:rPr>
        <w:t>.</w:t>
      </w:r>
      <w:r w:rsidR="00C816B9">
        <w:rPr>
          <w:rFonts w:cs="Arial"/>
          <w:szCs w:val="22"/>
        </w:rPr>
        <w:t xml:space="preserve">  </w:t>
      </w:r>
      <w:proofErr w:type="gramEnd"/>
      <w:r w:rsidR="00A31F5D">
        <w:rPr>
          <w:rFonts w:cs="Arial"/>
          <w:szCs w:val="22"/>
        </w:rPr>
        <w:t>The current maximum allowable for this Applicant is 55 machines.</w:t>
      </w:r>
    </w:p>
    <w:p w:rsidR="00F76467" w:rsidRPr="00B3067F" w:rsidRDefault="00F76467" w:rsidP="00E30AA3">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E30AA3">
        <w:rPr>
          <w:rFonts w:cs="Arial"/>
          <w:szCs w:val="22"/>
        </w:rPr>
        <w:t>Gaming Machine Licence No. GM</w:t>
      </w:r>
      <w:r w:rsidR="00A31F5D">
        <w:rPr>
          <w:rFonts w:cs="Arial"/>
          <w:szCs w:val="22"/>
        </w:rPr>
        <w:t>119</w:t>
      </w:r>
      <w:r w:rsidRPr="00B3067F">
        <w:rPr>
          <w:rFonts w:cs="Arial"/>
          <w:szCs w:val="22"/>
        </w:rPr>
        <w: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w:t>
      </w:r>
      <w:r w:rsidR="00A31F5D">
        <w:rPr>
          <w:rFonts w:cs="Arial"/>
          <w:szCs w:val="22"/>
        </w:rPr>
        <w:t>2</w:t>
      </w:r>
      <w:r w:rsidR="00090245" w:rsidRPr="00B3067F">
        <w:rPr>
          <w:rFonts w:cs="Arial"/>
          <w:szCs w:val="22"/>
        </w:rPr>
        <w:t xml:space="preserve"> licensed premise </w:t>
      </w:r>
      <w:r w:rsidRPr="00B3067F">
        <w:rPr>
          <w:rFonts w:cs="Arial"/>
          <w:szCs w:val="22"/>
        </w:rPr>
        <w:t xml:space="preserve">at </w:t>
      </w:r>
      <w:r w:rsidR="00A31F5D">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A31F5D">
        <w:rPr>
          <w:rFonts w:cs="Arial"/>
          <w:szCs w:val="24"/>
        </w:rPr>
        <w:t>CLUB (INCORPORATED)</w:t>
      </w:r>
      <w:r w:rsidR="00090245" w:rsidRPr="00B3067F">
        <w:rPr>
          <w:rFonts w:cs="Arial"/>
          <w:szCs w:val="24"/>
        </w:rPr>
        <w:t xml:space="preserve">, which is defined under section 3 of the Act as a </w:t>
      </w:r>
      <w:r w:rsidR="00A31F5D">
        <w:rPr>
          <w:rFonts w:cs="Arial"/>
          <w:szCs w:val="24"/>
        </w:rPr>
        <w:t>club</w:t>
      </w:r>
      <w:r w:rsidR="00090245" w:rsidRPr="00B3067F">
        <w:rPr>
          <w:rFonts w:cs="Arial"/>
          <w:szCs w:val="24"/>
        </w:rPr>
        <w:t xml:space="preserve"> li</w:t>
      </w:r>
      <w:r w:rsidR="0086745F" w:rsidRPr="00B3067F">
        <w:rPr>
          <w:rFonts w:cs="Arial"/>
          <w:szCs w:val="24"/>
        </w:rPr>
        <w:t xml:space="preserve">quor licence, the premises are considered to be a Category </w:t>
      </w:r>
      <w:r w:rsidR="00A31F5D">
        <w:rPr>
          <w:rFonts w:cs="Arial"/>
          <w:szCs w:val="24"/>
        </w:rPr>
        <w:t>2</w:t>
      </w:r>
      <w:r w:rsidR="0086745F" w:rsidRPr="00B3067F">
        <w:rPr>
          <w:rFonts w:cs="Arial"/>
          <w:szCs w:val="24"/>
        </w:rPr>
        <w:t>1 licensed premise pursuant to 2</w:t>
      </w:r>
      <w:r w:rsidR="00E30AA3">
        <w:rPr>
          <w:rFonts w:cs="Arial"/>
          <w:szCs w:val="24"/>
        </w:rPr>
        <w:t>(2)</w:t>
      </w:r>
      <w:r w:rsidR="0086745F" w:rsidRPr="00B3067F">
        <w:rPr>
          <w:rFonts w:cs="Arial"/>
          <w:szCs w:val="24"/>
        </w:rPr>
        <w:t>(</w:t>
      </w:r>
      <w:r w:rsidR="00A31F5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w:t>
      </w:r>
      <w:r w:rsidR="00A31F5D">
        <w:rPr>
          <w:rFonts w:cs="Arial"/>
          <w:szCs w:val="22"/>
        </w:rPr>
        <w:t>20</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within the statutory limit of </w:t>
      </w:r>
      <w:r w:rsidR="00A31F5D">
        <w:rPr>
          <w:rFonts w:cs="Arial"/>
          <w:szCs w:val="22"/>
        </w:rPr>
        <w:t>55</w:t>
      </w:r>
      <w:r w:rsidRPr="00B3067F">
        <w:rPr>
          <w:rFonts w:cs="Arial"/>
          <w:szCs w:val="22"/>
        </w:rPr>
        <w:t xml:space="preserve"> gaming machines.</w:t>
      </w:r>
    </w:p>
    <w:p w:rsidR="00F31EE1" w:rsidRPr="00587446" w:rsidRDefault="00F31EE1" w:rsidP="00747F39">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587446" w:rsidRDefault="006B4310" w:rsidP="00747F39">
      <w:pPr>
        <w:pStyle w:val="Heading4"/>
        <w:rPr>
          <w:rStyle w:val="Emphasis"/>
          <w:b w:val="0"/>
          <w:i w:val="0"/>
          <w:szCs w:val="24"/>
        </w:rPr>
      </w:pPr>
      <w:r w:rsidRPr="00587446">
        <w:rPr>
          <w:rStyle w:val="Emphasis"/>
          <w:i w:val="0"/>
          <w:szCs w:val="24"/>
        </w:rPr>
        <w:t>Suitability of Premises</w:t>
      </w:r>
      <w:r w:rsidR="004732FE" w:rsidRPr="00587446">
        <w:rPr>
          <w:rStyle w:val="Emphasis"/>
          <w:i w:val="0"/>
          <w:szCs w:val="24"/>
        </w:rPr>
        <w:t xml:space="preserve"> – size, layout and facilities</w:t>
      </w:r>
    </w:p>
    <w:p w:rsidR="006B4310" w:rsidRPr="00B3067F"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w:t>
      </w:r>
      <w:r w:rsidR="00323ACA">
        <w:rPr>
          <w:rFonts w:cs="Arial"/>
          <w:szCs w:val="22"/>
        </w:rPr>
        <w:t>gaming area occupies 29% of the total floor space</w:t>
      </w:r>
      <w:proofErr w:type="gramStart"/>
      <w:r w:rsidRPr="00655618">
        <w:rPr>
          <w:rFonts w:cs="Arial"/>
          <w:szCs w:val="22"/>
        </w:rPr>
        <w:t xml:space="preserve">.  </w:t>
      </w:r>
      <w:proofErr w:type="gramEnd"/>
      <w:r w:rsidRPr="00655618">
        <w:rPr>
          <w:rFonts w:cs="Arial"/>
          <w:szCs w:val="22"/>
        </w:rPr>
        <w:t>The CIA states that these percentages of floor space utili</w:t>
      </w:r>
      <w:r w:rsidR="00323ACA">
        <w:rPr>
          <w:rFonts w:cs="Arial"/>
          <w:szCs w:val="22"/>
        </w:rPr>
        <w:t>sation will not change in the event this application is approved.</w:t>
      </w:r>
    </w:p>
    <w:p w:rsidR="004732FE" w:rsidRPr="00587446" w:rsidRDefault="004732FE" w:rsidP="00747F39">
      <w:pPr>
        <w:pStyle w:val="Heading4"/>
        <w:rPr>
          <w:rStyle w:val="Emphasis"/>
          <w:b w:val="0"/>
          <w:i w:val="0"/>
        </w:rPr>
      </w:pPr>
      <w:r w:rsidRPr="00587446">
        <w:rPr>
          <w:rStyle w:val="Emphasis"/>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AA7967">
        <w:rPr>
          <w:rFonts w:cs="Arial"/>
          <w:szCs w:val="22"/>
        </w:rPr>
        <w:t xml:space="preserve">there is a mix of facilities at the venue including </w:t>
      </w:r>
      <w:r w:rsidR="00323ACA">
        <w:rPr>
          <w:rFonts w:cs="Arial"/>
          <w:szCs w:val="22"/>
        </w:rPr>
        <w:t>three bars, three restaurants and two function rooms</w:t>
      </w:r>
      <w:proofErr w:type="gramStart"/>
      <w:r w:rsidR="00323ACA">
        <w:rPr>
          <w:rFonts w:cs="Arial"/>
          <w:szCs w:val="22"/>
        </w:rPr>
        <w:t xml:space="preserve">.  </w:t>
      </w:r>
      <w:proofErr w:type="gramEnd"/>
      <w:r w:rsidR="00323ACA">
        <w:rPr>
          <w:rFonts w:cs="Arial"/>
          <w:szCs w:val="22"/>
        </w:rPr>
        <w:t>There is also a golf course, children’s playground, bowling rink</w:t>
      </w:r>
      <w:r w:rsidR="001167CD">
        <w:rPr>
          <w:rFonts w:cs="Arial"/>
          <w:szCs w:val="22"/>
        </w:rPr>
        <w:t xml:space="preserve"> and other entertainment facilities.  The premises also offers a TAB facility and KENO</w:t>
      </w:r>
      <w:proofErr w:type="gramStart"/>
      <w:r w:rsidR="001167CD">
        <w:rPr>
          <w:rFonts w:cs="Arial"/>
          <w:szCs w:val="22"/>
        </w:rPr>
        <w:t>.</w:t>
      </w:r>
      <w:r w:rsidR="00AA7967">
        <w:rPr>
          <w:rFonts w:cs="Arial"/>
          <w:szCs w:val="22"/>
        </w:rPr>
        <w:t xml:space="preserve">  </w:t>
      </w:r>
      <w:proofErr w:type="gramEnd"/>
      <w:r w:rsidR="00AA7967">
        <w:rPr>
          <w:rFonts w:cs="Arial"/>
          <w:szCs w:val="22"/>
        </w:rPr>
        <w:t xml:space="preserve">An examination of the floor plan of the venue shows that that there is a large alfresco dining area as well as a band stage area </w:t>
      </w:r>
      <w:r w:rsidR="001167CD">
        <w:rPr>
          <w:rFonts w:cs="Arial"/>
          <w:szCs w:val="22"/>
        </w:rPr>
        <w:t>outside on the grassed area of the premises</w:t>
      </w:r>
      <w:r w:rsidR="00AA7967">
        <w:rPr>
          <w:rFonts w:cs="Arial"/>
          <w:szCs w:val="22"/>
        </w:rPr>
        <w:t>.</w:t>
      </w:r>
    </w:p>
    <w:p w:rsidR="004732FE" w:rsidRPr="00B3067F" w:rsidRDefault="00AA7967" w:rsidP="00587446">
      <w:pPr>
        <w:pStyle w:val="ListParagraph"/>
        <w:numPr>
          <w:ilvl w:val="0"/>
          <w:numId w:val="12"/>
        </w:numPr>
        <w:spacing w:after="240"/>
        <w:ind w:left="567" w:hanging="425"/>
        <w:jc w:val="both"/>
        <w:rPr>
          <w:rFonts w:cs="Arial"/>
          <w:szCs w:val="22"/>
        </w:rPr>
      </w:pPr>
      <w:r>
        <w:rPr>
          <w:rFonts w:cs="Arial"/>
          <w:szCs w:val="22"/>
        </w:rPr>
        <w:t xml:space="preserve">The CIA </w:t>
      </w:r>
      <w:r w:rsidR="001167CD">
        <w:rPr>
          <w:rFonts w:cs="Arial"/>
          <w:szCs w:val="22"/>
        </w:rPr>
        <w:t>provides information regarding the venue’s financial performance.  In 2012 the total revenue was $4.6M with a net profit of $1.05M.  This has steadily risen in 2015 with total revenue in excess of $5.96M returning $1.32M.  In the period of financial years 2012-15 the club has experienced 26% growth in total revenue representing a dollar value of $1.3M.  This period also observed a 42% growth in gaming revenue of $0.9M with liquor sales growing at 21%.  Total revenues across all streams have increased at the premises each year.</w:t>
      </w:r>
    </w:p>
    <w:p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On the basis of the financial analysis provided</w:t>
      </w:r>
      <w:r w:rsidR="00993745">
        <w:rPr>
          <w:rFonts w:cs="Arial"/>
          <w:szCs w:val="22"/>
        </w:rPr>
        <w:t>,</w:t>
      </w:r>
      <w:r w:rsidRPr="00B3067F">
        <w:rPr>
          <w:rFonts w:cs="Arial"/>
          <w:szCs w:val="22"/>
        </w:rPr>
        <w:t xml:space="preserve"> it is app</w:t>
      </w:r>
      <w:r w:rsidR="00993745">
        <w:rPr>
          <w:rFonts w:cs="Arial"/>
          <w:szCs w:val="22"/>
        </w:rPr>
        <w:t>ears</w:t>
      </w:r>
      <w:r w:rsidRPr="00B3067F">
        <w:rPr>
          <w:rFonts w:cs="Arial"/>
          <w:szCs w:val="22"/>
        </w:rPr>
        <w:t xml:space="preserve"> that </w:t>
      </w:r>
      <w:r w:rsidR="001167CD">
        <w:rPr>
          <w:rFonts w:cs="Arial"/>
          <w:szCs w:val="22"/>
        </w:rPr>
        <w:t xml:space="preserve">gaming is a significant contributor to </w:t>
      </w:r>
      <w:r w:rsidRPr="00B3067F">
        <w:rPr>
          <w:rFonts w:cs="Arial"/>
          <w:szCs w:val="22"/>
        </w:rPr>
        <w:t>the venue’s revenue</w:t>
      </w:r>
      <w:r w:rsidR="00D157D9">
        <w:rPr>
          <w:rFonts w:cs="Arial"/>
          <w:szCs w:val="22"/>
        </w:rPr>
        <w:t>.  Since 2012 it has regularly contributed 40% of the overall revenue.  This has however grown in 2014 and 2015 to 43% and 47% respectively.</w:t>
      </w:r>
      <w:r w:rsidRPr="00B3067F">
        <w:rPr>
          <w:rFonts w:cs="Arial"/>
          <w:szCs w:val="22"/>
        </w:rPr>
        <w:t xml:space="preserve"> </w:t>
      </w:r>
      <w:r w:rsidR="00D157D9">
        <w:rPr>
          <w:rFonts w:cs="Arial"/>
          <w:szCs w:val="22"/>
        </w:rPr>
        <w:t xml:space="preserve">Whilst it cannot be said the primary activity </w:t>
      </w:r>
      <w:r w:rsidRPr="00B3067F">
        <w:rPr>
          <w:rFonts w:cs="Arial"/>
          <w:szCs w:val="22"/>
        </w:rPr>
        <w:t xml:space="preserve">of the </w:t>
      </w:r>
      <w:r w:rsidR="00D157D9">
        <w:rPr>
          <w:rFonts w:cs="Arial"/>
          <w:szCs w:val="22"/>
        </w:rPr>
        <w:t>premises</w:t>
      </w:r>
      <w:r w:rsidRPr="00B3067F">
        <w:rPr>
          <w:rFonts w:cs="Arial"/>
          <w:szCs w:val="22"/>
        </w:rPr>
        <w:t xml:space="preserve"> is </w:t>
      </w:r>
      <w:r w:rsidR="00D157D9">
        <w:rPr>
          <w:rFonts w:cs="Arial"/>
          <w:szCs w:val="22"/>
        </w:rPr>
        <w:t>that of its gaming machines, they clearly play an important role in the operation and growth the club has experienced.</w:t>
      </w:r>
    </w:p>
    <w:p w:rsidR="00AE2A72" w:rsidRDefault="00FB31AE" w:rsidP="00747F39">
      <w:pPr>
        <w:pStyle w:val="Heading4"/>
        <w:rPr>
          <w:rStyle w:val="Emphasis"/>
          <w:b w:val="0"/>
          <w:i w:val="0"/>
        </w:rPr>
      </w:pPr>
      <w:r w:rsidRPr="00587446">
        <w:rPr>
          <w:rStyle w:val="Emphasis"/>
          <w:i w:val="0"/>
        </w:rPr>
        <w:t xml:space="preserve">Suitability of Location - population of local area, proximity to other gaming venues and proximity to sensitive areas </w:t>
      </w:r>
    </w:p>
    <w:p w:rsidR="008934B6" w:rsidRDefault="00AE2A72" w:rsidP="00AE2A72">
      <w:pPr>
        <w:pStyle w:val="ListParagraph"/>
        <w:spacing w:after="120"/>
        <w:ind w:left="567" w:hanging="425"/>
        <w:jc w:val="both"/>
        <w:rPr>
          <w:rFonts w:cs="Arial"/>
          <w:szCs w:val="22"/>
        </w:rPr>
      </w:pPr>
      <w:r w:rsidRPr="00AE2A72">
        <w:rPr>
          <w:rStyle w:val="Emphasis"/>
          <w:i w:val="0"/>
        </w:rPr>
        <w:t>20</w:t>
      </w:r>
      <w:r>
        <w:rPr>
          <w:rStyle w:val="Emphasis"/>
          <w:b/>
          <w:i w:val="0"/>
        </w:rPr>
        <w:t>.</w:t>
      </w:r>
      <w:r>
        <w:rPr>
          <w:rStyle w:val="Emphasis"/>
          <w:b/>
          <w:i w:val="0"/>
        </w:rPr>
        <w:tab/>
      </w:r>
      <w:r w:rsidR="008934B6" w:rsidRPr="00B3067F">
        <w:rPr>
          <w:rFonts w:cs="Arial"/>
          <w:szCs w:val="22"/>
        </w:rPr>
        <w:t>The Local Community Area (</w:t>
      </w:r>
      <w:r w:rsidR="008934B6">
        <w:rPr>
          <w:rFonts w:cs="Arial"/>
          <w:szCs w:val="22"/>
        </w:rPr>
        <w:t>“</w:t>
      </w:r>
      <w:r w:rsidR="008934B6" w:rsidRPr="00B3067F">
        <w:rPr>
          <w:rFonts w:cs="Arial"/>
          <w:szCs w:val="22"/>
        </w:rPr>
        <w:t>LCA</w:t>
      </w:r>
      <w:r w:rsidR="008934B6">
        <w:rPr>
          <w:rFonts w:cs="Arial"/>
          <w:szCs w:val="22"/>
        </w:rPr>
        <w:t>”</w:t>
      </w:r>
      <w:r w:rsidR="008934B6" w:rsidRPr="00B3067F">
        <w:rPr>
          <w:rFonts w:cs="Arial"/>
          <w:szCs w:val="22"/>
        </w:rPr>
        <w:t xml:space="preserve">) agreed to with Licensing NT for use in the development of </w:t>
      </w:r>
      <w:r w:rsidR="008934B6">
        <w:rPr>
          <w:rFonts w:cs="Arial"/>
          <w:szCs w:val="22"/>
        </w:rPr>
        <w:t>a CIA for any venue in Katherine is the sole census SA2 of Katherine.</w:t>
      </w:r>
    </w:p>
    <w:p w:rsidR="005236E8" w:rsidRDefault="005236E8">
      <w:pPr>
        <w:spacing w:after="0"/>
        <w:rPr>
          <w:rFonts w:eastAsia="Calibri" w:cs="Arial"/>
          <w:sz w:val="24"/>
          <w:szCs w:val="24"/>
          <w:lang w:eastAsia="en-US"/>
        </w:rPr>
      </w:pPr>
      <w:r>
        <w:rPr>
          <w:rFonts w:eastAsia="Calibri" w:cs="Arial"/>
          <w:sz w:val="24"/>
          <w:szCs w:val="24"/>
          <w:lang w:eastAsia="en-US"/>
        </w:rPr>
        <w:br w:type="page"/>
      </w:r>
    </w:p>
    <w:p w:rsidR="008934B6" w:rsidRPr="004332C0" w:rsidRDefault="008934B6" w:rsidP="008934B6">
      <w:pPr>
        <w:spacing w:after="240"/>
        <w:ind w:left="567" w:right="283" w:hanging="425"/>
        <w:jc w:val="both"/>
        <w:rPr>
          <w:rFonts w:eastAsia="Calibri" w:cs="Arial"/>
          <w:sz w:val="24"/>
          <w:szCs w:val="24"/>
          <w:lang w:eastAsia="en-US"/>
        </w:rPr>
      </w:pPr>
      <w:r>
        <w:rPr>
          <w:rFonts w:eastAsia="Calibri" w:cs="Arial"/>
          <w:sz w:val="24"/>
          <w:szCs w:val="24"/>
          <w:lang w:eastAsia="en-US"/>
        </w:rPr>
        <w:lastRenderedPageBreak/>
        <w:t>2</w:t>
      </w:r>
      <w:r w:rsidR="00AE2A72">
        <w:rPr>
          <w:rFonts w:eastAsia="Calibri" w:cs="Arial"/>
          <w:sz w:val="24"/>
          <w:szCs w:val="24"/>
          <w:lang w:eastAsia="en-US"/>
        </w:rPr>
        <w:t>1</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Information obtained from the 2011 Census Data shows the LCA area has a population of about 9,549 with 6,834 being adults.  This information is almost 5 years old but it can be reasonably considered that the LCA is an established area and that the total population and adult ratio would not alter significantly in the past 5 years.  The LCA is more densely populated tha</w:t>
      </w:r>
      <w:r>
        <w:rPr>
          <w:rFonts w:eastAsia="Calibri" w:cs="Arial"/>
          <w:sz w:val="24"/>
          <w:szCs w:val="24"/>
          <w:lang w:eastAsia="en-US"/>
        </w:rPr>
        <w:t>n</w:t>
      </w:r>
      <w:r w:rsidRPr="004332C0">
        <w:rPr>
          <w:rFonts w:eastAsia="Calibri" w:cs="Arial"/>
          <w:sz w:val="24"/>
          <w:szCs w:val="24"/>
          <w:lang w:eastAsia="en-US"/>
        </w:rPr>
        <w:t xml:space="preserve"> the Katherine LGA with most people living within the Katherine LCA when compared with the Katherine LGA encompassing large portions of uninhabited land spread across the Census SA2 areas of Elsey, Gulf, and Victoria River with many parts of the KLGA being 100’s of kilometres from the Katherine township.  </w:t>
      </w:r>
    </w:p>
    <w:p w:rsidR="008934B6" w:rsidRPr="004332C0"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2</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The LCA has a wide spread of age demographics with a slightly higher proportion of residents aged 55-64 and 65 – 74 indicating the presence of an aging population.  The LCA also shows a much lower proportion of residents aged 19 – 24 in comparison to other benchmarks, with typically the 19 – 24 age bracket more likely to frequent bars and taverns rather than a club.  The profile of the LCA is more suited to a family oriented venue.  The low proportion of 19 – 24 year old is positive from a harm minimisation perspective.  Research conducted by the Victorian Responsible Gambling Foundation (2015) suggests that the 19 – 24 year old market is more likely than other age groups to develop problem gambling behaviours. That said, it is noted that 30% of the population is aged 1 – 18 year old and will be exposed to gambling machines in the future.</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3</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LCA has a population density with 1.2 people per square kilometre, compared to the Darwin LGA of 651 and the NT which is 0.2.  This is however vastly skewed due to the LCA covering an area of 7,444 square kilometres, much of which is uninhabited with most of the population residing in the Katherine </w:t>
      </w:r>
      <w:proofErr w:type="gramStart"/>
      <w:r w:rsidRPr="004332C0">
        <w:rPr>
          <w:rFonts w:eastAsia="Calibri" w:cs="Arial"/>
          <w:sz w:val="24"/>
          <w:szCs w:val="24"/>
          <w:lang w:eastAsia="en-US"/>
        </w:rPr>
        <w:t>township</w:t>
      </w:r>
      <w:proofErr w:type="gramEnd"/>
      <w:r w:rsidRPr="004332C0">
        <w:rPr>
          <w:rFonts w:eastAsia="Calibri" w:cs="Arial"/>
          <w:sz w:val="24"/>
          <w:szCs w:val="24"/>
          <w:lang w:eastAsia="en-US"/>
        </w:rPr>
        <w:t xml:space="preserve"> and nearby areas.</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4</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24.2% of LCA’s residents were identified as being Indigenous (Aboriginal and/or Torres Strait Islander) which is more than the Greater Darwin area LGA of 8.1 % and slightly lower than the Northern Territory wide figure of 25.7%.  The Katherine LGA area however has a much higher percentage of 50.2% recorded.  It must be noted that the LGA area covers a vast and expansive area of the NT with the indigenous population spread throughout.</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5</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The proportion of indigenous residents in the LCA is at an approximate same level as that of the NT. Research shows that the Indigenous population are more likely to be pathological gamblers compared to non-Indigenous people (refer The Productivity Commission Inquiry Report 2010).  The LCA’s slightly lower Indigenous profile could lower the risk associated with problem gambling in the catchment area but it is well noted that the indigenous population does move within the LGA for various family and cultural reasons and can also be affected by seasonal weather patterns.</w:t>
      </w:r>
    </w:p>
    <w:p w:rsidR="005236E8" w:rsidRDefault="005236E8">
      <w:pPr>
        <w:spacing w:after="0"/>
        <w:rPr>
          <w:rFonts w:eastAsia="Calibri" w:cs="Arial"/>
          <w:sz w:val="24"/>
          <w:szCs w:val="24"/>
          <w:lang w:eastAsia="en-US"/>
        </w:rPr>
      </w:pPr>
      <w:r>
        <w:rPr>
          <w:rFonts w:eastAsia="Calibri" w:cs="Arial"/>
          <w:sz w:val="24"/>
          <w:szCs w:val="24"/>
          <w:lang w:eastAsia="en-US"/>
        </w:rPr>
        <w:br w:type="page"/>
      </w:r>
    </w:p>
    <w:p w:rsidR="008934B6"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lastRenderedPageBreak/>
        <w:t>26</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Statistical information obtained from this data shows that the LCA has a very low proportion of people with higher level qualifications such as bachelor degrees, graduate qualifications or post graduate degrees. People with postgraduate degree are recorded as 3%, Graduate Diploma and Graduate Certificate 3%, Bachelor Degree 16%, Advanced Diploma and Diploma 12%, Certificate 38% with the remaining 28% inadequately described or not stated. It is suggested that this lower level of education may be linked to the mining industry where a lower level of education is required with more emphasis on vehicle licence qualifications and WHS Certificates.</w:t>
      </w:r>
    </w:p>
    <w:p w:rsidR="008934B6"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t>27</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Weekly house hold incomes for the LCA is spread across 8 major income streams with 16% of the population recorded as “other” and not defined.  Of the remaining seven income levels, they are recorded as follows; &lt;$</w:t>
      </w:r>
      <w:proofErr w:type="gramStart"/>
      <w:r w:rsidR="008934B6" w:rsidRPr="004332C0">
        <w:rPr>
          <w:rFonts w:eastAsia="Calibri" w:cs="Arial"/>
          <w:sz w:val="24"/>
          <w:szCs w:val="24"/>
          <w:lang w:eastAsia="en-US"/>
        </w:rPr>
        <w:t>300  6</w:t>
      </w:r>
      <w:proofErr w:type="gramEnd"/>
      <w:r w:rsidR="008934B6" w:rsidRPr="004332C0">
        <w:rPr>
          <w:rFonts w:eastAsia="Calibri" w:cs="Arial"/>
          <w:sz w:val="24"/>
          <w:szCs w:val="24"/>
          <w:lang w:eastAsia="en-US"/>
        </w:rPr>
        <w:t>%, $300 - $600 10%, $600 – $999 12%, $1,000 - $1,499 14 %, $1,500 – $2,499 24%, $2,500 - $3,499 15% and $3,500+ 4%. This income is attributed to the occupational profile and mining and agriculture industry nature of the LCA with individual incomes much higher than other areas.  The LGA and NT Outback areas receive community support payments but this is not heavily apparent in the Katherine township</w:t>
      </w:r>
      <w:proofErr w:type="gramStart"/>
      <w:r w:rsidR="008934B6" w:rsidRPr="004332C0">
        <w:rPr>
          <w:rFonts w:eastAsia="Calibri" w:cs="Arial"/>
          <w:sz w:val="24"/>
          <w:szCs w:val="24"/>
          <w:lang w:eastAsia="en-US"/>
        </w:rPr>
        <w:t xml:space="preserve">.  </w:t>
      </w:r>
      <w:proofErr w:type="gramEnd"/>
      <w:r w:rsidR="008934B6" w:rsidRPr="004332C0">
        <w:rPr>
          <w:rFonts w:eastAsia="Calibri" w:cs="Arial"/>
          <w:sz w:val="24"/>
          <w:szCs w:val="24"/>
          <w:lang w:eastAsia="en-US"/>
        </w:rPr>
        <w:t>Over half of the Katherine residents earn $800 - $1,999 per week indicating high level of disposable income.</w:t>
      </w:r>
    </w:p>
    <w:p w:rsidR="008934B6"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t>28</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11% of the LCA residents reported as being non-Australian, the majority of these being from Asia, the United Kingdom and New Zealand. However 10% of the population did not state their country of origin.</w:t>
      </w:r>
    </w:p>
    <w:p w:rsidR="008934B6" w:rsidRDefault="00AE2A72"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29</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 xml:space="preserve">The </w:t>
      </w:r>
      <w:r w:rsidR="008934B6" w:rsidRPr="004332C0">
        <w:rPr>
          <w:rFonts w:eastAsia="Calibri" w:cs="Arial"/>
          <w:bCs/>
          <w:sz w:val="24"/>
          <w:szCs w:val="24"/>
          <w:lang w:eastAsia="en-US"/>
        </w:rPr>
        <w:t>Australian Bureau of Statistics’ Socio</w:t>
      </w:r>
      <w:r w:rsidR="008934B6" w:rsidRPr="004332C0">
        <w:rPr>
          <w:rFonts w:eastAsia="Calibri" w:cs="Arial"/>
          <w:bCs/>
          <w:sz w:val="24"/>
          <w:szCs w:val="24"/>
          <w:lang w:eastAsia="en-US"/>
        </w:rPr>
        <w:noBreakHyphen/>
        <w:t xml:space="preserve">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area of medium social advantage.  The SA2 areas of Elsey, Victoria River and Daly all show a low social advantage </w:t>
      </w:r>
      <w:proofErr w:type="spellStart"/>
      <w:r w:rsidR="008934B6" w:rsidRPr="004332C0">
        <w:rPr>
          <w:rFonts w:eastAsia="Calibri" w:cs="Arial"/>
          <w:bCs/>
          <w:sz w:val="24"/>
          <w:szCs w:val="24"/>
          <w:lang w:eastAsia="en-US"/>
        </w:rPr>
        <w:t>decile</w:t>
      </w:r>
      <w:proofErr w:type="spellEnd"/>
      <w:r w:rsidR="008934B6" w:rsidRPr="004332C0">
        <w:rPr>
          <w:rFonts w:eastAsia="Calibri" w:cs="Arial"/>
          <w:bCs/>
          <w:sz w:val="24"/>
          <w:szCs w:val="24"/>
          <w:lang w:eastAsia="en-US"/>
        </w:rPr>
        <w:t>.</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0</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There are a number of ways to view the scores from the SEIFA, with one being through the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 system where a ranking is given from 1 to 10 with 1 indicating that an area is in the bottom 10% of areas or in other words, the most disadvantaged and 10 indicating that the area is in the top 10% of areas thus being the most advantaged.</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1</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The overall SEIFA score for the LCA was 944 below that of Greater Darwin which was 1,044, and below Litchfield LCA which was 1,032.  The LCA score of 944 is higher than the Katherine LGA score of 752.</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2</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The area also has an unemployment rate of 2.6%, which is lower than the NT rate of 4.3%.  The unemployment rate has fluctuated between 1.5% and 3.4% over the past few years.  It is acknowledged that unemployment rates can vary over time due to a range of economic factors.</w:t>
      </w:r>
    </w:p>
    <w:p w:rsidR="005236E8" w:rsidRDefault="005236E8">
      <w:pPr>
        <w:spacing w:after="0"/>
        <w:rPr>
          <w:rFonts w:eastAsia="Calibri" w:cs="Arial"/>
          <w:bCs/>
          <w:sz w:val="24"/>
          <w:szCs w:val="24"/>
          <w:lang w:eastAsia="en-US"/>
        </w:rPr>
      </w:pPr>
      <w:r>
        <w:rPr>
          <w:rFonts w:eastAsia="Calibri" w:cs="Arial"/>
          <w:bCs/>
          <w:sz w:val="24"/>
          <w:szCs w:val="24"/>
          <w:lang w:eastAsia="en-US"/>
        </w:rPr>
        <w:br w:type="page"/>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3</w:t>
      </w:r>
      <w:r w:rsidR="00AE2A72">
        <w:rPr>
          <w:rFonts w:eastAsia="Calibri" w:cs="Arial"/>
          <w:bCs/>
          <w:sz w:val="24"/>
          <w:szCs w:val="24"/>
          <w:lang w:eastAsia="en-US"/>
        </w:rPr>
        <w:t>3</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Within the LCA there are </w:t>
      </w:r>
      <w:r>
        <w:rPr>
          <w:rFonts w:eastAsia="Calibri" w:cs="Arial"/>
          <w:bCs/>
          <w:sz w:val="24"/>
          <w:szCs w:val="24"/>
          <w:lang w:eastAsia="en-US"/>
        </w:rPr>
        <w:t>three</w:t>
      </w:r>
      <w:r w:rsidRPr="004332C0">
        <w:rPr>
          <w:rFonts w:eastAsia="Calibri" w:cs="Arial"/>
          <w:bCs/>
          <w:sz w:val="24"/>
          <w:szCs w:val="24"/>
          <w:lang w:eastAsia="en-US"/>
        </w:rPr>
        <w:t xml:space="preserve"> other gaming venues in the area, they being the Katherine Country Club, Stuart Hotel</w:t>
      </w:r>
      <w:r>
        <w:rPr>
          <w:rFonts w:eastAsia="Calibri" w:cs="Arial"/>
          <w:bCs/>
          <w:sz w:val="24"/>
          <w:szCs w:val="24"/>
          <w:lang w:eastAsia="en-US"/>
        </w:rPr>
        <w:t xml:space="preserve"> and the </w:t>
      </w:r>
      <w:r w:rsidRPr="004332C0">
        <w:rPr>
          <w:rFonts w:eastAsia="Calibri" w:cs="Arial"/>
          <w:bCs/>
          <w:sz w:val="24"/>
          <w:szCs w:val="24"/>
          <w:lang w:eastAsia="en-US"/>
        </w:rPr>
        <w:t>Katherine</w:t>
      </w:r>
      <w:r>
        <w:rPr>
          <w:rFonts w:eastAsia="Calibri" w:cs="Arial"/>
          <w:bCs/>
          <w:sz w:val="24"/>
          <w:szCs w:val="24"/>
          <w:lang w:eastAsia="en-US"/>
        </w:rPr>
        <w:t xml:space="preserve"> Club</w:t>
      </w:r>
      <w:r w:rsidRPr="004332C0">
        <w:rPr>
          <w:rFonts w:eastAsia="Calibri" w:cs="Arial"/>
          <w:bCs/>
          <w:sz w:val="24"/>
          <w:szCs w:val="24"/>
          <w:lang w:eastAsia="en-US"/>
        </w:rPr>
        <w:t xml:space="preserve">.  It is noted that the Katherine Sports &amp; Recreation Club has closed and </w:t>
      </w:r>
      <w:r>
        <w:rPr>
          <w:rFonts w:eastAsia="Calibri" w:cs="Arial"/>
          <w:bCs/>
          <w:sz w:val="24"/>
          <w:szCs w:val="24"/>
          <w:lang w:eastAsia="en-US"/>
        </w:rPr>
        <w:t xml:space="preserve">those </w:t>
      </w:r>
      <w:r w:rsidRPr="004332C0">
        <w:rPr>
          <w:rFonts w:eastAsia="Calibri" w:cs="Arial"/>
          <w:bCs/>
          <w:sz w:val="24"/>
          <w:szCs w:val="24"/>
          <w:lang w:eastAsia="en-US"/>
        </w:rPr>
        <w:t xml:space="preserve">gaming machines disposed of. Some of these </w:t>
      </w:r>
      <w:r>
        <w:rPr>
          <w:rFonts w:eastAsia="Calibri" w:cs="Arial"/>
          <w:bCs/>
          <w:sz w:val="24"/>
          <w:szCs w:val="24"/>
          <w:lang w:eastAsia="en-US"/>
        </w:rPr>
        <w:t>premises</w:t>
      </w:r>
      <w:r w:rsidRPr="004332C0">
        <w:rPr>
          <w:rFonts w:eastAsia="Calibri" w:cs="Arial"/>
          <w:bCs/>
          <w:sz w:val="24"/>
          <w:szCs w:val="24"/>
          <w:lang w:eastAsia="en-US"/>
        </w:rPr>
        <w:t xml:space="preserve"> have or are in the process of applying for additional gaming machines. Whilst the Katherine Sports &amp; Recreation Club was approved for 19 gaming machines, by the disposal of these machines, and proposed increases at other venues, the total number of gaming machines in the LCA </w:t>
      </w:r>
      <w:r>
        <w:rPr>
          <w:rFonts w:eastAsia="Calibri" w:cs="Arial"/>
          <w:bCs/>
          <w:sz w:val="24"/>
          <w:szCs w:val="24"/>
          <w:lang w:eastAsia="en-US"/>
        </w:rPr>
        <w:t>is expected to see no change or a slight overall increase in the number of machines in the area.</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 xml:space="preserve"> 3</w:t>
      </w:r>
      <w:r w:rsidR="00AE2A72">
        <w:rPr>
          <w:rFonts w:eastAsia="Calibri" w:cs="Arial"/>
          <w:bCs/>
          <w:sz w:val="24"/>
          <w:szCs w:val="24"/>
          <w:lang w:eastAsia="en-US"/>
        </w:rPr>
        <w:t>4</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It is evident that the accessibility to gaming machines by people residing in the LCA will remain approximately the same, albeit at different levels at the different venues, should this and other similar applications be approved. However, the </w:t>
      </w:r>
      <w:proofErr w:type="spellStart"/>
      <w:r w:rsidRPr="004332C0">
        <w:rPr>
          <w:rFonts w:eastAsia="Calibri" w:cs="Arial"/>
          <w:bCs/>
          <w:sz w:val="24"/>
          <w:szCs w:val="24"/>
          <w:lang w:eastAsia="en-US"/>
        </w:rPr>
        <w:t>SEIFA</w:t>
      </w:r>
      <w:proofErr w:type="spellEnd"/>
      <w:r w:rsidRPr="004332C0">
        <w:rPr>
          <w:rFonts w:eastAsia="Calibri" w:cs="Arial"/>
          <w:bCs/>
          <w:sz w:val="24"/>
          <w:szCs w:val="24"/>
          <w:lang w:eastAsia="en-US"/>
        </w:rPr>
        <w:t xml:space="preserv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scores which identify that the LCA area is generally not regarded as an area of socio-economic deprivation also needs to be taken into consideration in determining whether an increase in accessibility to gaming machines within the LCA will lead to greater harm.  It would appear that the profile of the majority of residents living in the LCA does not mirror the profile of those most at-risk of experiencing harm from gambling.</w:t>
      </w:r>
    </w:p>
    <w:p w:rsidR="008934B6" w:rsidRDefault="008934B6" w:rsidP="008934B6">
      <w:pPr>
        <w:spacing w:after="240"/>
        <w:ind w:left="567" w:right="283" w:hanging="567"/>
        <w:jc w:val="both"/>
        <w:rPr>
          <w:rFonts w:eastAsia="Calibri" w:cs="Arial"/>
          <w:sz w:val="24"/>
          <w:szCs w:val="24"/>
          <w:lang w:eastAsia="en-US"/>
        </w:rPr>
      </w:pPr>
      <w:r>
        <w:rPr>
          <w:rFonts w:eastAsia="Calibri" w:cs="Arial"/>
          <w:bCs/>
          <w:sz w:val="24"/>
          <w:szCs w:val="24"/>
          <w:lang w:eastAsia="en-US"/>
        </w:rPr>
        <w:t>3</w:t>
      </w:r>
      <w:r w:rsidR="00AE2A72">
        <w:rPr>
          <w:rFonts w:eastAsia="Calibri" w:cs="Arial"/>
          <w:bCs/>
          <w:sz w:val="24"/>
          <w:szCs w:val="24"/>
          <w:lang w:eastAsia="en-US"/>
        </w:rPr>
        <w:t>5</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Another consideration to take into account is that whilst the gaming machine density may remain stable at the moment should this and other similar applications be approved, the patron source for this venue and others in this area is not</w:t>
      </w:r>
      <w:r w:rsidRPr="004332C0">
        <w:rPr>
          <w:rFonts w:ascii="Calibri" w:eastAsia="Calibri" w:hAnsi="Calibri" w:cs="Arial"/>
          <w:bCs/>
          <w:sz w:val="24"/>
          <w:szCs w:val="24"/>
          <w:lang w:eastAsia="en-US"/>
        </w:rPr>
        <w:t xml:space="preserve"> </w:t>
      </w:r>
      <w:r w:rsidRPr="004332C0">
        <w:rPr>
          <w:rFonts w:eastAsia="Calibri" w:cs="Arial"/>
          <w:bCs/>
          <w:sz w:val="24"/>
          <w:szCs w:val="24"/>
          <w:lang w:eastAsia="en-US"/>
        </w:rPr>
        <w:t xml:space="preserve">restricted to just residents of the LCA. </w:t>
      </w:r>
      <w:r>
        <w:rPr>
          <w:rFonts w:eastAsia="Calibri" w:cs="Arial"/>
          <w:bCs/>
          <w:sz w:val="24"/>
          <w:szCs w:val="24"/>
          <w:lang w:eastAsia="en-US"/>
        </w:rPr>
        <w:t>This venue is well patronised by local residents and visitors to the town however this is unlikely to with the increase of machines</w:t>
      </w:r>
      <w:r w:rsidRPr="004332C0">
        <w:rPr>
          <w:rFonts w:eastAsia="Calibri" w:cs="Arial"/>
          <w:bCs/>
          <w:sz w:val="24"/>
          <w:szCs w:val="24"/>
          <w:lang w:eastAsia="en-US"/>
        </w:rPr>
        <w:t xml:space="preserve">. </w:t>
      </w:r>
      <w:r>
        <w:rPr>
          <w:rFonts w:eastAsia="Calibri" w:cs="Arial"/>
          <w:bCs/>
          <w:sz w:val="24"/>
          <w:szCs w:val="24"/>
          <w:lang w:eastAsia="en-US"/>
        </w:rPr>
        <w:t xml:space="preserve">Given there is no dining at the premises few tourists or the like attend the premises.  </w:t>
      </w:r>
      <w:r w:rsidRPr="004332C0">
        <w:rPr>
          <w:rFonts w:eastAsia="Calibri" w:cs="Arial"/>
          <w:bCs/>
          <w:sz w:val="24"/>
          <w:szCs w:val="24"/>
          <w:lang w:eastAsia="en-US"/>
        </w:rPr>
        <w:t xml:space="preserve">Considerations around problem gambling risk management and responsible gambling </w:t>
      </w:r>
      <w:r w:rsidRPr="004332C0">
        <w:rPr>
          <w:rFonts w:eastAsia="Calibri" w:cs="Arial"/>
          <w:sz w:val="24"/>
          <w:szCs w:val="24"/>
          <w:lang w:eastAsia="en-US"/>
        </w:rPr>
        <w:t>strategies implemented by the venue must also be taken into account.</w:t>
      </w:r>
    </w:p>
    <w:p w:rsidR="008934B6" w:rsidRDefault="00AE2A72"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36</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bCs/>
          <w:sz w:val="24"/>
          <w:szCs w:val="24"/>
          <w:lang w:eastAsia="en-US"/>
        </w:rPr>
        <w:t xml:space="preserve">Pursuant to 41A(2)(c) of the Act, </w:t>
      </w:r>
      <w:r w:rsidR="008934B6">
        <w:rPr>
          <w:rFonts w:eastAsia="Calibri" w:cs="Arial"/>
          <w:bCs/>
          <w:sz w:val="24"/>
          <w:szCs w:val="24"/>
          <w:lang w:eastAsia="en-US"/>
        </w:rPr>
        <w:t>the</w:t>
      </w:r>
      <w:r w:rsidR="008934B6" w:rsidRPr="004332C0">
        <w:rPr>
          <w:rFonts w:eastAsia="Calibri" w:cs="Arial"/>
          <w:bCs/>
          <w:sz w:val="24"/>
          <w:szCs w:val="24"/>
          <w:lang w:eastAsia="en-US"/>
        </w:rPr>
        <w:t xml:space="preserve"> CIA </w:t>
      </w:r>
      <w:r w:rsidR="008934B6">
        <w:rPr>
          <w:rFonts w:eastAsia="Calibri" w:cs="Arial"/>
          <w:bCs/>
          <w:sz w:val="24"/>
          <w:szCs w:val="24"/>
          <w:lang w:eastAsia="en-US"/>
        </w:rPr>
        <w:t xml:space="preserve">must provide </w:t>
      </w:r>
      <w:r w:rsidR="008934B6" w:rsidRPr="004332C0">
        <w:rPr>
          <w:rFonts w:eastAsia="Calibri" w:cs="Arial"/>
          <w:bCs/>
          <w:sz w:val="24"/>
          <w:szCs w:val="24"/>
          <w:lang w:eastAsia="en-US"/>
        </w:rPr>
        <w:t xml:space="preserve">details with respect to the proximity of the premises to sensitive areas such as schools, shopping centres, other community congregation facilities, welfare agencies, banks and pawn brokers.  In this case, it is </w:t>
      </w:r>
      <w:r w:rsidR="008934B6">
        <w:rPr>
          <w:rFonts w:eastAsia="Calibri" w:cs="Arial"/>
          <w:bCs/>
          <w:sz w:val="24"/>
          <w:szCs w:val="24"/>
          <w:lang w:eastAsia="en-US"/>
        </w:rPr>
        <w:t>submitted by the CIA there are no sensitive sites in close proximity to the venue.</w:t>
      </w:r>
    </w:p>
    <w:p w:rsidR="008934B6" w:rsidRDefault="00AE2A72"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37</w:t>
      </w:r>
      <w:r w:rsidR="008934B6">
        <w:rPr>
          <w:rFonts w:eastAsia="Calibri" w:cs="Arial"/>
          <w:bCs/>
          <w:sz w:val="24"/>
          <w:szCs w:val="24"/>
          <w:lang w:eastAsia="en-US"/>
        </w:rPr>
        <w:t>.</w:t>
      </w:r>
      <w:r w:rsidR="008934B6">
        <w:rPr>
          <w:rFonts w:eastAsia="Calibri" w:cs="Arial"/>
          <w:bCs/>
          <w:sz w:val="24"/>
          <w:szCs w:val="24"/>
          <w:lang w:eastAsia="en-US"/>
        </w:rPr>
        <w:tab/>
      </w:r>
      <w:r w:rsidR="008934B6" w:rsidRPr="004332C0">
        <w:rPr>
          <w:rFonts w:eastAsia="Calibri" w:cs="Arial"/>
          <w:bCs/>
          <w:sz w:val="24"/>
          <w:szCs w:val="24"/>
          <w:lang w:eastAsia="en-US"/>
        </w:rPr>
        <w:t xml:space="preserve">In the wider LCA there are a number of schools, churches, sporting venues, pawn brokers, shopping centres, community centres and there are two aged care facilities in the LCA.  This is all typical of a regional town such as Katherine.  There are two organisations within the LCA that specialise in gambling issues, they being Somerville Financial Counselling and </w:t>
      </w:r>
      <w:proofErr w:type="spellStart"/>
      <w:r w:rsidR="008934B6" w:rsidRPr="004332C0">
        <w:rPr>
          <w:rFonts w:eastAsia="Calibri" w:cs="Arial"/>
          <w:bCs/>
          <w:sz w:val="24"/>
          <w:szCs w:val="24"/>
          <w:lang w:eastAsia="en-US"/>
        </w:rPr>
        <w:t>Anglicare</w:t>
      </w:r>
      <w:proofErr w:type="spellEnd"/>
      <w:r w:rsidR="008934B6" w:rsidRPr="004332C0">
        <w:rPr>
          <w:rFonts w:eastAsia="Calibri" w:cs="Arial"/>
          <w:bCs/>
          <w:sz w:val="24"/>
          <w:szCs w:val="24"/>
          <w:lang w:eastAsia="en-US"/>
        </w:rPr>
        <w:t xml:space="preserve"> Financial Counselling.</w:t>
      </w:r>
    </w:p>
    <w:p w:rsidR="008934B6" w:rsidRDefault="00AE2A72"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38</w:t>
      </w:r>
      <w:r w:rsidR="008934B6">
        <w:rPr>
          <w:rFonts w:eastAsia="Calibri" w:cs="Arial"/>
          <w:bCs/>
          <w:sz w:val="24"/>
          <w:szCs w:val="24"/>
          <w:lang w:eastAsia="en-US"/>
        </w:rPr>
        <w:t>.</w:t>
      </w:r>
      <w:r w:rsidR="008934B6">
        <w:rPr>
          <w:rFonts w:eastAsia="Calibri" w:cs="Arial"/>
          <w:bCs/>
          <w:sz w:val="24"/>
          <w:szCs w:val="24"/>
          <w:lang w:eastAsia="en-US"/>
        </w:rPr>
        <w:tab/>
      </w:r>
      <w:r w:rsidR="008934B6" w:rsidRPr="004332C0">
        <w:rPr>
          <w:rFonts w:eastAsia="Calibri" w:cs="Arial"/>
          <w:bCs/>
          <w:sz w:val="24"/>
          <w:szCs w:val="24"/>
          <w:lang w:eastAsia="en-US"/>
        </w:rPr>
        <w:t xml:space="preserve">It should be noted that the venue has existed on this </w:t>
      </w:r>
      <w:r w:rsidR="008934B6">
        <w:rPr>
          <w:rFonts w:eastAsia="Calibri" w:cs="Arial"/>
          <w:bCs/>
          <w:sz w:val="24"/>
          <w:szCs w:val="24"/>
          <w:lang w:eastAsia="en-US"/>
        </w:rPr>
        <w:t xml:space="preserve">71 hectare </w:t>
      </w:r>
      <w:r w:rsidR="008934B6" w:rsidRPr="004332C0">
        <w:rPr>
          <w:rFonts w:eastAsia="Calibri" w:cs="Arial"/>
          <w:bCs/>
          <w:sz w:val="24"/>
          <w:szCs w:val="24"/>
          <w:lang w:eastAsia="en-US"/>
        </w:rPr>
        <w:t xml:space="preserve">site for many years without causing any apparent harm to the businesses or locality.  </w:t>
      </w:r>
      <w:r w:rsidR="008934B6">
        <w:rPr>
          <w:rFonts w:eastAsia="Calibri" w:cs="Arial"/>
          <w:bCs/>
          <w:sz w:val="24"/>
          <w:szCs w:val="24"/>
          <w:lang w:eastAsia="en-US"/>
        </w:rPr>
        <w:t xml:space="preserve">The Stuart Highway is nearby and provides the main arterial link to Alice Springs and Darwin; however the club and parking areas are not within sight of the highway.  </w:t>
      </w:r>
      <w:r w:rsidR="008934B6" w:rsidRPr="004332C0">
        <w:rPr>
          <w:rFonts w:eastAsia="Calibri" w:cs="Arial"/>
          <w:bCs/>
          <w:sz w:val="24"/>
          <w:szCs w:val="24"/>
          <w:lang w:eastAsia="en-US"/>
        </w:rPr>
        <w:t>A very short distance away is the intersection with the Victoria Highway which is the main arterial link to Western Australia via Kununurra.  Both roads carry high levels of tourists, local and commercial traffic.</w:t>
      </w:r>
    </w:p>
    <w:p w:rsidR="005236E8" w:rsidRDefault="005236E8">
      <w:pPr>
        <w:spacing w:after="0"/>
        <w:rPr>
          <w:rFonts w:eastAsia="Calibri" w:cs="Arial"/>
          <w:bCs/>
          <w:sz w:val="24"/>
          <w:szCs w:val="24"/>
          <w:lang w:eastAsia="en-US"/>
        </w:rPr>
      </w:pPr>
      <w:r>
        <w:rPr>
          <w:rFonts w:eastAsia="Calibri" w:cs="Arial"/>
          <w:bCs/>
          <w:sz w:val="24"/>
          <w:szCs w:val="24"/>
          <w:lang w:eastAsia="en-US"/>
        </w:rPr>
        <w:br w:type="page"/>
      </w:r>
    </w:p>
    <w:p w:rsidR="008934B6" w:rsidRDefault="00AE2A72"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39</w:t>
      </w:r>
      <w:r w:rsidR="008934B6">
        <w:rPr>
          <w:rFonts w:eastAsia="Calibri" w:cs="Arial"/>
          <w:bCs/>
          <w:sz w:val="24"/>
          <w:szCs w:val="24"/>
          <w:lang w:eastAsia="en-US"/>
        </w:rPr>
        <w:t>.</w:t>
      </w:r>
      <w:r w:rsidR="008934B6">
        <w:rPr>
          <w:rFonts w:eastAsia="Calibri" w:cs="Arial"/>
          <w:bCs/>
          <w:sz w:val="24"/>
          <w:szCs w:val="24"/>
          <w:lang w:eastAsia="en-US"/>
        </w:rPr>
        <w:tab/>
        <w:t>The club is required to contribute gaming revenue back into the club to improve facilities and also to the wider community.  With the increase of gaming contributions this will continue.  The Applicant has undertaken significant improvements at the premises over the past several years.</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AE2A72">
        <w:rPr>
          <w:rFonts w:eastAsia="Calibri" w:cs="Arial"/>
          <w:bCs/>
          <w:sz w:val="24"/>
          <w:szCs w:val="24"/>
          <w:lang w:eastAsia="en-US"/>
        </w:rPr>
        <w:t>0</w:t>
      </w:r>
      <w:r>
        <w:rPr>
          <w:rFonts w:eastAsia="Calibri" w:cs="Arial"/>
          <w:bCs/>
          <w:sz w:val="24"/>
          <w:szCs w:val="24"/>
          <w:lang w:eastAsia="en-US"/>
        </w:rPr>
        <w:t>.</w:t>
      </w:r>
      <w:r>
        <w:rPr>
          <w:rFonts w:eastAsia="Calibri" w:cs="Arial"/>
          <w:bCs/>
          <w:sz w:val="24"/>
          <w:szCs w:val="24"/>
          <w:lang w:eastAsia="en-US"/>
        </w:rPr>
        <w:tab/>
        <w:t>The club made a total of $276K in contributions in 2015 to the local community, being approximately 10% of their gaming revenue.  In 2014 the club contributed $2.4M to improvements of the golf course and bowling facilities representing 88% of revenues earned in that period.  In total 20 organisations have received contributions from the club and have been detailed in the CIA.</w:t>
      </w:r>
    </w:p>
    <w:p w:rsidR="008934B6" w:rsidRPr="004332C0"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AE2A72">
        <w:rPr>
          <w:rFonts w:eastAsia="Calibri" w:cs="Arial"/>
          <w:bCs/>
          <w:sz w:val="24"/>
          <w:szCs w:val="24"/>
          <w:lang w:eastAsia="en-US"/>
        </w:rPr>
        <w:t>1</w:t>
      </w:r>
      <w:r>
        <w:rPr>
          <w:rFonts w:eastAsia="Calibri" w:cs="Arial"/>
          <w:bCs/>
          <w:sz w:val="24"/>
          <w:szCs w:val="24"/>
          <w:lang w:eastAsia="en-US"/>
        </w:rPr>
        <w:t>.</w:t>
      </w:r>
      <w:r>
        <w:rPr>
          <w:rFonts w:eastAsia="Calibri" w:cs="Arial"/>
          <w:bCs/>
          <w:sz w:val="24"/>
          <w:szCs w:val="24"/>
          <w:lang w:eastAsia="en-US"/>
        </w:rPr>
        <w:tab/>
      </w:r>
      <w:r w:rsidRPr="004332C0">
        <w:rPr>
          <w:rFonts w:eastAsia="Calibri" w:cs="Arial"/>
          <w:sz w:val="24"/>
          <w:szCs w:val="24"/>
          <w:lang w:eastAsia="en-US"/>
        </w:rPr>
        <w:t xml:space="preserve">The venue currently holds a gaming machine licence and on the basis of the information available above, I am satisfied that the venue’s location continues to be suitable for the operation of gaming machines.  </w:t>
      </w:r>
    </w:p>
    <w:p w:rsidR="008934B6" w:rsidRPr="006419C4" w:rsidRDefault="008934B6" w:rsidP="00747F39">
      <w:pPr>
        <w:pStyle w:val="Heading4"/>
        <w:rPr>
          <w:rStyle w:val="Emphasis"/>
          <w:b w:val="0"/>
          <w:i w:val="0"/>
        </w:rPr>
      </w:pPr>
      <w:r w:rsidRPr="006419C4">
        <w:rPr>
          <w:rStyle w:val="Emphasis"/>
          <w:i w:val="0"/>
        </w:rPr>
        <w:t>Appropriateness of problem gambling risk management and responsible gambling strategies</w:t>
      </w:r>
    </w:p>
    <w:p w:rsidR="008934B6" w:rsidRDefault="008934B6" w:rsidP="008934B6">
      <w:pPr>
        <w:spacing w:after="240"/>
        <w:ind w:left="567" w:hanging="567"/>
        <w:jc w:val="both"/>
        <w:rPr>
          <w:rFonts w:cs="Arial"/>
          <w:bCs/>
          <w:szCs w:val="22"/>
        </w:rPr>
      </w:pPr>
      <w:r>
        <w:rPr>
          <w:rFonts w:cs="Arial"/>
          <w:bCs/>
          <w:szCs w:val="22"/>
        </w:rPr>
        <w:t>4</w:t>
      </w:r>
      <w:r w:rsidR="00AE2A72">
        <w:rPr>
          <w:rFonts w:cs="Arial"/>
          <w:bCs/>
          <w:szCs w:val="22"/>
        </w:rPr>
        <w:t>2</w:t>
      </w:r>
      <w:r>
        <w:rPr>
          <w:rFonts w:cs="Arial"/>
          <w:bCs/>
          <w:szCs w:val="22"/>
        </w:rPr>
        <w:t>.</w:t>
      </w:r>
      <w:r>
        <w:rPr>
          <w:rFonts w:cs="Arial"/>
          <w:bCs/>
          <w:szCs w:val="22"/>
        </w:rPr>
        <w:tab/>
      </w:r>
      <w:r w:rsidRPr="008B3CAB">
        <w:rPr>
          <w:rFonts w:cs="Arial"/>
          <w:bCs/>
          <w:szCs w:val="22"/>
        </w:rPr>
        <w:t xml:space="preserve">The </w:t>
      </w:r>
      <w:r>
        <w:rPr>
          <w:rFonts w:cs="Arial"/>
          <w:bCs/>
          <w:szCs w:val="22"/>
        </w:rPr>
        <w:t xml:space="preserve">CIA quotes the </w:t>
      </w:r>
      <w:r w:rsidRPr="008B3CAB">
        <w:rPr>
          <w:rFonts w:cs="Arial"/>
          <w:bCs/>
          <w:szCs w:val="22"/>
        </w:rPr>
        <w:t>2014 report ‘Gambling Harm in the Northern Territory: An Atlas of Venue Catchments’ which was a report prepared for the Community Benefit Committee through the Department of Business in May 2014, submits that 84% of residents within the Northern Territory present as non-problem gamblers, with the remaining being within the scale of risk.</w:t>
      </w:r>
    </w:p>
    <w:p w:rsidR="008934B6" w:rsidRDefault="008934B6" w:rsidP="008934B6">
      <w:pPr>
        <w:spacing w:after="240"/>
        <w:ind w:left="567" w:hanging="567"/>
        <w:jc w:val="both"/>
        <w:rPr>
          <w:rFonts w:cs="Arial"/>
          <w:bCs/>
          <w:szCs w:val="22"/>
        </w:rPr>
      </w:pPr>
      <w:r>
        <w:rPr>
          <w:rFonts w:cs="Arial"/>
          <w:bCs/>
          <w:szCs w:val="22"/>
        </w:rPr>
        <w:t>4</w:t>
      </w:r>
      <w:r w:rsidR="00AE2A72">
        <w:rPr>
          <w:rFonts w:cs="Arial"/>
          <w:bCs/>
          <w:szCs w:val="22"/>
        </w:rPr>
        <w:t>3</w:t>
      </w:r>
      <w:r>
        <w:rPr>
          <w:rFonts w:cs="Arial"/>
          <w:bCs/>
          <w:szCs w:val="22"/>
        </w:rPr>
        <w:t>.</w:t>
      </w:r>
      <w:r>
        <w:rPr>
          <w:rFonts w:cs="Arial"/>
          <w:bCs/>
          <w:szCs w:val="22"/>
        </w:rPr>
        <w:tab/>
        <w:t>Due to a low response rate of 58 from a catchment of 1290 respondents, the CIA states specific figures relating to this Applicant are not available.  Whilst this does not assist in the assessment of the application, it is noted a number of previous CIA’s submitted to the Director-General suggest a cautious approach be taken in relying on figures provided due to the low level of respondents.</w:t>
      </w:r>
    </w:p>
    <w:p w:rsidR="008934B6" w:rsidRDefault="008934B6" w:rsidP="008934B6">
      <w:pPr>
        <w:spacing w:after="240"/>
        <w:ind w:left="567" w:hanging="567"/>
        <w:jc w:val="both"/>
        <w:rPr>
          <w:rFonts w:cs="Arial"/>
          <w:bCs/>
          <w:szCs w:val="22"/>
        </w:rPr>
      </w:pPr>
      <w:r>
        <w:rPr>
          <w:rFonts w:cs="Arial"/>
          <w:bCs/>
          <w:szCs w:val="22"/>
        </w:rPr>
        <w:t>4</w:t>
      </w:r>
      <w:r w:rsidR="00AE2A72">
        <w:rPr>
          <w:rFonts w:cs="Arial"/>
          <w:bCs/>
          <w:szCs w:val="22"/>
        </w:rPr>
        <w:t>4</w:t>
      </w:r>
      <w:r>
        <w:rPr>
          <w:rFonts w:cs="Arial"/>
          <w:bCs/>
          <w:szCs w:val="22"/>
        </w:rPr>
        <w:t>.</w:t>
      </w:r>
      <w:r>
        <w:rPr>
          <w:rFonts w:cs="Arial"/>
          <w:bCs/>
          <w:szCs w:val="22"/>
        </w:rPr>
        <w:tab/>
        <w:t>The CIA also sets out the policy and procedures underpinning the responsible delivery of gaming services relevant to the venue.  Harm minimisation strategies and measures including exclusion provisions, cash limits, restrictions on cheque chasing and the location of the automatic teller machine away from the gaming room are in existence in the premises.  These are also requirements that must be met to ensure the premises comply with gaming machine audits conducted by Licensing NT officers.</w:t>
      </w:r>
    </w:p>
    <w:p w:rsidR="008934B6" w:rsidRDefault="008934B6" w:rsidP="008934B6">
      <w:pPr>
        <w:spacing w:after="240"/>
        <w:ind w:left="567" w:hanging="567"/>
        <w:jc w:val="both"/>
        <w:rPr>
          <w:rFonts w:cs="Arial"/>
          <w:bCs/>
          <w:szCs w:val="22"/>
        </w:rPr>
      </w:pPr>
      <w:r>
        <w:rPr>
          <w:rFonts w:cs="Arial"/>
          <w:bCs/>
          <w:szCs w:val="22"/>
        </w:rPr>
        <w:t>4</w:t>
      </w:r>
      <w:r w:rsidR="00AE2A72">
        <w:rPr>
          <w:rFonts w:cs="Arial"/>
          <w:bCs/>
          <w:szCs w:val="22"/>
        </w:rPr>
        <w:t>5</w:t>
      </w:r>
      <w:r>
        <w:rPr>
          <w:rFonts w:cs="Arial"/>
          <w:bCs/>
          <w:szCs w:val="22"/>
        </w:rPr>
        <w:t>.</w:t>
      </w:r>
      <w:r>
        <w:rPr>
          <w:rFonts w:cs="Arial"/>
          <w:bCs/>
          <w:szCs w:val="22"/>
        </w:rPr>
        <w:tab/>
      </w:r>
      <w:r w:rsidRPr="008F70BE">
        <w:rPr>
          <w:rFonts w:cs="Arial"/>
          <w:bCs/>
          <w:szCs w:val="22"/>
        </w:rPr>
        <w:t xml:space="preserve">Further information was sought from the Applicant in relation to this application and as a result, a copy of the venue’s Responsible Gambling Incident Register was provided.  </w:t>
      </w:r>
      <w:r>
        <w:rPr>
          <w:rFonts w:cs="Arial"/>
          <w:bCs/>
          <w:szCs w:val="22"/>
        </w:rPr>
        <w:t>There are two persons recorded as self-excluded (2013 and 2014) and whilst little incidents are experienced they are duly noted as required.</w:t>
      </w:r>
    </w:p>
    <w:p w:rsidR="008934B6" w:rsidRDefault="008934B6" w:rsidP="008934B6">
      <w:pPr>
        <w:spacing w:after="240"/>
        <w:ind w:left="567" w:hanging="567"/>
        <w:jc w:val="both"/>
        <w:rPr>
          <w:rFonts w:cs="Arial"/>
          <w:bCs/>
          <w:szCs w:val="22"/>
        </w:rPr>
      </w:pPr>
      <w:r>
        <w:rPr>
          <w:rFonts w:cs="Arial"/>
          <w:bCs/>
          <w:szCs w:val="22"/>
        </w:rPr>
        <w:t>4</w:t>
      </w:r>
      <w:r w:rsidR="00AE2A72">
        <w:rPr>
          <w:rFonts w:cs="Arial"/>
          <w:bCs/>
          <w:szCs w:val="22"/>
        </w:rPr>
        <w:t>6</w:t>
      </w:r>
      <w:r>
        <w:rPr>
          <w:rFonts w:cs="Arial"/>
          <w:bCs/>
          <w:szCs w:val="22"/>
        </w:rPr>
        <w:t>.</w:t>
      </w:r>
      <w:r>
        <w:rPr>
          <w:rFonts w:cs="Arial"/>
          <w:bCs/>
          <w:szCs w:val="22"/>
        </w:rPr>
        <w:tab/>
        <w:t xml:space="preserve">There are few entries and the lack of </w:t>
      </w:r>
      <w:r w:rsidRPr="008F70BE">
        <w:rPr>
          <w:rFonts w:cs="Arial"/>
          <w:bCs/>
          <w:szCs w:val="22"/>
        </w:rPr>
        <w:t xml:space="preserve">entries </w:t>
      </w:r>
      <w:r>
        <w:rPr>
          <w:rFonts w:cs="Arial"/>
          <w:bCs/>
          <w:szCs w:val="22"/>
        </w:rPr>
        <w:t xml:space="preserve">could </w:t>
      </w:r>
      <w:r w:rsidRPr="008F70BE">
        <w:rPr>
          <w:rFonts w:cs="Arial"/>
          <w:bCs/>
          <w:szCs w:val="22"/>
        </w:rPr>
        <w:t xml:space="preserve">raise concerns </w:t>
      </w:r>
      <w:r>
        <w:rPr>
          <w:rFonts w:cs="Arial"/>
          <w:bCs/>
          <w:szCs w:val="22"/>
        </w:rPr>
        <w:t xml:space="preserve">that incidents are not being properly recorded, alternatively it may simply be that there has been so few incidents to record.  It is submitted </w:t>
      </w:r>
      <w:r w:rsidRPr="008F70BE">
        <w:rPr>
          <w:rFonts w:cs="Arial"/>
          <w:bCs/>
          <w:szCs w:val="22"/>
        </w:rPr>
        <w:t>the management of the business conducted under the Gaming Machine Licence</w:t>
      </w:r>
      <w:r>
        <w:rPr>
          <w:rFonts w:cs="Arial"/>
          <w:bCs/>
          <w:szCs w:val="22"/>
        </w:rPr>
        <w:t xml:space="preserve"> and th</w:t>
      </w:r>
      <w:r w:rsidRPr="008F70BE">
        <w:rPr>
          <w:rFonts w:cs="Arial"/>
          <w:bCs/>
          <w:szCs w:val="22"/>
        </w:rPr>
        <w:t xml:space="preserve">e manner in which the Applicant conducts and manages </w:t>
      </w:r>
      <w:r>
        <w:rPr>
          <w:rFonts w:cs="Arial"/>
          <w:bCs/>
          <w:szCs w:val="22"/>
        </w:rPr>
        <w:t xml:space="preserve">the </w:t>
      </w:r>
      <w:r w:rsidRPr="008F70BE">
        <w:rPr>
          <w:rFonts w:cs="Arial"/>
          <w:bCs/>
          <w:szCs w:val="22"/>
        </w:rPr>
        <w:t>overall business of the premises</w:t>
      </w:r>
      <w:r>
        <w:rPr>
          <w:rFonts w:cs="Arial"/>
          <w:bCs/>
          <w:szCs w:val="22"/>
        </w:rPr>
        <w:t xml:space="preserve"> may cause there to be few, if any incidents or concern in relation to gaming on the premises.</w:t>
      </w:r>
    </w:p>
    <w:p w:rsidR="008934B6" w:rsidRDefault="00AE2A72" w:rsidP="008934B6">
      <w:pPr>
        <w:spacing w:after="240"/>
        <w:ind w:left="567" w:hanging="567"/>
        <w:jc w:val="both"/>
        <w:rPr>
          <w:rFonts w:cs="Arial"/>
          <w:bCs/>
          <w:szCs w:val="22"/>
        </w:rPr>
      </w:pPr>
      <w:r>
        <w:rPr>
          <w:rFonts w:cs="Arial"/>
          <w:bCs/>
          <w:szCs w:val="22"/>
        </w:rPr>
        <w:t>47</w:t>
      </w:r>
      <w:r w:rsidR="008934B6">
        <w:rPr>
          <w:rFonts w:cs="Arial"/>
          <w:bCs/>
          <w:szCs w:val="22"/>
        </w:rPr>
        <w:t>.</w:t>
      </w:r>
      <w:r w:rsidR="008934B6">
        <w:rPr>
          <w:rFonts w:cs="Arial"/>
          <w:bCs/>
          <w:szCs w:val="22"/>
        </w:rPr>
        <w:tab/>
        <w:t>The gaming area is under the constant video surveillance and regularly patrolled which affords a higher degree of oversight.</w:t>
      </w:r>
    </w:p>
    <w:p w:rsidR="008934B6" w:rsidRDefault="00AE2A72" w:rsidP="008934B6">
      <w:pPr>
        <w:spacing w:after="240"/>
        <w:ind w:left="567" w:hanging="567"/>
        <w:jc w:val="both"/>
        <w:rPr>
          <w:rFonts w:cs="Arial"/>
          <w:bCs/>
          <w:szCs w:val="22"/>
        </w:rPr>
      </w:pPr>
      <w:r>
        <w:rPr>
          <w:rFonts w:cs="Arial"/>
          <w:bCs/>
          <w:szCs w:val="22"/>
        </w:rPr>
        <w:t>48</w:t>
      </w:r>
      <w:r w:rsidR="008934B6">
        <w:rPr>
          <w:rFonts w:cs="Arial"/>
          <w:bCs/>
          <w:szCs w:val="22"/>
        </w:rPr>
        <w:t>.</w:t>
      </w:r>
      <w:r w:rsidR="008934B6">
        <w:rPr>
          <w:rFonts w:cs="Arial"/>
          <w:bCs/>
          <w:szCs w:val="22"/>
        </w:rPr>
        <w:tab/>
      </w:r>
      <w:r w:rsidR="008934B6" w:rsidRPr="008F70BE">
        <w:rPr>
          <w:rFonts w:cs="Arial"/>
          <w:bCs/>
          <w:szCs w:val="22"/>
        </w:rPr>
        <w:t>The policies in place at the</w:t>
      </w:r>
      <w:r w:rsidR="008934B6">
        <w:rPr>
          <w:rFonts w:cs="Arial"/>
          <w:bCs/>
          <w:szCs w:val="22"/>
        </w:rPr>
        <w:t xml:space="preserve"> venue</w:t>
      </w:r>
      <w:r w:rsidR="008934B6" w:rsidRPr="008F70BE">
        <w:rPr>
          <w:rFonts w:cs="Arial"/>
          <w:bCs/>
          <w:szCs w:val="22"/>
        </w:rPr>
        <w:t xml:space="preserve"> at present are compliant with the </w:t>
      </w:r>
      <w:r w:rsidR="008934B6" w:rsidRPr="0037611B">
        <w:rPr>
          <w:rFonts w:cs="Arial"/>
          <w:bCs/>
          <w:i/>
          <w:szCs w:val="22"/>
        </w:rPr>
        <w:t>NT Code of Practice for Responsible Gambling (2016)</w:t>
      </w:r>
      <w:r w:rsidR="008934B6" w:rsidRPr="008F70BE">
        <w:rPr>
          <w:rFonts w:cs="Arial"/>
          <w:bCs/>
          <w:szCs w:val="22"/>
        </w:rPr>
        <w:t xml:space="preserve"> and there is no indication that an </w:t>
      </w:r>
      <w:r w:rsidR="008934B6" w:rsidRPr="008F70BE">
        <w:rPr>
          <w:rFonts w:cs="Arial"/>
          <w:szCs w:val="24"/>
        </w:rPr>
        <w:t>increase</w:t>
      </w:r>
      <w:r w:rsidR="008934B6"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8934B6" w:rsidRDefault="008934B6" w:rsidP="00747F39">
      <w:pPr>
        <w:pStyle w:val="Heading4"/>
        <w:rPr>
          <w:rStyle w:val="Emphasis"/>
          <w:b w:val="0"/>
          <w:i w:val="0"/>
        </w:rPr>
      </w:pPr>
      <w:r w:rsidRPr="00587446">
        <w:rPr>
          <w:rStyle w:val="Emphasis"/>
          <w:i w:val="0"/>
        </w:rPr>
        <w:lastRenderedPageBreak/>
        <w:t>Economic impact - contribution to the com</w:t>
      </w:r>
      <w:r>
        <w:rPr>
          <w:rStyle w:val="Emphasis"/>
          <w:i w:val="0"/>
        </w:rPr>
        <w:t xml:space="preserve">munity, employment creation and </w:t>
      </w:r>
      <w:r w:rsidRPr="00587446">
        <w:rPr>
          <w:rStyle w:val="Emphasis"/>
          <w:i w:val="0"/>
        </w:rPr>
        <w:t>significance/reliance of the venue to or on tourism</w:t>
      </w:r>
    </w:p>
    <w:p w:rsidR="008934B6" w:rsidRDefault="00AE2A72" w:rsidP="008934B6">
      <w:pPr>
        <w:spacing w:after="240"/>
        <w:ind w:left="567" w:hanging="567"/>
        <w:jc w:val="both"/>
        <w:rPr>
          <w:rFonts w:cs="Arial"/>
          <w:bCs/>
          <w:szCs w:val="22"/>
        </w:rPr>
      </w:pPr>
      <w:r>
        <w:rPr>
          <w:rStyle w:val="Emphasis"/>
          <w:i w:val="0"/>
        </w:rPr>
        <w:t>49</w:t>
      </w:r>
      <w:r w:rsidR="008934B6">
        <w:rPr>
          <w:rStyle w:val="Emphasis"/>
          <w:i w:val="0"/>
        </w:rPr>
        <w:t>.</w:t>
      </w:r>
      <w:r w:rsidR="008934B6">
        <w:rPr>
          <w:rStyle w:val="Emphasis"/>
          <w:i w:val="0"/>
        </w:rPr>
        <w:tab/>
      </w:r>
      <w:r w:rsidR="008934B6">
        <w:rPr>
          <w:rFonts w:cs="Arial"/>
          <w:bCs/>
          <w:szCs w:val="22"/>
        </w:rPr>
        <w:t>The CIA states the venue currently employs 37 staff, all local residents with 14 permanent and 23 casual</w:t>
      </w:r>
      <w:proofErr w:type="gramStart"/>
      <w:r w:rsidR="008934B6">
        <w:rPr>
          <w:rFonts w:cs="Arial"/>
          <w:bCs/>
          <w:szCs w:val="22"/>
        </w:rPr>
        <w:t xml:space="preserve">.  </w:t>
      </w:r>
      <w:proofErr w:type="gramEnd"/>
      <w:r w:rsidR="008934B6">
        <w:rPr>
          <w:rFonts w:cs="Arial"/>
          <w:bCs/>
          <w:szCs w:val="22"/>
        </w:rPr>
        <w:t>It is anticipated the premises will continue to increase their staffing levels in accordance with the increase in revenues and patronage they have been experiencing each year.</w:t>
      </w:r>
    </w:p>
    <w:p w:rsidR="008934B6" w:rsidRDefault="00AE2A72" w:rsidP="008934B6">
      <w:pPr>
        <w:spacing w:after="240"/>
        <w:ind w:left="567" w:hanging="567"/>
        <w:jc w:val="both"/>
        <w:rPr>
          <w:rFonts w:cs="Arial"/>
          <w:bCs/>
          <w:szCs w:val="22"/>
        </w:rPr>
      </w:pPr>
      <w:r>
        <w:rPr>
          <w:rFonts w:cs="Arial"/>
          <w:bCs/>
          <w:szCs w:val="22"/>
        </w:rPr>
        <w:t>50</w:t>
      </w:r>
      <w:r w:rsidR="008934B6">
        <w:rPr>
          <w:rFonts w:cs="Arial"/>
          <w:bCs/>
          <w:szCs w:val="22"/>
        </w:rPr>
        <w:t>.</w:t>
      </w:r>
      <w:r w:rsidR="008934B6">
        <w:rPr>
          <w:rFonts w:cs="Arial"/>
          <w:bCs/>
          <w:szCs w:val="22"/>
        </w:rPr>
        <w:tab/>
        <w:t>The CIA reports 23 organisations were contacted to ascertain their views on the potential impact of the application within the LCA.  Eight organisations responded and their responses are provided below.</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1</w:t>
      </w:r>
      <w:r>
        <w:rPr>
          <w:rFonts w:cs="Arial"/>
          <w:bCs/>
          <w:szCs w:val="22"/>
        </w:rPr>
        <w:t>.</w:t>
      </w:r>
      <w:r>
        <w:rPr>
          <w:rFonts w:cs="Arial"/>
          <w:bCs/>
          <w:szCs w:val="22"/>
        </w:rPr>
        <w:tab/>
        <w:t>Mr Green, Deputy Unit Officer, Northern Territory Emergency Services stated he did not support the application.  It is his belief that not all current machines are occupied at all times and therefore additional machines are unnecessary.  He believes there will be more choice however not necessarily more people or more money into the club where the additional machines will have no impact.</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2</w:t>
      </w:r>
      <w:r>
        <w:rPr>
          <w:rFonts w:cs="Arial"/>
          <w:bCs/>
          <w:szCs w:val="22"/>
        </w:rPr>
        <w:t>.</w:t>
      </w:r>
      <w:r>
        <w:rPr>
          <w:rFonts w:cs="Arial"/>
          <w:bCs/>
          <w:szCs w:val="22"/>
        </w:rPr>
        <w:tab/>
        <w:t>Father McGuinness of the Catholic Church considers the additional machines will have a negative impact within the community where he indicates there are already a number of existing machines in a small town; they do not need any more.</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3</w:t>
      </w:r>
      <w:r>
        <w:rPr>
          <w:rFonts w:cs="Arial"/>
          <w:bCs/>
          <w:szCs w:val="22"/>
        </w:rPr>
        <w:t>.</w:t>
      </w:r>
      <w:r>
        <w:rPr>
          <w:rFonts w:cs="Arial"/>
          <w:bCs/>
          <w:szCs w:val="22"/>
        </w:rPr>
        <w:tab/>
        <w:t>Ms Perkins, Director of Katherine East Child Care Centre believes additional gaming machines will have a negative impact upon the community.  Ms Perkins submits extra machines will increase financial burden on families who already struggle with their finances which should otherwise be spent on groceries and their children.</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4</w:t>
      </w:r>
      <w:r>
        <w:rPr>
          <w:rFonts w:cs="Arial"/>
          <w:bCs/>
          <w:szCs w:val="22"/>
        </w:rPr>
        <w:t>.</w:t>
      </w:r>
      <w:r>
        <w:rPr>
          <w:rFonts w:cs="Arial"/>
          <w:bCs/>
          <w:szCs w:val="22"/>
        </w:rPr>
        <w:tab/>
        <w:t xml:space="preserve">Ms </w:t>
      </w:r>
      <w:proofErr w:type="spellStart"/>
      <w:r>
        <w:rPr>
          <w:rFonts w:cs="Arial"/>
          <w:bCs/>
          <w:szCs w:val="22"/>
        </w:rPr>
        <w:t>Hollier</w:t>
      </w:r>
      <w:proofErr w:type="spellEnd"/>
      <w:r>
        <w:rPr>
          <w:rFonts w:cs="Arial"/>
          <w:bCs/>
          <w:szCs w:val="22"/>
        </w:rPr>
        <w:t>, Head Psychologist of Katherine Psychology and Wellbeing likewise submits additional gaming machines will have a negative impact within the community</w:t>
      </w:r>
      <w:proofErr w:type="gramStart"/>
      <w:r>
        <w:rPr>
          <w:rFonts w:cs="Arial"/>
          <w:bCs/>
          <w:szCs w:val="22"/>
        </w:rPr>
        <w:t xml:space="preserve">.  </w:t>
      </w:r>
      <w:proofErr w:type="gramEnd"/>
      <w:r>
        <w:rPr>
          <w:rFonts w:cs="Arial"/>
          <w:bCs/>
          <w:szCs w:val="22"/>
        </w:rPr>
        <w:t xml:space="preserve">Ms </w:t>
      </w:r>
      <w:proofErr w:type="spellStart"/>
      <w:r>
        <w:rPr>
          <w:rFonts w:cs="Arial"/>
          <w:bCs/>
          <w:szCs w:val="22"/>
        </w:rPr>
        <w:t>Hollier</w:t>
      </w:r>
      <w:proofErr w:type="spellEnd"/>
      <w:r>
        <w:rPr>
          <w:rFonts w:cs="Arial"/>
          <w:bCs/>
          <w:szCs w:val="22"/>
        </w:rPr>
        <w:t xml:space="preserve"> suggests the population and demographics of Katherine as a community problem gambling is existent; additional machines will have a negative impact on persons seeking support.  Further, it is submitted there are extremely limited services in Katherine to manage problem gambling.  This will result in further poverty, effecting families and children and additional machines will lead to addiction.</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5</w:t>
      </w:r>
      <w:r>
        <w:rPr>
          <w:rFonts w:cs="Arial"/>
          <w:bCs/>
          <w:szCs w:val="22"/>
        </w:rPr>
        <w:t>.</w:t>
      </w:r>
      <w:r>
        <w:rPr>
          <w:rFonts w:cs="Arial"/>
          <w:bCs/>
          <w:szCs w:val="22"/>
        </w:rPr>
        <w:tab/>
        <w:t xml:space="preserve">Ms </w:t>
      </w:r>
      <w:proofErr w:type="spellStart"/>
      <w:r>
        <w:rPr>
          <w:rFonts w:cs="Arial"/>
          <w:bCs/>
          <w:szCs w:val="22"/>
        </w:rPr>
        <w:t>Fauni</w:t>
      </w:r>
      <w:proofErr w:type="spellEnd"/>
      <w:r>
        <w:rPr>
          <w:rFonts w:cs="Arial"/>
          <w:bCs/>
          <w:szCs w:val="22"/>
        </w:rPr>
        <w:t xml:space="preserve">, Integrated Services Manager of Rocky Ridge Aged Care Facility considers the additional machines will have a negative impact upon the community as there will be more people gambling “…instead of spending their money wisely” which will lead to addiction.  Ms </w:t>
      </w:r>
      <w:proofErr w:type="spellStart"/>
      <w:r>
        <w:rPr>
          <w:rFonts w:cs="Arial"/>
          <w:bCs/>
          <w:szCs w:val="22"/>
        </w:rPr>
        <w:t>Fauni</w:t>
      </w:r>
      <w:proofErr w:type="spellEnd"/>
      <w:r>
        <w:rPr>
          <w:rFonts w:cs="Arial"/>
          <w:bCs/>
          <w:szCs w:val="22"/>
        </w:rPr>
        <w:t xml:space="preserve"> submits there are sufficient numbers of machines in the area presently.</w:t>
      </w:r>
    </w:p>
    <w:p w:rsidR="008934B6" w:rsidRDefault="008934B6" w:rsidP="008934B6">
      <w:pPr>
        <w:spacing w:after="240"/>
        <w:ind w:left="567" w:hanging="567"/>
        <w:jc w:val="both"/>
        <w:rPr>
          <w:rFonts w:cs="Arial"/>
          <w:bCs/>
          <w:szCs w:val="22"/>
        </w:rPr>
      </w:pPr>
      <w:r>
        <w:rPr>
          <w:rFonts w:cs="Arial"/>
          <w:bCs/>
          <w:szCs w:val="22"/>
        </w:rPr>
        <w:t>5</w:t>
      </w:r>
      <w:r w:rsidR="00AE2A72">
        <w:rPr>
          <w:rFonts w:cs="Arial"/>
          <w:bCs/>
          <w:szCs w:val="22"/>
        </w:rPr>
        <w:t>6</w:t>
      </w:r>
      <w:r>
        <w:rPr>
          <w:rFonts w:cs="Arial"/>
          <w:bCs/>
          <w:szCs w:val="22"/>
        </w:rPr>
        <w:t>.</w:t>
      </w:r>
      <w:r>
        <w:rPr>
          <w:rFonts w:cs="Arial"/>
          <w:bCs/>
          <w:szCs w:val="22"/>
        </w:rPr>
        <w:tab/>
        <w:t>Mr Graham, Principal of St Joseph’s Catholic College believes additional gaming machines within the community will have a negative impact upon the community given the “…high dependency the community has on gambling”.  Mr Graham states additional machines will have a negative impact on disposable income, placing a further restriction on those who can’t meet the necessary living requirements and those who lack budgetary skills.</w:t>
      </w:r>
    </w:p>
    <w:p w:rsidR="008934B6" w:rsidRDefault="00AE2A72" w:rsidP="008934B6">
      <w:pPr>
        <w:spacing w:after="240"/>
        <w:ind w:left="567" w:hanging="567"/>
        <w:jc w:val="both"/>
        <w:rPr>
          <w:rFonts w:cs="Arial"/>
          <w:bCs/>
          <w:szCs w:val="22"/>
        </w:rPr>
      </w:pPr>
      <w:r>
        <w:rPr>
          <w:rFonts w:cs="Arial"/>
          <w:bCs/>
          <w:szCs w:val="22"/>
        </w:rPr>
        <w:t>57</w:t>
      </w:r>
      <w:r w:rsidR="008934B6">
        <w:rPr>
          <w:rFonts w:cs="Arial"/>
          <w:bCs/>
          <w:szCs w:val="22"/>
        </w:rPr>
        <w:t>.</w:t>
      </w:r>
      <w:r w:rsidR="008934B6">
        <w:rPr>
          <w:rFonts w:cs="Arial"/>
          <w:bCs/>
          <w:szCs w:val="22"/>
        </w:rPr>
        <w:tab/>
        <w:t>Mr Fawkner, Principal Legal Officer of the Katherine Women’s Information and Legal Service states the additional machines will have a negative impact on the community.  It is submitted parents will spend uncontrollably at the expense of the welfare of children and families.  This will negatively impact the financially vulnerable and disadvantaged population.</w:t>
      </w:r>
    </w:p>
    <w:p w:rsidR="008934B6" w:rsidRDefault="00AE2A72" w:rsidP="008934B6">
      <w:pPr>
        <w:spacing w:after="240"/>
        <w:ind w:left="567" w:hanging="567"/>
        <w:jc w:val="both"/>
        <w:rPr>
          <w:rFonts w:cs="Arial"/>
          <w:bCs/>
          <w:szCs w:val="22"/>
        </w:rPr>
      </w:pPr>
      <w:r>
        <w:rPr>
          <w:rFonts w:cs="Arial"/>
          <w:bCs/>
          <w:szCs w:val="22"/>
        </w:rPr>
        <w:t>58</w:t>
      </w:r>
      <w:r w:rsidR="008934B6">
        <w:rPr>
          <w:rFonts w:cs="Arial"/>
          <w:bCs/>
          <w:szCs w:val="22"/>
        </w:rPr>
        <w:t xml:space="preserve">. </w:t>
      </w:r>
      <w:r w:rsidR="008934B6">
        <w:rPr>
          <w:rFonts w:cs="Arial"/>
          <w:bCs/>
          <w:szCs w:val="22"/>
        </w:rPr>
        <w:tab/>
        <w:t xml:space="preserve">Ms </w:t>
      </w:r>
      <w:proofErr w:type="spellStart"/>
      <w:r w:rsidR="008934B6">
        <w:rPr>
          <w:rFonts w:cs="Arial"/>
          <w:bCs/>
          <w:szCs w:val="22"/>
        </w:rPr>
        <w:t>Frean</w:t>
      </w:r>
      <w:proofErr w:type="spellEnd"/>
      <w:r w:rsidR="008934B6">
        <w:rPr>
          <w:rFonts w:cs="Arial"/>
          <w:bCs/>
          <w:szCs w:val="22"/>
        </w:rPr>
        <w:t xml:space="preserve">, Acting CEO of the YMCA Katherine acknowledges the recent closure of one </w:t>
      </w:r>
      <w:proofErr w:type="gramStart"/>
      <w:r w:rsidR="008934B6">
        <w:rPr>
          <w:rFonts w:cs="Arial"/>
          <w:bCs/>
          <w:szCs w:val="22"/>
        </w:rPr>
        <w:t>premises</w:t>
      </w:r>
      <w:proofErr w:type="gramEnd"/>
      <w:r w:rsidR="008934B6">
        <w:rPr>
          <w:rFonts w:cs="Arial"/>
          <w:bCs/>
          <w:szCs w:val="22"/>
        </w:rPr>
        <w:t xml:space="preserve"> and in the event these are approved there will be net impact on the community as the numbers will effectively stay similar.</w:t>
      </w:r>
    </w:p>
    <w:p w:rsidR="008934B6" w:rsidRDefault="00AE2A72" w:rsidP="008934B6">
      <w:pPr>
        <w:spacing w:after="240"/>
        <w:ind w:left="567" w:hanging="567"/>
        <w:jc w:val="both"/>
        <w:rPr>
          <w:rFonts w:cs="Arial"/>
          <w:bCs/>
          <w:szCs w:val="22"/>
        </w:rPr>
      </w:pPr>
      <w:r>
        <w:rPr>
          <w:rFonts w:cs="Arial"/>
          <w:bCs/>
          <w:szCs w:val="22"/>
        </w:rPr>
        <w:t>59</w:t>
      </w:r>
      <w:r w:rsidR="008934B6">
        <w:rPr>
          <w:rFonts w:cs="Arial"/>
          <w:bCs/>
          <w:szCs w:val="22"/>
        </w:rPr>
        <w:t xml:space="preserve">. </w:t>
      </w:r>
      <w:r w:rsidR="008934B6">
        <w:rPr>
          <w:rFonts w:cs="Arial"/>
          <w:bCs/>
          <w:szCs w:val="22"/>
        </w:rPr>
        <w:tab/>
        <w:t>The community organisations that did not respond are listed in the CIA.</w:t>
      </w:r>
    </w:p>
    <w:p w:rsidR="008934B6" w:rsidRDefault="008934B6" w:rsidP="008934B6">
      <w:pPr>
        <w:spacing w:after="240"/>
        <w:ind w:left="567" w:hanging="567"/>
        <w:jc w:val="both"/>
        <w:rPr>
          <w:rFonts w:cs="Arial"/>
          <w:bCs/>
          <w:szCs w:val="22"/>
        </w:rPr>
      </w:pPr>
      <w:r>
        <w:rPr>
          <w:rFonts w:cs="Arial"/>
          <w:bCs/>
          <w:szCs w:val="22"/>
        </w:rPr>
        <w:lastRenderedPageBreak/>
        <w:t>6</w:t>
      </w:r>
      <w:r w:rsidR="00AE2A72">
        <w:rPr>
          <w:rFonts w:cs="Arial"/>
          <w:bCs/>
          <w:szCs w:val="22"/>
        </w:rPr>
        <w:t>0</w:t>
      </w:r>
      <w:r>
        <w:rPr>
          <w:rFonts w:cs="Arial"/>
          <w:bCs/>
          <w:szCs w:val="22"/>
        </w:rPr>
        <w:t>.</w:t>
      </w:r>
      <w:r>
        <w:rPr>
          <w:rFonts w:cs="Arial"/>
          <w:bCs/>
          <w:szCs w:val="22"/>
        </w:rPr>
        <w:tab/>
      </w:r>
      <w:r w:rsidRPr="00D92E7A">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p>
    <w:p w:rsidR="008934B6" w:rsidRDefault="008934B6" w:rsidP="00747F39">
      <w:pPr>
        <w:pStyle w:val="Heading4"/>
      </w:pPr>
      <w:r w:rsidRPr="00980A08">
        <w:t>Written submissions in response to the application</w:t>
      </w:r>
    </w:p>
    <w:p w:rsidR="008934B6" w:rsidRDefault="008934B6" w:rsidP="008934B6">
      <w:pPr>
        <w:spacing w:after="240"/>
        <w:ind w:left="567" w:hanging="567"/>
        <w:jc w:val="both"/>
        <w:rPr>
          <w:rFonts w:cs="Arial"/>
          <w:szCs w:val="24"/>
        </w:rPr>
      </w:pPr>
      <w:r w:rsidRPr="00D92E7A">
        <w:rPr>
          <w:rFonts w:cs="Arial"/>
          <w:bCs/>
          <w:szCs w:val="22"/>
        </w:rPr>
        <w:t>6</w:t>
      </w:r>
      <w:r w:rsidR="00AE2A72">
        <w:rPr>
          <w:rFonts w:cs="Arial"/>
          <w:bCs/>
          <w:szCs w:val="22"/>
        </w:rPr>
        <w:t>1</w:t>
      </w:r>
      <w:r>
        <w:rPr>
          <w:rFonts w:cs="Arial"/>
          <w:bCs/>
          <w:szCs w:val="22"/>
        </w:rPr>
        <w:t>.</w:t>
      </w:r>
      <w:r>
        <w:rPr>
          <w:rFonts w:cs="Arial"/>
          <w:bCs/>
          <w:szCs w:val="22"/>
        </w:rPr>
        <w:tab/>
      </w:r>
      <w:r w:rsidRPr="00655618">
        <w:rPr>
          <w:rFonts w:cs="Arial"/>
          <w:szCs w:val="24"/>
        </w:rPr>
        <w:t xml:space="preserve">As required by section 41B of the Act, notification of the application was advertised in the Northern Territory News on </w:t>
      </w:r>
      <w:r>
        <w:rPr>
          <w:rFonts w:cs="Arial"/>
          <w:szCs w:val="24"/>
        </w:rPr>
        <w:t>8 June 2016</w:t>
      </w:r>
      <w:proofErr w:type="gramStart"/>
      <w:r w:rsidRPr="00655618">
        <w:rPr>
          <w:rFonts w:cs="Arial"/>
          <w:szCs w:val="24"/>
        </w:rPr>
        <w:t xml:space="preserve">.  </w:t>
      </w:r>
      <w:proofErr w:type="gramEnd"/>
      <w:r w:rsidRPr="00655618">
        <w:rPr>
          <w:rFonts w:cs="Arial"/>
          <w:szCs w:val="24"/>
        </w:rPr>
        <w:t xml:space="preserve">Pursuant to the Act, a written submission may be made to the Director-General </w:t>
      </w:r>
      <w:r w:rsidRPr="00B3067F">
        <w:rPr>
          <w:rFonts w:cs="Arial"/>
          <w:szCs w:val="24"/>
        </w:rPr>
        <w:t>within 30 days of the notification.</w:t>
      </w:r>
    </w:p>
    <w:p w:rsidR="008934B6" w:rsidRDefault="008934B6" w:rsidP="008934B6">
      <w:pPr>
        <w:spacing w:after="240"/>
        <w:ind w:left="567" w:hanging="567"/>
        <w:jc w:val="both"/>
        <w:rPr>
          <w:rFonts w:cs="Arial"/>
          <w:szCs w:val="24"/>
        </w:rPr>
      </w:pPr>
      <w:r>
        <w:rPr>
          <w:rFonts w:cs="Arial"/>
          <w:szCs w:val="24"/>
        </w:rPr>
        <w:t>6</w:t>
      </w:r>
      <w:r w:rsidR="00AE2A72">
        <w:rPr>
          <w:rFonts w:cs="Arial"/>
          <w:szCs w:val="24"/>
        </w:rPr>
        <w:t>2</w:t>
      </w:r>
      <w:r>
        <w:rPr>
          <w:rFonts w:cs="Arial"/>
          <w:szCs w:val="24"/>
        </w:rPr>
        <w:t>.</w:t>
      </w:r>
      <w:r>
        <w:rPr>
          <w:rFonts w:cs="Arial"/>
          <w:szCs w:val="24"/>
        </w:rPr>
        <w:tab/>
        <w:t xml:space="preserve">No submissions were received as a result of the public advertising.  Despite this the author is aware of a general </w:t>
      </w:r>
      <w:r w:rsidRPr="00B3067F">
        <w:rPr>
          <w:rFonts w:cs="Arial"/>
          <w:szCs w:val="24"/>
        </w:rPr>
        <w:t xml:space="preserve">submission </w:t>
      </w:r>
      <w:r>
        <w:rPr>
          <w:rFonts w:cs="Arial"/>
          <w:szCs w:val="24"/>
        </w:rPr>
        <w:t>that has been r</w:t>
      </w:r>
      <w:r w:rsidRPr="00B3067F">
        <w:rPr>
          <w:rFonts w:cs="Arial"/>
          <w:szCs w:val="24"/>
        </w:rPr>
        <w:t>eceived from Amity Community Services Inc (</w:t>
      </w:r>
      <w:r>
        <w:rPr>
          <w:rFonts w:cs="Arial"/>
          <w:szCs w:val="24"/>
        </w:rPr>
        <w:t>“</w:t>
      </w:r>
      <w:r w:rsidRPr="00B3067F">
        <w:rPr>
          <w:rFonts w:cs="Arial"/>
          <w:szCs w:val="24"/>
        </w:rPr>
        <w:t>Amity</w:t>
      </w:r>
      <w:r>
        <w:rPr>
          <w:rFonts w:cs="Arial"/>
          <w:szCs w:val="24"/>
        </w:rPr>
        <w:t>”</w:t>
      </w:r>
      <w:r w:rsidRPr="00B3067F">
        <w:rPr>
          <w:rFonts w:cs="Arial"/>
          <w:szCs w:val="24"/>
        </w:rPr>
        <w:t>)</w:t>
      </w:r>
      <w:r>
        <w:rPr>
          <w:rFonts w:cs="Arial"/>
          <w:szCs w:val="24"/>
        </w:rPr>
        <w:t>, for other applications</w:t>
      </w:r>
      <w:r w:rsidRPr="00B3067F">
        <w:rPr>
          <w:rFonts w:cs="Arial"/>
          <w:szCs w:val="24"/>
        </w:rPr>
        <w:t>.</w:t>
      </w:r>
    </w:p>
    <w:p w:rsidR="008934B6" w:rsidRDefault="008934B6" w:rsidP="00747F39">
      <w:pPr>
        <w:spacing w:after="120"/>
        <w:ind w:left="567" w:hanging="567"/>
        <w:jc w:val="both"/>
        <w:rPr>
          <w:rFonts w:cs="Arial"/>
          <w:szCs w:val="24"/>
        </w:rPr>
      </w:pPr>
      <w:r>
        <w:rPr>
          <w:rFonts w:cs="Arial"/>
          <w:szCs w:val="24"/>
        </w:rPr>
        <w:t>6</w:t>
      </w:r>
      <w:r w:rsidR="00AE2A72">
        <w:rPr>
          <w:rFonts w:cs="Arial"/>
          <w:szCs w:val="24"/>
        </w:rPr>
        <w:t>3</w:t>
      </w:r>
      <w:r>
        <w:rPr>
          <w:rFonts w:cs="Arial"/>
          <w:szCs w:val="24"/>
        </w:rPr>
        <w:t>.</w:t>
      </w:r>
      <w:r>
        <w:rPr>
          <w:rFonts w:cs="Arial"/>
          <w:szCs w:val="24"/>
        </w:rPr>
        <w:tab/>
      </w:r>
      <w:r w:rsidRPr="00B3067F">
        <w:rPr>
          <w:rFonts w:cs="Arial"/>
          <w:bCs/>
          <w:szCs w:val="22"/>
        </w:rPr>
        <w:t>Th</w:t>
      </w:r>
      <w:r>
        <w:rPr>
          <w:rFonts w:cs="Arial"/>
          <w:bCs/>
          <w:szCs w:val="22"/>
        </w:rPr>
        <w:t>at</w:t>
      </w:r>
      <w:r w:rsidRPr="00B3067F">
        <w:rPr>
          <w:rFonts w:cs="Arial"/>
          <w:bCs/>
          <w:szCs w:val="22"/>
        </w:rPr>
        <w:t xml:space="preserve"> submission states that Amity has been working in the area of gambling for over two decades and</w:t>
      </w:r>
      <w:r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8934B6" w:rsidRDefault="008934B6" w:rsidP="00747F39">
      <w:pPr>
        <w:spacing w:after="120"/>
        <w:ind w:left="567" w:hanging="567"/>
        <w:jc w:val="both"/>
        <w:rPr>
          <w:rFonts w:cs="Arial"/>
          <w:szCs w:val="24"/>
        </w:rPr>
      </w:pPr>
      <w:r>
        <w:rPr>
          <w:rFonts w:cs="Arial"/>
          <w:szCs w:val="24"/>
        </w:rPr>
        <w:t>6</w:t>
      </w:r>
      <w:r w:rsidR="00AE2A72">
        <w:rPr>
          <w:rFonts w:cs="Arial"/>
          <w:szCs w:val="24"/>
        </w:rPr>
        <w:t>4</w:t>
      </w:r>
      <w:r>
        <w:rPr>
          <w:rFonts w:cs="Arial"/>
          <w:szCs w:val="24"/>
        </w:rPr>
        <w:t>.</w:t>
      </w:r>
      <w:r>
        <w:rPr>
          <w:rFonts w:cs="Arial"/>
          <w:szCs w:val="24"/>
        </w:rPr>
        <w:tab/>
      </w: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Pr>
          <w:rFonts w:cs="Arial"/>
          <w:szCs w:val="24"/>
        </w:rPr>
        <w:t xml:space="preserve"> </w:t>
      </w:r>
      <w:proofErr w:type="gramEnd"/>
      <w:r w:rsidRPr="00B3067F">
        <w:rPr>
          <w:rFonts w:cs="Arial"/>
          <w:szCs w:val="24"/>
        </w:rPr>
        <w:t>Amity provides its services throughout the Northern Territory with the aim of implementing harm minimisation strategies for safer gambling.</w:t>
      </w:r>
    </w:p>
    <w:p w:rsidR="008934B6" w:rsidRDefault="008934B6" w:rsidP="00747F39">
      <w:pPr>
        <w:spacing w:after="120"/>
        <w:ind w:left="567" w:hanging="567"/>
        <w:jc w:val="both"/>
        <w:rPr>
          <w:rFonts w:cs="Arial"/>
          <w:szCs w:val="24"/>
        </w:rPr>
      </w:pPr>
      <w:r>
        <w:rPr>
          <w:rFonts w:cs="Arial"/>
          <w:szCs w:val="24"/>
        </w:rPr>
        <w:t>6</w:t>
      </w:r>
      <w:r w:rsidR="00AE2A72">
        <w:rPr>
          <w:rFonts w:cs="Arial"/>
          <w:szCs w:val="24"/>
        </w:rPr>
        <w:t>5</w:t>
      </w:r>
      <w:r>
        <w:rPr>
          <w:rFonts w:cs="Arial"/>
          <w:szCs w:val="24"/>
        </w:rPr>
        <w:t>.</w:t>
      </w:r>
      <w:r>
        <w:rPr>
          <w:rFonts w:cs="Arial"/>
          <w:szCs w:val="24"/>
        </w:rPr>
        <w:tab/>
        <w:t xml:space="preserve">As there was no specific submission in relation to this application by </w:t>
      </w:r>
      <w:r w:rsidRPr="00B3067F">
        <w:rPr>
          <w:rFonts w:cs="Arial"/>
          <w:szCs w:val="24"/>
        </w:rPr>
        <w:t>Amity</w:t>
      </w:r>
      <w:r>
        <w:rPr>
          <w:rFonts w:cs="Arial"/>
          <w:szCs w:val="24"/>
        </w:rPr>
        <w:t>, their opposition to</w:t>
      </w:r>
      <w:r w:rsidRPr="00B3067F">
        <w:rPr>
          <w:rFonts w:cs="Arial"/>
          <w:szCs w:val="24"/>
        </w:rPr>
        <w:t xml:space="preserve"> increas</w:t>
      </w:r>
      <w:r>
        <w:rPr>
          <w:rFonts w:cs="Arial"/>
          <w:szCs w:val="24"/>
        </w:rPr>
        <w:t>ing</w:t>
      </w:r>
      <w:r w:rsidRPr="00B3067F">
        <w:rPr>
          <w:rFonts w:cs="Arial"/>
          <w:szCs w:val="24"/>
        </w:rPr>
        <w:t xml:space="preserve"> gaming machines</w:t>
      </w:r>
      <w:r>
        <w:rPr>
          <w:rFonts w:cs="Arial"/>
          <w:szCs w:val="24"/>
        </w:rPr>
        <w:t xml:space="preserve"> can only be general in nature and afforded the appropriate weight in consideration of this matter</w:t>
      </w:r>
      <w:r w:rsidRPr="00B3067F">
        <w:rPr>
          <w:rFonts w:cs="Arial"/>
          <w:szCs w:val="24"/>
        </w:rPr>
        <w:t xml:space="preserve">.  Amity </w:t>
      </w:r>
      <w:r>
        <w:rPr>
          <w:rFonts w:cs="Arial"/>
          <w:szCs w:val="24"/>
        </w:rPr>
        <w:t>has clearly expressed their view is</w:t>
      </w:r>
      <w:r w:rsidRPr="00B3067F">
        <w:rPr>
          <w:rFonts w:cs="Arial"/>
          <w:szCs w:val="24"/>
        </w:rPr>
        <w:t xml:space="preserve">, that an increase in gaming machines in the </w:t>
      </w:r>
      <w:r>
        <w:rPr>
          <w:rFonts w:cs="Arial"/>
          <w:szCs w:val="24"/>
        </w:rPr>
        <w:t>Northern Territory</w:t>
      </w:r>
      <w:r w:rsidRPr="00B3067F">
        <w:rPr>
          <w:rFonts w:cs="Arial"/>
          <w:szCs w:val="24"/>
        </w:rPr>
        <w:t xml:space="preserve"> will have an overall negative effect on the health, social and economic welfare of at least a proportion of the </w:t>
      </w:r>
      <w:r>
        <w:rPr>
          <w:rFonts w:cs="Arial"/>
          <w:szCs w:val="24"/>
        </w:rPr>
        <w:t xml:space="preserve">overall </w:t>
      </w:r>
      <w:r w:rsidRPr="00B3067F">
        <w:rPr>
          <w:rFonts w:cs="Arial"/>
          <w:szCs w:val="24"/>
        </w:rPr>
        <w:t>population.</w:t>
      </w:r>
    </w:p>
    <w:p w:rsidR="008934B6" w:rsidRDefault="008934B6" w:rsidP="00747F39">
      <w:pPr>
        <w:spacing w:after="120"/>
        <w:ind w:left="567" w:hanging="567"/>
        <w:jc w:val="both"/>
        <w:rPr>
          <w:rFonts w:cs="Arial"/>
          <w:szCs w:val="24"/>
        </w:rPr>
      </w:pPr>
      <w:r>
        <w:rPr>
          <w:rFonts w:cs="Arial"/>
          <w:szCs w:val="24"/>
        </w:rPr>
        <w:t>6</w:t>
      </w:r>
      <w:r w:rsidR="00AE2A72">
        <w:rPr>
          <w:rFonts w:cs="Arial"/>
          <w:szCs w:val="24"/>
        </w:rPr>
        <w:t>6</w:t>
      </w:r>
      <w:r>
        <w:rPr>
          <w:rFonts w:cs="Arial"/>
          <w:szCs w:val="24"/>
        </w:rPr>
        <w:t>.</w:t>
      </w:r>
      <w:r>
        <w:rPr>
          <w:rFonts w:cs="Arial"/>
          <w:szCs w:val="24"/>
        </w:rPr>
        <w:tab/>
      </w: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8934B6" w:rsidRDefault="00AE2A72" w:rsidP="00747F39">
      <w:pPr>
        <w:spacing w:after="120"/>
        <w:ind w:left="567" w:hanging="567"/>
        <w:jc w:val="both"/>
        <w:rPr>
          <w:rFonts w:cs="Arial"/>
          <w:szCs w:val="24"/>
        </w:rPr>
      </w:pPr>
      <w:r>
        <w:rPr>
          <w:rFonts w:cs="Arial"/>
          <w:szCs w:val="24"/>
        </w:rPr>
        <w:t>6</w:t>
      </w:r>
      <w:r w:rsidR="008934B6">
        <w:rPr>
          <w:rFonts w:cs="Arial"/>
          <w:szCs w:val="24"/>
        </w:rPr>
        <w:t>7.</w:t>
      </w:r>
      <w:r w:rsidR="008934B6">
        <w:rPr>
          <w:rFonts w:cs="Arial"/>
          <w:szCs w:val="24"/>
        </w:rPr>
        <w:tab/>
      </w:r>
      <w:r w:rsidR="008934B6" w:rsidRPr="00B3067F">
        <w:rPr>
          <w:rFonts w:cs="Arial"/>
          <w:szCs w:val="24"/>
        </w:rPr>
        <w:t>Amity states that r</w:t>
      </w:r>
      <w:r w:rsidR="008934B6" w:rsidRPr="00F1351E">
        <w:rPr>
          <w:rFonts w:cs="Arial"/>
          <w:szCs w:val="24"/>
        </w:rPr>
        <w:t>esearch further indicates that 27% of the adult population in the Northern Territory participate in the use of gaming machines and problem gamblers spend on average $30</w:t>
      </w:r>
      <w:r w:rsidR="008934B6">
        <w:rPr>
          <w:rFonts w:cs="Arial"/>
          <w:szCs w:val="24"/>
        </w:rPr>
        <w:t> </w:t>
      </w:r>
      <w:r w:rsidR="008934B6" w:rsidRPr="00F1351E">
        <w:rPr>
          <w:rFonts w:cs="Arial"/>
          <w:szCs w:val="24"/>
        </w:rPr>
        <w:t>000 per annum.  During 2012-13</w:t>
      </w:r>
      <w:r w:rsidR="008934B6" w:rsidRPr="008F70BE">
        <w:rPr>
          <w:rFonts w:cs="Arial"/>
          <w:szCs w:val="24"/>
        </w:rPr>
        <w:t>, Amity state that the average net loss by players in community venues (pubs &amp; clubs) in the Northern Territory was $141 per machine, per day equating to approximately $50</w:t>
      </w:r>
      <w:r w:rsidR="008934B6">
        <w:rPr>
          <w:rFonts w:cs="Arial"/>
          <w:szCs w:val="24"/>
        </w:rPr>
        <w:t> </w:t>
      </w:r>
      <w:r w:rsidR="008934B6" w:rsidRPr="008F70BE">
        <w:rPr>
          <w:rFonts w:cs="Arial"/>
          <w:szCs w:val="24"/>
        </w:rPr>
        <w:t>000 per machine per year.</w:t>
      </w:r>
    </w:p>
    <w:p w:rsidR="008934B6" w:rsidRDefault="00AE2A72" w:rsidP="00747F39">
      <w:pPr>
        <w:spacing w:after="120"/>
        <w:ind w:left="567" w:hanging="567"/>
        <w:jc w:val="both"/>
        <w:rPr>
          <w:rFonts w:cs="Arial"/>
          <w:bCs/>
          <w:szCs w:val="22"/>
        </w:rPr>
      </w:pPr>
      <w:r>
        <w:rPr>
          <w:rFonts w:cs="Arial"/>
          <w:szCs w:val="24"/>
        </w:rPr>
        <w:t>68</w:t>
      </w:r>
      <w:r w:rsidR="008934B6">
        <w:rPr>
          <w:rFonts w:cs="Arial"/>
          <w:szCs w:val="24"/>
        </w:rPr>
        <w:t>.</w:t>
      </w:r>
      <w:r w:rsidR="008934B6">
        <w:rPr>
          <w:rFonts w:cs="Arial"/>
          <w:szCs w:val="24"/>
        </w:rPr>
        <w:tab/>
      </w:r>
      <w:r w:rsidR="008934B6" w:rsidRPr="008F70BE">
        <w:rPr>
          <w:rFonts w:cs="Arial"/>
          <w:bCs/>
          <w:szCs w:val="22"/>
        </w:rPr>
        <w:t xml:space="preserve">Amity also advise that as their primary focus is on service delivery, they do not have the resources to analyse client data specifically in relation to the </w:t>
      </w:r>
      <w:r w:rsidR="008934B6">
        <w:rPr>
          <w:rFonts w:cs="Arial"/>
          <w:bCs/>
          <w:szCs w:val="22"/>
        </w:rPr>
        <w:t>venue</w:t>
      </w:r>
      <w:r w:rsidR="008934B6" w:rsidRPr="008F70BE">
        <w:rPr>
          <w:rFonts w:cs="Arial"/>
          <w:bCs/>
          <w:szCs w:val="22"/>
        </w:rPr>
        <w:t xml:space="preserve"> and are therefore unable to comment on the number of individuals that have been counselled by Amity in </w:t>
      </w:r>
      <w:r w:rsidR="008934B6" w:rsidRPr="008F70BE">
        <w:rPr>
          <w:rFonts w:cs="Arial"/>
          <w:szCs w:val="24"/>
        </w:rPr>
        <w:t>relation</w:t>
      </w:r>
      <w:r w:rsidR="008934B6" w:rsidRPr="008F70BE">
        <w:rPr>
          <w:rFonts w:cs="Arial"/>
          <w:bCs/>
          <w:szCs w:val="22"/>
        </w:rPr>
        <w:t xml:space="preserve"> to gambling related issues in the last 12 months.</w:t>
      </w:r>
    </w:p>
    <w:p w:rsidR="008934B6" w:rsidRPr="008F70BE" w:rsidRDefault="00AE2A72" w:rsidP="00747F39">
      <w:pPr>
        <w:spacing w:after="120"/>
        <w:ind w:left="567" w:hanging="567"/>
        <w:jc w:val="both"/>
        <w:rPr>
          <w:rFonts w:cs="Arial"/>
          <w:bCs/>
          <w:szCs w:val="22"/>
        </w:rPr>
      </w:pPr>
      <w:r>
        <w:rPr>
          <w:rFonts w:cs="Arial"/>
          <w:bCs/>
          <w:szCs w:val="22"/>
        </w:rPr>
        <w:t>69</w:t>
      </w:r>
      <w:r w:rsidR="008934B6">
        <w:rPr>
          <w:rFonts w:cs="Arial"/>
          <w:bCs/>
          <w:szCs w:val="22"/>
        </w:rPr>
        <w:t>.</w:t>
      </w:r>
      <w:r w:rsidR="008934B6">
        <w:rPr>
          <w:rFonts w:cs="Arial"/>
          <w:bCs/>
          <w:szCs w:val="22"/>
        </w:rPr>
        <w:tab/>
        <w:t xml:space="preserve">Clearly </w:t>
      </w:r>
      <w:r w:rsidR="008934B6" w:rsidRPr="008F70BE">
        <w:rPr>
          <w:rFonts w:cs="Arial"/>
          <w:bCs/>
          <w:szCs w:val="22"/>
        </w:rPr>
        <w:t xml:space="preserve">Amity’s comments are </w:t>
      </w:r>
      <w:r w:rsidR="008934B6">
        <w:rPr>
          <w:rFonts w:cs="Arial"/>
          <w:bCs/>
          <w:szCs w:val="22"/>
        </w:rPr>
        <w:t>g</w:t>
      </w:r>
      <w:r w:rsidR="008934B6" w:rsidRPr="008F70BE">
        <w:rPr>
          <w:rFonts w:cs="Arial"/>
          <w:bCs/>
          <w:szCs w:val="22"/>
        </w:rPr>
        <w:t>eneral</w:t>
      </w:r>
      <w:r w:rsidR="008934B6">
        <w:rPr>
          <w:rFonts w:cs="Arial"/>
          <w:bCs/>
          <w:szCs w:val="22"/>
        </w:rPr>
        <w:t xml:space="preserve"> in</w:t>
      </w:r>
      <w:r w:rsidR="008934B6" w:rsidRPr="008F70BE">
        <w:rPr>
          <w:rFonts w:cs="Arial"/>
          <w:bCs/>
          <w:szCs w:val="22"/>
        </w:rPr>
        <w:t xml:space="preserve"> nature </w:t>
      </w:r>
      <w:r w:rsidR="008934B6">
        <w:rPr>
          <w:rFonts w:cs="Arial"/>
          <w:bCs/>
          <w:szCs w:val="22"/>
        </w:rPr>
        <w:t>with respect</w:t>
      </w:r>
      <w:r w:rsidR="008934B6" w:rsidRPr="008F70BE">
        <w:rPr>
          <w:rFonts w:cs="Arial"/>
          <w:bCs/>
          <w:szCs w:val="22"/>
        </w:rPr>
        <w:t xml:space="preserve"> to their concerns </w:t>
      </w:r>
      <w:r w:rsidR="008934B6">
        <w:rPr>
          <w:rFonts w:cs="Arial"/>
          <w:bCs/>
          <w:szCs w:val="22"/>
        </w:rPr>
        <w:t xml:space="preserve">about </w:t>
      </w:r>
      <w:r w:rsidR="008934B6" w:rsidRPr="008F70BE">
        <w:rPr>
          <w:rFonts w:cs="Arial"/>
          <w:bCs/>
          <w:szCs w:val="22"/>
        </w:rPr>
        <w:t>gambling and its potential negative impacts on a wider community</w:t>
      </w:r>
      <w:r w:rsidR="008934B6">
        <w:rPr>
          <w:rFonts w:cs="Arial"/>
          <w:bCs/>
          <w:szCs w:val="22"/>
        </w:rPr>
        <w:t>.  Further, they have made no specific submissions in relation to this application or the premises.  It may however be accepted</w:t>
      </w:r>
      <w:r w:rsidR="008934B6" w:rsidRPr="008F70BE">
        <w:rPr>
          <w:rFonts w:cs="Arial"/>
          <w:bCs/>
          <w:szCs w:val="22"/>
        </w:rPr>
        <w:t xml:space="preserve">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008934B6" w:rsidRPr="008F70BE">
        <w:rPr>
          <w:rFonts w:cs="Arial"/>
          <w:szCs w:val="24"/>
        </w:rPr>
        <w:t>considered</w:t>
      </w:r>
      <w:r w:rsidR="008934B6" w:rsidRPr="008F70BE">
        <w:rPr>
          <w:rFonts w:cs="Arial"/>
          <w:bCs/>
          <w:szCs w:val="22"/>
        </w:rPr>
        <w:t xml:space="preserve"> by the Applicant as an unjust approach to the assessment of this application. </w:t>
      </w:r>
      <w:r w:rsidR="008934B6">
        <w:rPr>
          <w:rFonts w:cs="Arial"/>
          <w:bCs/>
          <w:szCs w:val="22"/>
        </w:rPr>
        <w:t xml:space="preserve"> </w:t>
      </w:r>
      <w:r w:rsidR="008934B6" w:rsidRPr="008F70BE">
        <w:rPr>
          <w:rFonts w:cs="Arial"/>
          <w:bCs/>
          <w:szCs w:val="22"/>
        </w:rPr>
        <w:t xml:space="preserve">As such, I note the generalised concerns </w:t>
      </w:r>
      <w:proofErr w:type="gramStart"/>
      <w:r w:rsidR="008934B6" w:rsidRPr="008F70BE">
        <w:rPr>
          <w:rFonts w:cs="Arial"/>
          <w:bCs/>
          <w:szCs w:val="22"/>
        </w:rPr>
        <w:t>raised</w:t>
      </w:r>
      <w:proofErr w:type="gramEnd"/>
      <w:r w:rsidR="008934B6" w:rsidRPr="008F70BE">
        <w:rPr>
          <w:rFonts w:cs="Arial"/>
          <w:bCs/>
          <w:szCs w:val="22"/>
        </w:rPr>
        <w:t xml:space="preserve"> by Amity however I am not of the view that these comments alone can be afforded sufficient weight to persuade me to reject the application before me.</w:t>
      </w:r>
    </w:p>
    <w:p w:rsidR="008934B6" w:rsidRPr="00587446" w:rsidRDefault="008934B6" w:rsidP="00747F39">
      <w:pPr>
        <w:pStyle w:val="Heading3"/>
      </w:pPr>
      <w:r w:rsidRPr="00587446">
        <w:lastRenderedPageBreak/>
        <w:t>Gross monthly profit of existing gaming machines operated on the premises</w:t>
      </w:r>
    </w:p>
    <w:p w:rsidR="008934B6" w:rsidRDefault="008934B6" w:rsidP="008934B6">
      <w:pPr>
        <w:keepLines/>
        <w:spacing w:after="240"/>
        <w:ind w:left="567" w:hanging="567"/>
        <w:jc w:val="both"/>
        <w:rPr>
          <w:rFonts w:cs="Arial"/>
          <w:szCs w:val="24"/>
        </w:rPr>
      </w:pPr>
      <w:r>
        <w:rPr>
          <w:rFonts w:cs="Arial"/>
          <w:bCs/>
          <w:szCs w:val="22"/>
        </w:rPr>
        <w:t>7</w:t>
      </w:r>
      <w:r w:rsidR="00AE2A72">
        <w:rPr>
          <w:rFonts w:cs="Arial"/>
          <w:bCs/>
          <w:szCs w:val="22"/>
        </w:rPr>
        <w:t>0</w:t>
      </w:r>
      <w:r>
        <w:rPr>
          <w:rFonts w:cs="Arial"/>
          <w:bCs/>
          <w:szCs w:val="22"/>
        </w:rPr>
        <w:t>.</w:t>
      </w:r>
      <w:r>
        <w:rPr>
          <w:rFonts w:cs="Arial"/>
          <w:bCs/>
          <w:szCs w:val="22"/>
        </w:rPr>
        <w:tab/>
      </w:r>
      <w:r w:rsidRPr="00673D10">
        <w:rPr>
          <w:rFonts w:cs="Arial"/>
          <w:bCs/>
          <w:szCs w:val="22"/>
        </w:rPr>
        <w:t xml:space="preserve">Statistical information held by Licensing NT indicates that for </w:t>
      </w:r>
      <w:r w:rsidRPr="00673D10">
        <w:rPr>
          <w:rFonts w:cs="Arial"/>
          <w:szCs w:val="24"/>
        </w:rPr>
        <w:t xml:space="preserve">the majority of venues with gaming machines in the Northern Territory for the 2014/15 financial year, the </w:t>
      </w:r>
      <w:r w:rsidRPr="00673D10">
        <w:rPr>
          <w:rFonts w:cs="Arial"/>
          <w:bCs/>
          <w:szCs w:val="22"/>
        </w:rPr>
        <w:t>average gross monthly profit is $5,950 per machine</w:t>
      </w:r>
      <w:proofErr w:type="gramStart"/>
      <w:r w:rsidRPr="00673D10">
        <w:rPr>
          <w:rFonts w:cs="Arial"/>
          <w:bCs/>
          <w:szCs w:val="22"/>
        </w:rPr>
        <w:t xml:space="preserve">.  </w:t>
      </w:r>
      <w:proofErr w:type="gramEnd"/>
      <w:r w:rsidRPr="00673D10">
        <w:rPr>
          <w:rFonts w:cs="Arial"/>
          <w:szCs w:val="24"/>
        </w:rPr>
        <w:t xml:space="preserve">The Katherine </w:t>
      </w:r>
      <w:r>
        <w:rPr>
          <w:rFonts w:cs="Arial"/>
          <w:szCs w:val="24"/>
        </w:rPr>
        <w:t>Country Club</w:t>
      </w:r>
      <w:r w:rsidRPr="00673D10">
        <w:rPr>
          <w:rFonts w:cs="Arial"/>
          <w:bCs/>
          <w:szCs w:val="22"/>
        </w:rPr>
        <w:t xml:space="preserve"> records that </w:t>
      </w:r>
      <w:r w:rsidRPr="00673D10">
        <w:rPr>
          <w:rFonts w:cs="Arial"/>
          <w:szCs w:val="24"/>
        </w:rPr>
        <w:t>the average gross monthly profit per machine is $</w:t>
      </w:r>
      <w:r>
        <w:rPr>
          <w:rFonts w:cs="Arial"/>
          <w:szCs w:val="24"/>
        </w:rPr>
        <w:t>7,050</w:t>
      </w:r>
      <w:r w:rsidRPr="00673D10">
        <w:rPr>
          <w:rFonts w:cs="Arial"/>
          <w:szCs w:val="24"/>
        </w:rPr>
        <w:t>, which is slightly under the Northern Territory average of $</w:t>
      </w:r>
      <w:r>
        <w:rPr>
          <w:rFonts w:cs="Arial"/>
          <w:szCs w:val="24"/>
        </w:rPr>
        <w:t>6</w:t>
      </w:r>
      <w:r w:rsidRPr="00673D10">
        <w:rPr>
          <w:rFonts w:cs="Arial"/>
          <w:szCs w:val="24"/>
        </w:rPr>
        <w:t>,</w:t>
      </w:r>
      <w:r>
        <w:rPr>
          <w:rFonts w:cs="Arial"/>
          <w:szCs w:val="24"/>
        </w:rPr>
        <w:t>467</w:t>
      </w:r>
      <w:r w:rsidRPr="00673D10">
        <w:rPr>
          <w:rFonts w:cs="Arial"/>
          <w:szCs w:val="24"/>
        </w:rPr>
        <w:t xml:space="preserve"> per machine.</w:t>
      </w:r>
    </w:p>
    <w:p w:rsidR="008934B6" w:rsidRDefault="008934B6" w:rsidP="008934B6">
      <w:pPr>
        <w:keepLines/>
        <w:spacing w:after="240"/>
        <w:ind w:left="567" w:hanging="567"/>
        <w:jc w:val="both"/>
        <w:rPr>
          <w:rFonts w:cs="Arial"/>
          <w:szCs w:val="24"/>
        </w:rPr>
      </w:pPr>
      <w:r>
        <w:rPr>
          <w:rFonts w:cs="Arial"/>
          <w:szCs w:val="24"/>
        </w:rPr>
        <w:t>7</w:t>
      </w:r>
      <w:r w:rsidR="00AE2A72">
        <w:rPr>
          <w:rFonts w:cs="Arial"/>
          <w:szCs w:val="24"/>
        </w:rPr>
        <w:t>1</w:t>
      </w:r>
      <w:r>
        <w:rPr>
          <w:rFonts w:cs="Arial"/>
          <w:szCs w:val="24"/>
        </w:rPr>
        <w:t>.</w:t>
      </w:r>
      <w:r>
        <w:rPr>
          <w:rFonts w:cs="Arial"/>
          <w:szCs w:val="24"/>
        </w:rPr>
        <w:tab/>
      </w:r>
      <w:r w:rsidRPr="004B1D98">
        <w:rPr>
          <w:rFonts w:cs="Arial"/>
          <w:szCs w:val="24"/>
        </w:rPr>
        <w:t>I</w:t>
      </w:r>
      <w:r>
        <w:rPr>
          <w:rFonts w:cs="Arial"/>
          <w:szCs w:val="24"/>
        </w:rPr>
        <w:t xml:space="preserve">n the event </w:t>
      </w:r>
      <w:r w:rsidRPr="004B1D98">
        <w:rPr>
          <w:rFonts w:cs="Arial"/>
          <w:szCs w:val="24"/>
        </w:rPr>
        <w:t xml:space="preserve">this application is approved, the outer projections for 2016, the year in which the </w:t>
      </w:r>
      <w:r>
        <w:rPr>
          <w:rFonts w:cs="Arial"/>
          <w:szCs w:val="24"/>
        </w:rPr>
        <w:t xml:space="preserve">10 </w:t>
      </w:r>
      <w:r w:rsidRPr="004B1D98">
        <w:rPr>
          <w:rFonts w:cs="Arial"/>
          <w:szCs w:val="24"/>
        </w:rPr>
        <w:t>additional gaming machines would be installed</w:t>
      </w:r>
      <w:r>
        <w:rPr>
          <w:rFonts w:cs="Arial"/>
          <w:szCs w:val="24"/>
        </w:rPr>
        <w:t>, is the cost to the Applicant of the additional machines will be approximately $250,000.</w:t>
      </w:r>
    </w:p>
    <w:p w:rsidR="008934B6" w:rsidRPr="00B3067F" w:rsidRDefault="008934B6" w:rsidP="008934B6">
      <w:pPr>
        <w:keepLines/>
        <w:spacing w:after="240"/>
        <w:ind w:left="567" w:hanging="567"/>
        <w:jc w:val="both"/>
        <w:rPr>
          <w:rFonts w:cs="Arial"/>
          <w:szCs w:val="24"/>
        </w:rPr>
      </w:pPr>
      <w:r>
        <w:rPr>
          <w:rFonts w:cs="Arial"/>
          <w:szCs w:val="24"/>
        </w:rPr>
        <w:t>7</w:t>
      </w:r>
      <w:r w:rsidR="00AE2A72">
        <w:rPr>
          <w:rFonts w:cs="Arial"/>
          <w:szCs w:val="24"/>
        </w:rPr>
        <w:t>2</w:t>
      </w:r>
      <w:r>
        <w:rPr>
          <w:rFonts w:cs="Arial"/>
          <w:szCs w:val="24"/>
        </w:rPr>
        <w:t>.</w:t>
      </w:r>
      <w:r>
        <w:rPr>
          <w:rFonts w:cs="Arial"/>
          <w:szCs w:val="24"/>
        </w:rPr>
        <w:tab/>
        <w:t>The financial analysis provided with the CIA indicates the Applicant is in a strong financial position and is capable of financing the purchase of additional machines.</w:t>
      </w:r>
    </w:p>
    <w:p w:rsidR="008934B6" w:rsidRDefault="008934B6" w:rsidP="00747F39">
      <w:pPr>
        <w:pStyle w:val="Heading3"/>
      </w:pPr>
      <w:r w:rsidRPr="00587446">
        <w:t>Hours and days when the premises are open for the sale of liquor</w:t>
      </w:r>
    </w:p>
    <w:p w:rsidR="008934B6" w:rsidRDefault="008934B6" w:rsidP="00B31885">
      <w:pPr>
        <w:ind w:left="720" w:hanging="720"/>
      </w:pPr>
      <w:r>
        <w:t>7</w:t>
      </w:r>
      <w:r w:rsidR="00AE2A72">
        <w:t>3</w:t>
      </w:r>
      <w:r w:rsidRPr="00D5534C">
        <w:t>.</w:t>
      </w:r>
      <w:r>
        <w:tab/>
      </w:r>
      <w:r w:rsidRPr="00D5534C">
        <w:t>The trading hours for the premises are</w:t>
      </w:r>
      <w:r>
        <w:t xml:space="preserve">, Monday to Thursday, 10:00 to 23:59hrs, Friday to Sunday and public </w:t>
      </w:r>
      <w:proofErr w:type="gramStart"/>
      <w:r w:rsidR="0037611B">
        <w:t>holidays</w:t>
      </w:r>
      <w:proofErr w:type="gramEnd"/>
      <w:r>
        <w:t xml:space="preserve"> 10:00 to 02:00 hrs the following day.</w:t>
      </w:r>
    </w:p>
    <w:p w:rsidR="008934B6" w:rsidRPr="00587446" w:rsidRDefault="008934B6" w:rsidP="00747F39">
      <w:pPr>
        <w:pStyle w:val="Heading3"/>
      </w:pPr>
      <w:r w:rsidRPr="00587446">
        <w:t>Size, layout and facilities of the premises</w:t>
      </w:r>
    </w:p>
    <w:p w:rsidR="008934B6" w:rsidRDefault="008934B6" w:rsidP="008934B6">
      <w:pPr>
        <w:keepLines/>
        <w:spacing w:after="240"/>
        <w:ind w:left="567" w:hanging="567"/>
        <w:jc w:val="both"/>
        <w:rPr>
          <w:rFonts w:cs="Arial"/>
          <w:bCs/>
          <w:szCs w:val="22"/>
        </w:rPr>
      </w:pPr>
      <w:r>
        <w:rPr>
          <w:rFonts w:cs="Arial"/>
          <w:bCs/>
          <w:szCs w:val="22"/>
        </w:rPr>
        <w:t>7</w:t>
      </w:r>
      <w:r w:rsidR="00AE2A72">
        <w:rPr>
          <w:rFonts w:cs="Arial"/>
          <w:bCs/>
          <w:szCs w:val="22"/>
        </w:rPr>
        <w:t>4</w:t>
      </w:r>
      <w:r>
        <w:rPr>
          <w:rFonts w:cs="Arial"/>
          <w:bCs/>
          <w:szCs w:val="22"/>
        </w:rPr>
        <w:t>.</w:t>
      </w:r>
      <w:r>
        <w:rPr>
          <w:rFonts w:cs="Arial"/>
          <w:bCs/>
          <w:szCs w:val="22"/>
        </w:rPr>
        <w:tab/>
        <w:t xml:space="preserve">The premises </w:t>
      </w:r>
      <w:proofErr w:type="gramStart"/>
      <w:r>
        <w:rPr>
          <w:rFonts w:cs="Arial"/>
          <w:bCs/>
          <w:szCs w:val="22"/>
        </w:rPr>
        <w:t>advise</w:t>
      </w:r>
      <w:proofErr w:type="gramEnd"/>
      <w:r>
        <w:rPr>
          <w:rFonts w:cs="Arial"/>
          <w:bCs/>
          <w:szCs w:val="22"/>
        </w:rPr>
        <w:t xml:space="preserve"> there will be no additional expansion of the premises and that the facilities will stay as they are currently.</w:t>
      </w:r>
    </w:p>
    <w:p w:rsidR="008934B6" w:rsidRPr="00B3067F" w:rsidRDefault="008934B6" w:rsidP="008934B6">
      <w:pPr>
        <w:keepLines/>
        <w:spacing w:after="240"/>
        <w:ind w:left="567" w:hanging="567"/>
        <w:jc w:val="both"/>
        <w:rPr>
          <w:rFonts w:cs="Arial"/>
          <w:bCs/>
          <w:szCs w:val="22"/>
        </w:rPr>
      </w:pPr>
      <w:r>
        <w:rPr>
          <w:rFonts w:cs="Arial"/>
          <w:bCs/>
          <w:szCs w:val="22"/>
        </w:rPr>
        <w:t>7</w:t>
      </w:r>
      <w:r w:rsidR="00AE2A72">
        <w:rPr>
          <w:rFonts w:cs="Arial"/>
          <w:bCs/>
          <w:szCs w:val="22"/>
        </w:rPr>
        <w:t>5</w:t>
      </w:r>
      <w:r>
        <w:rPr>
          <w:rFonts w:cs="Arial"/>
          <w:bCs/>
          <w:szCs w:val="22"/>
        </w:rPr>
        <w:t>.</w:t>
      </w:r>
      <w:r>
        <w:rPr>
          <w:rFonts w:cs="Arial"/>
          <w:bCs/>
          <w:szCs w:val="22"/>
        </w:rPr>
        <w:tab/>
        <w:t>The Applicant advises that gaming area will continue to remain a discrete area within the venue and the focus of the venue will not change, that being sporting and dining facilities to members and visitors.</w:t>
      </w:r>
    </w:p>
    <w:p w:rsidR="008934B6" w:rsidRPr="00587446" w:rsidRDefault="008934B6" w:rsidP="00747F39">
      <w:pPr>
        <w:pStyle w:val="Heading3"/>
      </w:pPr>
      <w:r w:rsidRPr="00587446">
        <w:t>Other matters the Director-General considers relevant</w:t>
      </w:r>
    </w:p>
    <w:p w:rsidR="008934B6" w:rsidRDefault="008934B6" w:rsidP="008934B6">
      <w:pPr>
        <w:spacing w:after="240"/>
        <w:ind w:left="567" w:hanging="567"/>
        <w:jc w:val="both"/>
        <w:rPr>
          <w:rFonts w:cs="Arial"/>
          <w:bCs/>
          <w:szCs w:val="22"/>
        </w:rPr>
      </w:pPr>
      <w:r>
        <w:rPr>
          <w:rFonts w:cs="Arial"/>
          <w:bCs/>
          <w:szCs w:val="22"/>
        </w:rPr>
        <w:t>7</w:t>
      </w:r>
      <w:r w:rsidR="00AE2A72">
        <w:rPr>
          <w:rFonts w:cs="Arial"/>
          <w:bCs/>
          <w:szCs w:val="22"/>
        </w:rPr>
        <w:t>6</w:t>
      </w:r>
      <w:r>
        <w:rPr>
          <w:rFonts w:cs="Arial"/>
          <w:bCs/>
          <w:szCs w:val="22"/>
        </w:rPr>
        <w:t>.</w:t>
      </w:r>
      <w:r>
        <w:rPr>
          <w:rFonts w:cs="Arial"/>
          <w:bCs/>
          <w:szCs w:val="22"/>
        </w:rPr>
        <w:tab/>
      </w:r>
      <w:r w:rsidRPr="00F03788">
        <w:rPr>
          <w:rFonts w:cs="Arial"/>
          <w:bCs/>
          <w:szCs w:val="22"/>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for </w:t>
      </w:r>
      <w:r w:rsidR="0037611B">
        <w:rPr>
          <w:rFonts w:cs="Arial"/>
          <w:bCs/>
          <w:szCs w:val="22"/>
        </w:rPr>
        <w:t>clubs</w:t>
      </w:r>
      <w:r w:rsidRPr="00F03788">
        <w:rPr>
          <w:rFonts w:cs="Arial"/>
          <w:bCs/>
          <w:szCs w:val="22"/>
        </w:rPr>
        <w:t xml:space="preserve"> with existing </w:t>
      </w:r>
      <w:r w:rsidRPr="00F03788">
        <w:rPr>
          <w:rFonts w:cs="Arial"/>
          <w:szCs w:val="24"/>
        </w:rPr>
        <w:t>gaming</w:t>
      </w:r>
      <w:r w:rsidRPr="00F03788">
        <w:rPr>
          <w:rFonts w:cs="Arial"/>
          <w:bCs/>
          <w:szCs w:val="22"/>
        </w:rPr>
        <w:t xml:space="preserve"> machines from </w:t>
      </w:r>
      <w:r w:rsidR="001F5FA9">
        <w:rPr>
          <w:rFonts w:cs="Arial"/>
          <w:bCs/>
          <w:szCs w:val="22"/>
        </w:rPr>
        <w:t>45</w:t>
      </w:r>
      <w:r w:rsidRPr="00F03788">
        <w:rPr>
          <w:rFonts w:cs="Arial"/>
          <w:bCs/>
          <w:szCs w:val="22"/>
        </w:rPr>
        <w:t xml:space="preserve"> to a maximum of </w:t>
      </w:r>
      <w:r w:rsidR="001F5FA9">
        <w:rPr>
          <w:rFonts w:cs="Arial"/>
          <w:bCs/>
          <w:szCs w:val="22"/>
        </w:rPr>
        <w:t>55</w:t>
      </w:r>
      <w:r w:rsidRPr="00F03788">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8934B6" w:rsidRDefault="00AE2A72" w:rsidP="008934B6">
      <w:pPr>
        <w:spacing w:after="240"/>
        <w:ind w:left="567" w:hanging="567"/>
        <w:jc w:val="both"/>
        <w:rPr>
          <w:rFonts w:cs="Arial"/>
          <w:bCs/>
          <w:szCs w:val="22"/>
        </w:rPr>
      </w:pPr>
      <w:r>
        <w:rPr>
          <w:rFonts w:cs="Arial"/>
          <w:bCs/>
          <w:szCs w:val="22"/>
        </w:rPr>
        <w:t>77</w:t>
      </w:r>
      <w:r w:rsidR="008934B6">
        <w:rPr>
          <w:rFonts w:cs="Arial"/>
          <w:bCs/>
          <w:szCs w:val="22"/>
        </w:rPr>
        <w:t>.</w:t>
      </w:r>
      <w:r w:rsidR="008934B6">
        <w:rPr>
          <w:rFonts w:cs="Arial"/>
          <w:bCs/>
          <w:szCs w:val="22"/>
        </w:rPr>
        <w:tab/>
      </w:r>
      <w:r w:rsidR="008934B6"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008934B6" w:rsidRPr="00B3067F">
        <w:rPr>
          <w:rFonts w:cs="Arial"/>
          <w:szCs w:val="24"/>
        </w:rPr>
        <w:t>requirements</w:t>
      </w:r>
      <w:r w:rsidR="008934B6" w:rsidRPr="00B3067F">
        <w:rPr>
          <w:rFonts w:cs="Arial"/>
          <w:bCs/>
          <w:szCs w:val="22"/>
        </w:rPr>
        <w:t xml:space="preserve"> of the Act in relation to an increase in the authorised number of gaming machines.</w:t>
      </w:r>
    </w:p>
    <w:p w:rsidR="008934B6" w:rsidRDefault="00AE2A72" w:rsidP="008934B6">
      <w:pPr>
        <w:spacing w:after="240"/>
        <w:ind w:left="567" w:hanging="567"/>
        <w:jc w:val="both"/>
        <w:rPr>
          <w:rFonts w:cs="Arial"/>
          <w:bCs/>
          <w:szCs w:val="22"/>
        </w:rPr>
      </w:pPr>
      <w:r>
        <w:rPr>
          <w:rFonts w:cs="Arial"/>
          <w:bCs/>
          <w:szCs w:val="22"/>
        </w:rPr>
        <w:t>7</w:t>
      </w:r>
      <w:r w:rsidR="008934B6">
        <w:rPr>
          <w:rFonts w:cs="Arial"/>
          <w:bCs/>
          <w:szCs w:val="22"/>
        </w:rPr>
        <w:t>8.</w:t>
      </w:r>
      <w:r w:rsidR="008934B6">
        <w:rPr>
          <w:rFonts w:cs="Arial"/>
          <w:bCs/>
          <w:szCs w:val="22"/>
        </w:rPr>
        <w:tab/>
        <w:t>The comprehensive CIA prepared for the purpose of this application has been analysed in considerable detail and no issues arise which would preclude the approval of this application.</w:t>
      </w:r>
    </w:p>
    <w:p w:rsidR="008934B6" w:rsidRDefault="00AE2A72" w:rsidP="008934B6">
      <w:pPr>
        <w:spacing w:after="240"/>
        <w:ind w:left="567" w:hanging="567"/>
        <w:jc w:val="both"/>
        <w:rPr>
          <w:rFonts w:cs="Arial"/>
          <w:bCs/>
          <w:szCs w:val="22"/>
        </w:rPr>
      </w:pPr>
      <w:r>
        <w:rPr>
          <w:rFonts w:cs="Arial"/>
          <w:bCs/>
          <w:szCs w:val="22"/>
        </w:rPr>
        <w:t>79</w:t>
      </w:r>
      <w:r w:rsidR="008934B6">
        <w:rPr>
          <w:rFonts w:cs="Arial"/>
          <w:bCs/>
          <w:szCs w:val="22"/>
        </w:rPr>
        <w:t>.</w:t>
      </w:r>
      <w:r w:rsidR="008934B6">
        <w:rPr>
          <w:rFonts w:cs="Arial"/>
          <w:bCs/>
          <w:szCs w:val="22"/>
        </w:rPr>
        <w:tab/>
      </w:r>
      <w:r w:rsidR="008934B6" w:rsidRPr="00F03788">
        <w:rPr>
          <w:rFonts w:cs="Arial"/>
          <w:bCs/>
          <w:szCs w:val="22"/>
        </w:rPr>
        <w:t>The harms associated with gaming machines and problem gambling are well documented and well known within the general community</w:t>
      </w:r>
      <w:proofErr w:type="gramStart"/>
      <w:r w:rsidR="008934B6" w:rsidRPr="00F03788">
        <w:rPr>
          <w:rFonts w:cs="Arial"/>
          <w:bCs/>
          <w:szCs w:val="22"/>
        </w:rPr>
        <w:t xml:space="preserve">.  </w:t>
      </w:r>
      <w:proofErr w:type="gramEnd"/>
      <w:r w:rsidR="008934B6" w:rsidRPr="00F03788">
        <w:rPr>
          <w:rFonts w:cs="Arial"/>
          <w:bCs/>
          <w:szCs w:val="22"/>
        </w:rPr>
        <w:t xml:space="preserve">I am satisfied that the Applicant in this instance has in place policies and procedures that will have the effect of minimising the harms </w:t>
      </w:r>
      <w:r w:rsidR="008934B6" w:rsidRPr="00F03788">
        <w:rPr>
          <w:rFonts w:cs="Arial"/>
          <w:szCs w:val="24"/>
        </w:rPr>
        <w:t>associated</w:t>
      </w:r>
      <w:r w:rsidR="008934B6" w:rsidRPr="00F03788">
        <w:rPr>
          <w:rFonts w:cs="Arial"/>
          <w:bCs/>
          <w:szCs w:val="22"/>
        </w:rPr>
        <w:t xml:space="preserve"> with gambling generally and the use of gaming machines specifically at the venue under consideration.</w:t>
      </w:r>
    </w:p>
    <w:p w:rsidR="008934B6" w:rsidRDefault="008934B6" w:rsidP="008934B6">
      <w:pPr>
        <w:spacing w:after="240"/>
        <w:ind w:left="567" w:hanging="567"/>
        <w:jc w:val="both"/>
        <w:rPr>
          <w:rFonts w:cs="Arial"/>
          <w:bCs/>
          <w:szCs w:val="22"/>
        </w:rPr>
      </w:pPr>
      <w:r>
        <w:rPr>
          <w:rFonts w:cs="Arial"/>
          <w:bCs/>
          <w:szCs w:val="22"/>
        </w:rPr>
        <w:t>8</w:t>
      </w:r>
      <w:r w:rsidR="00AE2A72">
        <w:rPr>
          <w:rFonts w:cs="Arial"/>
          <w:bCs/>
          <w:szCs w:val="22"/>
        </w:rPr>
        <w:t>0</w:t>
      </w:r>
      <w:r>
        <w:rPr>
          <w:rFonts w:cs="Arial"/>
          <w:bCs/>
          <w:szCs w:val="22"/>
        </w:rPr>
        <w:t>.</w:t>
      </w:r>
      <w:r>
        <w:rPr>
          <w:rFonts w:cs="Arial"/>
          <w:bCs/>
          <w:szCs w:val="22"/>
        </w:rPr>
        <w:tab/>
      </w:r>
      <w:r w:rsidRPr="00F03788">
        <w:rPr>
          <w:rFonts w:cs="Arial"/>
          <w:bCs/>
          <w:szCs w:val="22"/>
        </w:rPr>
        <w:t>Whilst noting no specific objections w</w:t>
      </w:r>
      <w:r>
        <w:rPr>
          <w:rFonts w:cs="Arial"/>
          <w:bCs/>
          <w:szCs w:val="22"/>
        </w:rPr>
        <w:t>ere</w:t>
      </w:r>
      <w:r w:rsidRPr="00F03788">
        <w:rPr>
          <w:rFonts w:cs="Arial"/>
          <w:bCs/>
          <w:szCs w:val="22"/>
        </w:rPr>
        <w:t xml:space="preserve"> lodged Amity has submitted previously a well-researched and evidence based position paper.  Amity clearly does not support any applications, suggesting the Northern Territory is not underserved with gaming machines at </w:t>
      </w:r>
      <w:r w:rsidRPr="00F03788">
        <w:rPr>
          <w:rFonts w:cs="Arial"/>
          <w:szCs w:val="24"/>
        </w:rPr>
        <w:t>present</w:t>
      </w:r>
      <w:r w:rsidRPr="00F03788">
        <w:rPr>
          <w:rFonts w:cs="Arial"/>
          <w:bCs/>
          <w:szCs w:val="22"/>
        </w:rPr>
        <w:t xml:space="preserve"> and an increase in the number of gaming machines is a reflection of increasing </w:t>
      </w:r>
      <w:r w:rsidRPr="00F03788">
        <w:rPr>
          <w:rFonts w:cs="Arial"/>
          <w:bCs/>
          <w:szCs w:val="22"/>
        </w:rPr>
        <w:lastRenderedPageBreak/>
        <w:t>gaming revenue which will, in Amity’s submission, have an overall negative health, social and economic impact on the community and the Northern Territory as a whole.</w:t>
      </w:r>
    </w:p>
    <w:p w:rsidR="008934B6" w:rsidRDefault="008934B6" w:rsidP="008934B6">
      <w:pPr>
        <w:spacing w:after="240"/>
        <w:ind w:left="567" w:hanging="567"/>
        <w:jc w:val="both"/>
        <w:rPr>
          <w:rFonts w:cs="Arial"/>
          <w:bCs/>
          <w:szCs w:val="22"/>
        </w:rPr>
      </w:pPr>
      <w:r>
        <w:rPr>
          <w:rFonts w:cs="Arial"/>
          <w:bCs/>
          <w:szCs w:val="22"/>
        </w:rPr>
        <w:t>8</w:t>
      </w:r>
      <w:r w:rsidR="00AE2A72">
        <w:rPr>
          <w:rFonts w:cs="Arial"/>
          <w:bCs/>
          <w:szCs w:val="22"/>
        </w:rPr>
        <w:t>1</w:t>
      </w:r>
      <w:r>
        <w:rPr>
          <w:rFonts w:cs="Arial"/>
          <w:bCs/>
          <w:szCs w:val="22"/>
        </w:rPr>
        <w:t>.</w:t>
      </w:r>
      <w:r>
        <w:rPr>
          <w:rFonts w:cs="Arial"/>
          <w:bCs/>
          <w:szCs w:val="22"/>
        </w:rPr>
        <w:tab/>
        <w:t>The Applicant has evidenced their previous adherence to gaming laws and regulation, suggesting an adherence to the requirements.</w:t>
      </w:r>
    </w:p>
    <w:p w:rsidR="008934B6" w:rsidRDefault="008934B6" w:rsidP="008934B6">
      <w:pPr>
        <w:spacing w:after="240"/>
        <w:ind w:left="567" w:hanging="567"/>
        <w:jc w:val="both"/>
        <w:rPr>
          <w:rFonts w:cs="Arial"/>
          <w:bCs/>
          <w:szCs w:val="22"/>
        </w:rPr>
      </w:pPr>
      <w:r>
        <w:rPr>
          <w:rFonts w:cs="Arial"/>
          <w:bCs/>
          <w:szCs w:val="22"/>
        </w:rPr>
        <w:t>8</w:t>
      </w:r>
      <w:r w:rsidR="00AE2A72">
        <w:rPr>
          <w:rFonts w:cs="Arial"/>
          <w:bCs/>
          <w:szCs w:val="22"/>
        </w:rPr>
        <w:t>2</w:t>
      </w:r>
      <w:r>
        <w:rPr>
          <w:rFonts w:cs="Arial"/>
          <w:bCs/>
          <w:szCs w:val="22"/>
        </w:rPr>
        <w:t>.</w:t>
      </w:r>
      <w:r>
        <w:rPr>
          <w:rFonts w:cs="Arial"/>
          <w:bCs/>
          <w:szCs w:val="22"/>
        </w:rPr>
        <w:tab/>
        <w:t>There has been no adverse comments or reports received from Licensing NT departmental personnel in relation to the operation of these premises.</w:t>
      </w:r>
    </w:p>
    <w:p w:rsidR="001E1216" w:rsidRDefault="00DD7F4C" w:rsidP="00747F39">
      <w:pPr>
        <w:pStyle w:val="Heading2"/>
      </w:pPr>
      <w:r w:rsidRPr="00587446">
        <w:t>Decision</w:t>
      </w:r>
    </w:p>
    <w:p w:rsidR="001E1216" w:rsidRDefault="001E1216" w:rsidP="00B31885">
      <w:pPr>
        <w:ind w:left="720" w:hanging="720"/>
        <w:rPr>
          <w:b/>
        </w:rPr>
      </w:pPr>
      <w:r w:rsidRPr="001E1216">
        <w:t>8</w:t>
      </w:r>
      <w:r w:rsidR="00AE2A72">
        <w:t>3</w:t>
      </w:r>
      <w:r w:rsidRPr="001E1216">
        <w:t>.</w:t>
      </w:r>
      <w:r w:rsidRPr="001E1216">
        <w:tab/>
      </w:r>
      <w:r w:rsidR="00DD7F4C" w:rsidRPr="001E1216">
        <w:t xml:space="preserve">For the reasons set out above, and in accordance with section 41(3) of the Act I have determined to grant the application lodged by </w:t>
      </w:r>
      <w:r w:rsidR="002E37F1">
        <w:t>Katherine Country Club Inc</w:t>
      </w:r>
      <w:r w:rsidR="00DD7F4C" w:rsidRPr="001E1216">
        <w:t xml:space="preserve"> and authorise the increase of the number of </w:t>
      </w:r>
      <w:r w:rsidR="00AA16B6" w:rsidRPr="001E1216">
        <w:t xml:space="preserve">gaming machines </w:t>
      </w:r>
      <w:r w:rsidR="00DD7F4C" w:rsidRPr="001E1216">
        <w:t>located at</w:t>
      </w:r>
      <w:r w:rsidR="002E37F1">
        <w:t xml:space="preserve"> the Katherine Country Club </w:t>
      </w:r>
      <w:r w:rsidR="00DD7F4C" w:rsidRPr="001E1216">
        <w:t xml:space="preserve">from the current limit of </w:t>
      </w:r>
      <w:r w:rsidR="002E37F1">
        <w:t>35</w:t>
      </w:r>
      <w:r w:rsidR="00DD7F4C" w:rsidRPr="001E1216">
        <w:t xml:space="preserve"> </w:t>
      </w:r>
      <w:r w:rsidR="00AA16B6" w:rsidRPr="001E1216">
        <w:t xml:space="preserve">gaming machines </w:t>
      </w:r>
      <w:r w:rsidR="00DD7F4C" w:rsidRPr="001E1216">
        <w:t xml:space="preserve">to </w:t>
      </w:r>
      <w:r w:rsidR="002E37F1">
        <w:t xml:space="preserve">45 </w:t>
      </w:r>
      <w:r w:rsidR="00AA16B6" w:rsidRPr="001E1216">
        <w:t>machines</w:t>
      </w:r>
      <w:proofErr w:type="gramStart"/>
      <w:r w:rsidR="00DD7F4C" w:rsidRPr="001E1216">
        <w:t>.</w:t>
      </w:r>
      <w:r w:rsidR="002E37F1">
        <w:t xml:space="preserve">  </w:t>
      </w:r>
      <w:proofErr w:type="gramEnd"/>
      <w:r w:rsidR="002E37F1">
        <w:t xml:space="preserve">This will not take the Applicant over the statutory limit of 55 machines for a club liquor </w:t>
      </w:r>
      <w:proofErr w:type="spellStart"/>
      <w:r w:rsidR="002E37F1">
        <w:t>licensee</w:t>
      </w:r>
      <w:proofErr w:type="spellEnd"/>
      <w:r w:rsidR="002E37F1">
        <w:t>.</w:t>
      </w:r>
    </w:p>
    <w:p w:rsidR="003C234E" w:rsidRDefault="001E1216" w:rsidP="00B31885">
      <w:pPr>
        <w:ind w:left="720" w:hanging="720"/>
      </w:pPr>
      <w:r>
        <w:rPr>
          <w:rFonts w:cs="Arial"/>
        </w:rPr>
        <w:t>8</w:t>
      </w:r>
      <w:r w:rsidR="00AE2A72">
        <w:rPr>
          <w:rFonts w:cs="Arial"/>
        </w:rPr>
        <w:t>4</w:t>
      </w:r>
      <w:r>
        <w:rPr>
          <w:rFonts w:cs="Arial"/>
        </w:rPr>
        <w:t>.</w:t>
      </w:r>
      <w:r>
        <w:rPr>
          <w:rFonts w:cs="Arial"/>
        </w:rPr>
        <w:tab/>
      </w:r>
      <w:r w:rsidR="003C234E" w:rsidRPr="001E1216">
        <w:t xml:space="preserve">The </w:t>
      </w:r>
      <w:r w:rsidR="003C234E" w:rsidRPr="001E1216">
        <w:rPr>
          <w:rFonts w:cs="Arial"/>
        </w:rPr>
        <w:t>additional</w:t>
      </w:r>
      <w:r w:rsidR="003C234E" w:rsidRPr="001E1216">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3C234E">
        <w:t>.</w:t>
      </w:r>
    </w:p>
    <w:p w:rsidR="001E1216" w:rsidRDefault="00DD7F4C" w:rsidP="00747F39">
      <w:pPr>
        <w:pStyle w:val="Heading2"/>
      </w:pPr>
      <w:r w:rsidRPr="00F1351E">
        <w:t>Review of Decision</w:t>
      </w:r>
    </w:p>
    <w:p w:rsidR="00DD7F4C" w:rsidRDefault="001E1216" w:rsidP="00B31885">
      <w:pPr>
        <w:ind w:left="720" w:hanging="720"/>
        <w:rPr>
          <w:b/>
        </w:rPr>
      </w:pPr>
      <w:r w:rsidRPr="001E1216">
        <w:t>8</w:t>
      </w:r>
      <w:r w:rsidR="00AE2A72">
        <w:t>5</w:t>
      </w:r>
      <w:r w:rsidRPr="001E1216">
        <w:t>.</w:t>
      </w:r>
      <w:r w:rsidRPr="001E1216">
        <w:tab/>
      </w:r>
      <w:r w:rsidR="002E37F1" w:rsidRPr="002E37F1">
        <w:t xml:space="preserve">Section 8 of the </w:t>
      </w:r>
      <w:r w:rsidR="002E37F1" w:rsidRPr="002E37F1">
        <w:rPr>
          <w:i/>
        </w:rPr>
        <w:t>Licensing (Director-General) Act</w:t>
      </w:r>
      <w:r w:rsidR="002E37F1" w:rsidRPr="002E37F1">
        <w:t xml:space="preserve"> prescribes a delegate decision is a decision, under any Act, of the Director-General that is made by a delegate of the Director-General</w:t>
      </w:r>
      <w:proofErr w:type="gramStart"/>
      <w:r w:rsidR="002E37F1" w:rsidRPr="002E37F1">
        <w:t xml:space="preserve">.  </w:t>
      </w:r>
      <w:proofErr w:type="gramEnd"/>
      <w:r w:rsidR="002E37F1" w:rsidRPr="002E37F1">
        <w:t xml:space="preserve">The Director-General delegated the determination of applications made under Section 41 of the </w:t>
      </w:r>
      <w:r w:rsidR="002E37F1" w:rsidRPr="002E37F1">
        <w:rPr>
          <w:i/>
        </w:rPr>
        <w:t>Gaming Machine Act</w:t>
      </w:r>
      <w:r w:rsidR="002E37F1" w:rsidRPr="002E37F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2E37F1" w:rsidRPr="002E37F1">
        <w:rPr>
          <w:i/>
        </w:rPr>
        <w:t>Licensing (Director-General) Act</w:t>
      </w:r>
      <w:r w:rsidR="002E37F1" w:rsidRPr="002E37F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2E37F1" w:rsidRPr="002E37F1">
        <w:rPr>
          <w:i/>
        </w:rPr>
        <w:t>Licensing (Director-General) Act</w:t>
      </w:r>
      <w:r w:rsidR="002E37F1" w:rsidRPr="002E37F1">
        <w:t xml:space="preserve"> prescribes an affected person for a delegate decision to be the applicant for the increase in gaming machines and a person who made a submission, complaint or objection (however described) during the process that resulted in the decision being made.</w:t>
      </w:r>
    </w:p>
    <w:p w:rsidR="002E37F1" w:rsidRPr="002E37F1" w:rsidRDefault="002E37F1" w:rsidP="002E37F1">
      <w:pPr>
        <w:ind w:left="720" w:hanging="720"/>
      </w:pPr>
      <w:r>
        <w:t>8</w:t>
      </w:r>
      <w:r w:rsidR="00AE2A72">
        <w:t>6</w:t>
      </w:r>
      <w:r>
        <w:t>.</w:t>
      </w:r>
      <w:r>
        <w:tab/>
      </w:r>
      <w:r w:rsidRPr="002E37F1">
        <w:t xml:space="preserve">Accordingly the affected persons in relation to this matter are </w:t>
      </w:r>
      <w:r>
        <w:t>Katherine Country Club Inc.</w:t>
      </w:r>
      <w:r w:rsidRPr="002E37F1">
        <w:t xml:space="preserve"> and Amity Community Services Incorporated.</w:t>
      </w:r>
    </w:p>
    <w:p w:rsidR="00DD7F4C" w:rsidRPr="00B3067F" w:rsidRDefault="002E37F1" w:rsidP="00512F0E">
      <w:pPr>
        <w:pStyle w:val="Signature"/>
        <w:spacing w:before="1320" w:after="0"/>
        <w:rPr>
          <w:rFonts w:cs="Arial"/>
          <w:sz w:val="24"/>
          <w:szCs w:val="24"/>
        </w:rPr>
      </w:pPr>
      <w:r>
        <w:rPr>
          <w:rFonts w:cs="Arial"/>
          <w:sz w:val="24"/>
          <w:szCs w:val="24"/>
        </w:rPr>
        <w:t>Mark Wood</w:t>
      </w:r>
    </w:p>
    <w:p w:rsidR="00DD7F4C" w:rsidRPr="00B3067F" w:rsidRDefault="002E37F1"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6641ED" w:rsidP="006038D3">
      <w:pPr>
        <w:spacing w:after="120"/>
        <w:jc w:val="both"/>
        <w:rPr>
          <w:rFonts w:cs="Arial"/>
          <w:bCs/>
          <w:szCs w:val="22"/>
        </w:rPr>
      </w:pPr>
      <w:r>
        <w:rPr>
          <w:rFonts w:cs="Arial"/>
          <w:sz w:val="24"/>
          <w:szCs w:val="24"/>
        </w:rPr>
        <w:t>23</w:t>
      </w:r>
      <w:r w:rsidR="000251D6">
        <w:rPr>
          <w:rFonts w:cs="Arial"/>
          <w:sz w:val="24"/>
          <w:szCs w:val="24"/>
        </w:rPr>
        <w:t xml:space="preserve"> </w:t>
      </w:r>
      <w:r w:rsidR="002E37F1">
        <w:rPr>
          <w:rFonts w:cs="Arial"/>
          <w:sz w:val="24"/>
          <w:szCs w:val="24"/>
        </w:rPr>
        <w:t>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E5" w:rsidRDefault="006653E5" w:rsidP="00293A72">
      <w:r>
        <w:separator/>
      </w:r>
    </w:p>
  </w:endnote>
  <w:endnote w:type="continuationSeparator" w:id="0">
    <w:p w:rsidR="006653E5" w:rsidRDefault="006653E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AB2049">
          <w:rPr>
            <w:color w:val="A6A6A6" w:themeColor="background1" w:themeShade="A6"/>
            <w:sz w:val="16"/>
            <w:szCs w:val="20"/>
          </w:rPr>
          <w:t>Katherine Country Club</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23</w:t>
        </w:r>
        <w:r w:rsidR="000251D6">
          <w:rPr>
            <w:color w:val="A6A6A6" w:themeColor="background1" w:themeShade="A6"/>
            <w:sz w:val="16"/>
            <w:szCs w:val="20"/>
          </w:rPr>
          <w:t xml:space="preserve"> </w:t>
        </w:r>
        <w:r w:rsidR="00AB2049">
          <w:rPr>
            <w:color w:val="A6A6A6" w:themeColor="background1" w:themeShade="A6"/>
            <w:sz w:val="16"/>
            <w:szCs w:val="20"/>
          </w:rPr>
          <w:t>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w:t>
        </w:r>
        <w:r w:rsidR="00AB2049">
          <w:rPr>
            <w:color w:val="A6A6A6" w:themeColor="background1" w:themeShade="A6"/>
            <w:sz w:val="16"/>
            <w:szCs w:val="20"/>
          </w:rPr>
          <w:t>16542</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747F39">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AB2049">
          <w:rPr>
            <w:color w:val="A6A6A6" w:themeColor="background1" w:themeShade="A6"/>
            <w:sz w:val="16"/>
            <w:szCs w:val="20"/>
          </w:rPr>
          <w:t>Katherine Country Club</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23</w:t>
        </w:r>
        <w:r>
          <w:rPr>
            <w:color w:val="A6A6A6" w:themeColor="background1" w:themeShade="A6"/>
            <w:sz w:val="16"/>
            <w:szCs w:val="20"/>
          </w:rPr>
          <w:t xml:space="preserve"> </w:t>
        </w:r>
        <w:r w:rsidR="00AB2049">
          <w:rPr>
            <w:color w:val="A6A6A6" w:themeColor="background1" w:themeShade="A6"/>
            <w:sz w:val="16"/>
            <w:szCs w:val="20"/>
          </w:rPr>
          <w:t>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w:t>
        </w:r>
        <w:r w:rsidR="00AB2049">
          <w:rPr>
            <w:color w:val="A6A6A6" w:themeColor="background1" w:themeShade="A6"/>
            <w:sz w:val="16"/>
            <w:szCs w:val="20"/>
          </w:rPr>
          <w:t>16542</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747F39">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E5" w:rsidRDefault="006653E5" w:rsidP="00293A72">
      <w:r>
        <w:separator/>
      </w:r>
    </w:p>
  </w:footnote>
  <w:footnote w:type="continuationSeparator" w:id="0">
    <w:p w:rsidR="006653E5" w:rsidRDefault="006653E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AB20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F789F41" wp14:editId="118245A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AB2049" w:rsidP="00AB2049">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97E17"/>
    <w:multiLevelType w:val="hybridMultilevel"/>
    <w:tmpl w:val="823CB1A6"/>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D02642D"/>
    <w:multiLevelType w:val="hybridMultilevel"/>
    <w:tmpl w:val="B26C8A2A"/>
    <w:lvl w:ilvl="0" w:tplc="0C09000F">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A92E09"/>
    <w:multiLevelType w:val="hybridMultilevel"/>
    <w:tmpl w:val="F4120A0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51945265"/>
    <w:multiLevelType w:val="hybridMultilevel"/>
    <w:tmpl w:val="8E5AB622"/>
    <w:lvl w:ilvl="0" w:tplc="0C09000F">
      <w:start w:val="40"/>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68B246C"/>
    <w:multiLevelType w:val="hybridMultilevel"/>
    <w:tmpl w:val="8AF2F46C"/>
    <w:lvl w:ilvl="0" w:tplc="0C09000F">
      <w:start w:val="4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E6616CE"/>
    <w:multiLevelType w:val="hybridMultilevel"/>
    <w:tmpl w:val="ECE6CF08"/>
    <w:lvl w:ilvl="0" w:tplc="0C09000F">
      <w:start w:val="8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708B59FF"/>
    <w:multiLevelType w:val="hybridMultilevel"/>
    <w:tmpl w:val="4C4A1FB6"/>
    <w:lvl w:ilvl="0" w:tplc="0C09000F">
      <w:start w:val="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1F6636"/>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DBA2AAA"/>
    <w:multiLevelType w:val="hybridMultilevel"/>
    <w:tmpl w:val="B0367E9A"/>
    <w:lvl w:ilvl="0" w:tplc="0C09000F">
      <w:start w:val="1"/>
      <w:numFmt w:val="decimal"/>
      <w:lvlText w:val="%1."/>
      <w:lvlJc w:val="left"/>
      <w:pPr>
        <w:ind w:left="3054"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4"/>
  </w:num>
  <w:num w:numId="10">
    <w:abstractNumId w:val="9"/>
  </w:num>
  <w:num w:numId="11">
    <w:abstractNumId w:val="22"/>
  </w:num>
  <w:num w:numId="12">
    <w:abstractNumId w:val="4"/>
  </w:num>
  <w:num w:numId="13">
    <w:abstractNumId w:val="19"/>
  </w:num>
  <w:num w:numId="14">
    <w:abstractNumId w:val="7"/>
  </w:num>
  <w:num w:numId="15">
    <w:abstractNumId w:val="15"/>
  </w:num>
  <w:num w:numId="16">
    <w:abstractNumId w:val="2"/>
  </w:num>
  <w:num w:numId="17">
    <w:abstractNumId w:val="12"/>
  </w:num>
  <w:num w:numId="18">
    <w:abstractNumId w:val="23"/>
  </w:num>
  <w:num w:numId="19">
    <w:abstractNumId w:val="14"/>
  </w:num>
  <w:num w:numId="20">
    <w:abstractNumId w:val="26"/>
  </w:num>
  <w:num w:numId="21">
    <w:abstractNumId w:val="17"/>
  </w:num>
  <w:num w:numId="22">
    <w:abstractNumId w:val="1"/>
  </w:num>
  <w:num w:numId="23">
    <w:abstractNumId w:val="27"/>
  </w:num>
  <w:num w:numId="24">
    <w:abstractNumId w:val="3"/>
  </w:num>
  <w:num w:numId="25">
    <w:abstractNumId w:val="18"/>
  </w:num>
  <w:num w:numId="26">
    <w:abstractNumId w:val="16"/>
  </w:num>
  <w:num w:numId="27">
    <w:abstractNumId w:val="13"/>
  </w:num>
  <w:num w:numId="28">
    <w:abstractNumId w:val="11"/>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5C4C"/>
    <w:rsid w:val="0007259C"/>
    <w:rsid w:val="0007569C"/>
    <w:rsid w:val="00090245"/>
    <w:rsid w:val="000A5093"/>
    <w:rsid w:val="000A50F1"/>
    <w:rsid w:val="000B090B"/>
    <w:rsid w:val="000B5975"/>
    <w:rsid w:val="000C07CC"/>
    <w:rsid w:val="000D0C27"/>
    <w:rsid w:val="000D2696"/>
    <w:rsid w:val="000D331C"/>
    <w:rsid w:val="000F0431"/>
    <w:rsid w:val="000F40A9"/>
    <w:rsid w:val="000F4207"/>
    <w:rsid w:val="001041C0"/>
    <w:rsid w:val="00107C87"/>
    <w:rsid w:val="001167CD"/>
    <w:rsid w:val="00117743"/>
    <w:rsid w:val="00117F5B"/>
    <w:rsid w:val="001250E7"/>
    <w:rsid w:val="00127D50"/>
    <w:rsid w:val="001360F3"/>
    <w:rsid w:val="00140FDD"/>
    <w:rsid w:val="00141560"/>
    <w:rsid w:val="0014385B"/>
    <w:rsid w:val="001505FB"/>
    <w:rsid w:val="001552A6"/>
    <w:rsid w:val="001620E9"/>
    <w:rsid w:val="00170AE4"/>
    <w:rsid w:val="0017294F"/>
    <w:rsid w:val="00175621"/>
    <w:rsid w:val="00184EFE"/>
    <w:rsid w:val="00194D7F"/>
    <w:rsid w:val="001A2B7F"/>
    <w:rsid w:val="001A3DEE"/>
    <w:rsid w:val="001C5037"/>
    <w:rsid w:val="001D7DAB"/>
    <w:rsid w:val="001E0F80"/>
    <w:rsid w:val="001E1216"/>
    <w:rsid w:val="001F5FA9"/>
    <w:rsid w:val="001F76BC"/>
    <w:rsid w:val="00206E08"/>
    <w:rsid w:val="002073A4"/>
    <w:rsid w:val="00210093"/>
    <w:rsid w:val="0021413A"/>
    <w:rsid w:val="00220937"/>
    <w:rsid w:val="00244FF0"/>
    <w:rsid w:val="00245650"/>
    <w:rsid w:val="00284A86"/>
    <w:rsid w:val="002935BE"/>
    <w:rsid w:val="00293A72"/>
    <w:rsid w:val="002A548A"/>
    <w:rsid w:val="002B0DEC"/>
    <w:rsid w:val="002B1C31"/>
    <w:rsid w:val="002B7D23"/>
    <w:rsid w:val="002D203F"/>
    <w:rsid w:val="002E37F1"/>
    <w:rsid w:val="002E6443"/>
    <w:rsid w:val="002F2885"/>
    <w:rsid w:val="002F60ED"/>
    <w:rsid w:val="0030703F"/>
    <w:rsid w:val="00315827"/>
    <w:rsid w:val="00322F46"/>
    <w:rsid w:val="00323341"/>
    <w:rsid w:val="00323ACA"/>
    <w:rsid w:val="00342283"/>
    <w:rsid w:val="00347B47"/>
    <w:rsid w:val="003630C7"/>
    <w:rsid w:val="0037611B"/>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55983"/>
    <w:rsid w:val="0046387B"/>
    <w:rsid w:val="004732FE"/>
    <w:rsid w:val="004873C6"/>
    <w:rsid w:val="004A37BA"/>
    <w:rsid w:val="004A601B"/>
    <w:rsid w:val="004B1D98"/>
    <w:rsid w:val="004E2627"/>
    <w:rsid w:val="004F4447"/>
    <w:rsid w:val="00503996"/>
    <w:rsid w:val="00512F0E"/>
    <w:rsid w:val="005236E8"/>
    <w:rsid w:val="005257EC"/>
    <w:rsid w:val="005303FC"/>
    <w:rsid w:val="00530A50"/>
    <w:rsid w:val="00532F5C"/>
    <w:rsid w:val="00543A1E"/>
    <w:rsid w:val="00547D05"/>
    <w:rsid w:val="00554FD1"/>
    <w:rsid w:val="005654B8"/>
    <w:rsid w:val="00570BC3"/>
    <w:rsid w:val="00587446"/>
    <w:rsid w:val="00591B49"/>
    <w:rsid w:val="00593589"/>
    <w:rsid w:val="005A6D6D"/>
    <w:rsid w:val="005B5AC2"/>
    <w:rsid w:val="005C47C1"/>
    <w:rsid w:val="005D1EE0"/>
    <w:rsid w:val="005D3C7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653E5"/>
    <w:rsid w:val="006719EA"/>
    <w:rsid w:val="00674E97"/>
    <w:rsid w:val="006770F2"/>
    <w:rsid w:val="00681CE0"/>
    <w:rsid w:val="0068683B"/>
    <w:rsid w:val="00692285"/>
    <w:rsid w:val="006A2598"/>
    <w:rsid w:val="006A2710"/>
    <w:rsid w:val="006A44E3"/>
    <w:rsid w:val="006B4310"/>
    <w:rsid w:val="006C07A1"/>
    <w:rsid w:val="006C668D"/>
    <w:rsid w:val="006D5246"/>
    <w:rsid w:val="007023AB"/>
    <w:rsid w:val="00722DDB"/>
    <w:rsid w:val="007408F5"/>
    <w:rsid w:val="00747F39"/>
    <w:rsid w:val="00770807"/>
    <w:rsid w:val="00787D74"/>
    <w:rsid w:val="007B6A96"/>
    <w:rsid w:val="007E01C6"/>
    <w:rsid w:val="007E31FB"/>
    <w:rsid w:val="007F096D"/>
    <w:rsid w:val="0080624F"/>
    <w:rsid w:val="00817AF1"/>
    <w:rsid w:val="008313C4"/>
    <w:rsid w:val="008516CC"/>
    <w:rsid w:val="0085544C"/>
    <w:rsid w:val="0086109D"/>
    <w:rsid w:val="00861DC3"/>
    <w:rsid w:val="0086745F"/>
    <w:rsid w:val="0087091E"/>
    <w:rsid w:val="00872BC9"/>
    <w:rsid w:val="00873CDE"/>
    <w:rsid w:val="00881E1B"/>
    <w:rsid w:val="0088588D"/>
    <w:rsid w:val="008934B6"/>
    <w:rsid w:val="008A27E4"/>
    <w:rsid w:val="008A32EB"/>
    <w:rsid w:val="008E22F8"/>
    <w:rsid w:val="008E47CE"/>
    <w:rsid w:val="008E5B10"/>
    <w:rsid w:val="008E63B1"/>
    <w:rsid w:val="008F70BE"/>
    <w:rsid w:val="0092794F"/>
    <w:rsid w:val="00930D60"/>
    <w:rsid w:val="00936A77"/>
    <w:rsid w:val="009616DF"/>
    <w:rsid w:val="009641E3"/>
    <w:rsid w:val="0098759C"/>
    <w:rsid w:val="00993745"/>
    <w:rsid w:val="009A73E5"/>
    <w:rsid w:val="009B5150"/>
    <w:rsid w:val="009D153B"/>
    <w:rsid w:val="009D65D7"/>
    <w:rsid w:val="00A04BDC"/>
    <w:rsid w:val="00A234B1"/>
    <w:rsid w:val="00A24D7D"/>
    <w:rsid w:val="00A31F5D"/>
    <w:rsid w:val="00A37DDA"/>
    <w:rsid w:val="00A704E6"/>
    <w:rsid w:val="00AA16B6"/>
    <w:rsid w:val="00AA7967"/>
    <w:rsid w:val="00AB2049"/>
    <w:rsid w:val="00AD06A3"/>
    <w:rsid w:val="00AD0B03"/>
    <w:rsid w:val="00AE2A72"/>
    <w:rsid w:val="00AE7B5D"/>
    <w:rsid w:val="00B0580F"/>
    <w:rsid w:val="00B12589"/>
    <w:rsid w:val="00B3067F"/>
    <w:rsid w:val="00B31885"/>
    <w:rsid w:val="00B36ACE"/>
    <w:rsid w:val="00B44012"/>
    <w:rsid w:val="00B61B26"/>
    <w:rsid w:val="00B8518A"/>
    <w:rsid w:val="00B924D3"/>
    <w:rsid w:val="00B96BD8"/>
    <w:rsid w:val="00BA75DE"/>
    <w:rsid w:val="00BB0A00"/>
    <w:rsid w:val="00BB4846"/>
    <w:rsid w:val="00BC1372"/>
    <w:rsid w:val="00BC1846"/>
    <w:rsid w:val="00BC4320"/>
    <w:rsid w:val="00BC7928"/>
    <w:rsid w:val="00BE75A5"/>
    <w:rsid w:val="00BF158B"/>
    <w:rsid w:val="00C00907"/>
    <w:rsid w:val="00C04D9C"/>
    <w:rsid w:val="00C1505C"/>
    <w:rsid w:val="00C26CCD"/>
    <w:rsid w:val="00C36B82"/>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57D9"/>
    <w:rsid w:val="00D17A30"/>
    <w:rsid w:val="00D25638"/>
    <w:rsid w:val="00D265AE"/>
    <w:rsid w:val="00D27945"/>
    <w:rsid w:val="00D33764"/>
    <w:rsid w:val="00D40076"/>
    <w:rsid w:val="00D42C89"/>
    <w:rsid w:val="00D470F0"/>
    <w:rsid w:val="00D55BBF"/>
    <w:rsid w:val="00D80A15"/>
    <w:rsid w:val="00D829E9"/>
    <w:rsid w:val="00D840DD"/>
    <w:rsid w:val="00D92D3F"/>
    <w:rsid w:val="00D975C0"/>
    <w:rsid w:val="00DB0EEC"/>
    <w:rsid w:val="00DC5DD9"/>
    <w:rsid w:val="00DD0C69"/>
    <w:rsid w:val="00DD5638"/>
    <w:rsid w:val="00DD7F4C"/>
    <w:rsid w:val="00DE7143"/>
    <w:rsid w:val="00DE71E4"/>
    <w:rsid w:val="00DF0487"/>
    <w:rsid w:val="00E07444"/>
    <w:rsid w:val="00E1075D"/>
    <w:rsid w:val="00E1681A"/>
    <w:rsid w:val="00E2023F"/>
    <w:rsid w:val="00E22BBE"/>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E7F0E"/>
    <w:rsid w:val="00F1351E"/>
    <w:rsid w:val="00F15C61"/>
    <w:rsid w:val="00F15ED0"/>
    <w:rsid w:val="00F30D71"/>
    <w:rsid w:val="00F31EE1"/>
    <w:rsid w:val="00F35F28"/>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747F39"/>
    <w:pPr>
      <w:keepNext/>
      <w:spacing w:before="120" w:after="120"/>
      <w:outlineLvl w:val="2"/>
    </w:pPr>
    <w:rPr>
      <w:rFonts w:cs="Arial"/>
      <w:b/>
      <w:bCs/>
      <w:sz w:val="24"/>
      <w:szCs w:val="24"/>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747F39"/>
    <w:rPr>
      <w:rFonts w:ascii="Arial" w:eastAsia="Times New Roman" w:hAnsi="Arial" w:cs="Arial"/>
      <w:b/>
      <w:bCs/>
      <w:sz w:val="24"/>
      <w:szCs w:val="24"/>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747F39"/>
    <w:pPr>
      <w:keepNext/>
      <w:spacing w:before="120" w:after="120"/>
      <w:outlineLvl w:val="2"/>
    </w:pPr>
    <w:rPr>
      <w:rFonts w:cs="Arial"/>
      <w:b/>
      <w:bCs/>
      <w:sz w:val="24"/>
      <w:szCs w:val="24"/>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747F39"/>
    <w:rPr>
      <w:rFonts w:ascii="Arial" w:eastAsia="Times New Roman" w:hAnsi="Arial" w:cs="Arial"/>
      <w:b/>
      <w:bCs/>
      <w:sz w:val="24"/>
      <w:szCs w:val="24"/>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16052"/>
    <w:rsid w:val="002914E7"/>
    <w:rsid w:val="002C6384"/>
    <w:rsid w:val="002D4C43"/>
    <w:rsid w:val="003558A2"/>
    <w:rsid w:val="00723828"/>
    <w:rsid w:val="00941C01"/>
    <w:rsid w:val="00BB56F0"/>
    <w:rsid w:val="00CA7098"/>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F269E026-FFC1-428F-83C3-BEEB2BCF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5090</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34035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Country Club - Application for increase in Gaming Machines</dc:title>
  <dc:creator>Cindy Bravos</dc:creator>
  <cp:lastModifiedBy>Marlene Woods</cp:lastModifiedBy>
  <cp:revision>6</cp:revision>
  <cp:lastPrinted>2015-11-23T03:15:00Z</cp:lastPrinted>
  <dcterms:created xsi:type="dcterms:W3CDTF">2016-09-06T01:43:00Z</dcterms:created>
  <dcterms:modified xsi:type="dcterms:W3CDTF">2016-10-11T06:03:00Z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