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w:t>
      </w:r>
      <w:bookmarkStart w:id="0" w:name="_GoBack"/>
      <w:bookmarkEnd w:id="0"/>
      <w:r w:rsidR="00D33764" w:rsidRPr="00655618">
        <w:rPr>
          <w:rFonts w:cs="Arial"/>
        </w:rPr>
        <w:t>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CE1281">
        <w:rPr>
          <w:rFonts w:cs="Arial"/>
        </w:rPr>
        <w:t>Virginia Tavern</w:t>
      </w:r>
    </w:p>
    <w:p w:rsidR="009B5150" w:rsidRDefault="00CE1281" w:rsidP="00D33764">
      <w:pPr>
        <w:pStyle w:val="Tabformatting"/>
        <w:spacing w:after="0"/>
        <w:rPr>
          <w:rFonts w:cs="Arial"/>
        </w:rPr>
      </w:pPr>
      <w:r>
        <w:rPr>
          <w:rFonts w:cs="Arial"/>
        </w:rPr>
        <w:tab/>
        <w:t>30 Virginia Road</w:t>
      </w:r>
    </w:p>
    <w:p w:rsidR="00D33764" w:rsidRPr="00655618" w:rsidRDefault="00D33764" w:rsidP="001620E9">
      <w:pPr>
        <w:pStyle w:val="Tabformatting"/>
        <w:rPr>
          <w:rFonts w:cs="Arial"/>
        </w:rPr>
      </w:pPr>
      <w:r w:rsidRPr="00655618">
        <w:rPr>
          <w:rFonts w:cs="Arial"/>
        </w:rPr>
        <w:tab/>
      </w:r>
      <w:proofErr w:type="gramStart"/>
      <w:r w:rsidR="00CE1281">
        <w:rPr>
          <w:rFonts w:cs="Arial"/>
        </w:rPr>
        <w:t>Virginia  NT</w:t>
      </w:r>
      <w:proofErr w:type="gramEnd"/>
      <w:r w:rsidR="00CE1281">
        <w:rPr>
          <w:rFonts w:cs="Arial"/>
        </w:rPr>
        <w:t xml:space="preserve">  0822</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CE1281">
        <w:rPr>
          <w:rFonts w:cs="Arial"/>
        </w:rPr>
        <w:t>OMAD (NT) Pty Ltd</w:t>
      </w:r>
    </w:p>
    <w:p w:rsidR="00CC3330" w:rsidRPr="00655618" w:rsidRDefault="00AB2049" w:rsidP="001620E9">
      <w:pPr>
        <w:pStyle w:val="Tabformatting"/>
        <w:rPr>
          <w:rFonts w:cs="Arial"/>
        </w:rPr>
      </w:pPr>
      <w:r>
        <w:rPr>
          <w:rFonts w:cs="Arial"/>
          <w:b/>
        </w:rPr>
        <w:t xml:space="preserve">Dual </w:t>
      </w:r>
      <w:r w:rsidR="00CC3330" w:rsidRPr="00655618">
        <w:rPr>
          <w:rFonts w:cs="Arial"/>
          <w:b/>
        </w:rPr>
        <w:t>Nominee</w:t>
      </w:r>
      <w:r>
        <w:rPr>
          <w:rFonts w:cs="Arial"/>
          <w:b/>
        </w:rPr>
        <w:t>s</w:t>
      </w:r>
      <w:r w:rsidR="00CC3330" w:rsidRPr="00655618">
        <w:rPr>
          <w:rFonts w:cs="Arial"/>
        </w:rPr>
        <w:t>:</w:t>
      </w:r>
      <w:r w:rsidR="00CC3330" w:rsidRPr="00655618">
        <w:rPr>
          <w:rFonts w:cs="Arial"/>
        </w:rPr>
        <w:tab/>
      </w:r>
      <w:r w:rsidR="00D33764" w:rsidRPr="00655618">
        <w:rPr>
          <w:rFonts w:cs="Arial"/>
        </w:rPr>
        <w:t xml:space="preserve">Mr </w:t>
      </w:r>
      <w:r w:rsidR="00CE1281">
        <w:rPr>
          <w:rFonts w:cs="Arial"/>
        </w:rPr>
        <w:t>Damian O’Brien</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Pr="00655618">
        <w:rPr>
          <w:rFonts w:cs="Arial"/>
        </w:rPr>
        <w:t>Amity Community Services Incorporated</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AB2049">
        <w:rPr>
          <w:rFonts w:cs="Arial"/>
        </w:rPr>
        <w:t xml:space="preserve">A/Deputy </w:t>
      </w:r>
      <w:r w:rsidR="006770F2" w:rsidRPr="00655618">
        <w:rPr>
          <w:rFonts w:cs="Arial"/>
        </w:rPr>
        <w:t xml:space="preserve">Director-General </w:t>
      </w:r>
      <w:r w:rsidR="00AB2049">
        <w:rPr>
          <w:rFonts w:cs="Arial"/>
        </w:rPr>
        <w:t>(Operations)</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170AE4">
        <w:rPr>
          <w:rFonts w:cs="Arial"/>
        </w:rPr>
        <w:t>23</w:t>
      </w:r>
      <w:r w:rsidR="00AB2049">
        <w:rPr>
          <w:rFonts w:cs="Arial"/>
        </w:rPr>
        <w:t xml:space="preserve"> August 2016</w:t>
      </w:r>
    </w:p>
    <w:p w:rsidR="001620E9" w:rsidRPr="00655618" w:rsidRDefault="001620E9" w:rsidP="001620E9">
      <w:pPr>
        <w:pStyle w:val="BottomLine"/>
        <w:rPr>
          <w:rFonts w:cs="Arial"/>
        </w:rPr>
      </w:pPr>
    </w:p>
    <w:p w:rsidR="00D33764" w:rsidRPr="00655618" w:rsidRDefault="00C36B82" w:rsidP="001A677D">
      <w:pPr>
        <w:pStyle w:val="Heading2"/>
        <w:spacing w:before="120"/>
      </w:pPr>
      <w:r w:rsidRPr="00655618">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CE1281">
        <w:rPr>
          <w:rFonts w:cs="Arial"/>
          <w:szCs w:val="24"/>
        </w:rPr>
        <w:t>3</w:t>
      </w:r>
      <w:r w:rsidR="00AB2049">
        <w:rPr>
          <w:rFonts w:cs="Arial"/>
          <w:szCs w:val="24"/>
        </w:rPr>
        <w:t xml:space="preserve"> May 2016</w:t>
      </w:r>
      <w:r w:rsidRPr="00655618">
        <w:rPr>
          <w:rFonts w:cs="Arial"/>
          <w:szCs w:val="24"/>
        </w:rPr>
        <w:t>,</w:t>
      </w:r>
      <w:r w:rsidR="00D33764" w:rsidRPr="00655618">
        <w:rPr>
          <w:rFonts w:cs="Arial"/>
          <w:szCs w:val="24"/>
        </w:rPr>
        <w:t xml:space="preserve"> Mr </w:t>
      </w:r>
      <w:r w:rsidR="00CE1281">
        <w:rPr>
          <w:rFonts w:cs="Arial"/>
          <w:szCs w:val="24"/>
        </w:rPr>
        <w:t>Damian O’Brien</w:t>
      </w:r>
      <w:r w:rsidR="00AB2049">
        <w:rPr>
          <w:rFonts w:cs="Arial"/>
          <w:szCs w:val="24"/>
        </w:rPr>
        <w:t xml:space="preserve">, </w:t>
      </w:r>
      <w:r w:rsidR="00CE1281">
        <w:rPr>
          <w:rFonts w:cs="Arial"/>
          <w:szCs w:val="24"/>
        </w:rPr>
        <w:t>Nominee of the Virginia Tavern (</w:t>
      </w:r>
      <w:r w:rsidR="00D33764" w:rsidRPr="00655618">
        <w:rPr>
          <w:rFonts w:cs="Arial"/>
          <w:szCs w:val="24"/>
        </w:rPr>
        <w:t>“the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CE1281">
        <w:rPr>
          <w:rFonts w:cs="Arial"/>
          <w:szCs w:val="24"/>
        </w:rPr>
        <w:t>the Virginia Tavern</w:t>
      </w:r>
      <w:r w:rsidRPr="00655618">
        <w:rPr>
          <w:rFonts w:cs="Arial"/>
          <w:szCs w:val="24"/>
        </w:rPr>
        <w:t xml:space="preserve"> </w:t>
      </w:r>
      <w:r w:rsidR="00322F46" w:rsidRPr="00655618">
        <w:rPr>
          <w:rFonts w:cs="Arial"/>
          <w:szCs w:val="24"/>
        </w:rPr>
        <w:t xml:space="preserve">(“the </w:t>
      </w:r>
      <w:r w:rsidR="00AB2049">
        <w:rPr>
          <w:rFonts w:cs="Arial"/>
          <w:szCs w:val="24"/>
        </w:rPr>
        <w:t>premises</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w:t>
      </w:r>
      <w:r w:rsidR="007F4907">
        <w:rPr>
          <w:rFonts w:cs="Arial"/>
          <w:szCs w:val="24"/>
        </w:rPr>
        <w:t>a</w:t>
      </w:r>
      <w:r w:rsidRPr="00655618">
        <w:rPr>
          <w:rFonts w:cs="Arial"/>
          <w:szCs w:val="24"/>
        </w:rPr>
        <w:t>) of the Gaming Machine Regulations (</w:t>
      </w:r>
      <w:r w:rsidR="00532F5C">
        <w:rPr>
          <w:rFonts w:cs="Arial"/>
          <w:szCs w:val="24"/>
        </w:rPr>
        <w:t>“</w:t>
      </w:r>
      <w:r w:rsidRPr="00655618">
        <w:rPr>
          <w:rFonts w:cs="Arial"/>
          <w:szCs w:val="24"/>
        </w:rPr>
        <w:t xml:space="preserve">the Regulations”) sets the maximum number of gaming machines that may be authorised for a Category </w:t>
      </w:r>
      <w:r w:rsidR="007F4907">
        <w:rPr>
          <w:rFonts w:cs="Arial"/>
          <w:szCs w:val="24"/>
        </w:rPr>
        <w:t>1</w:t>
      </w:r>
      <w:r w:rsidRPr="00655618">
        <w:rPr>
          <w:rFonts w:cs="Arial"/>
          <w:szCs w:val="24"/>
        </w:rPr>
        <w:t xml:space="preserve"> licensed premise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w:t>
      </w:r>
      <w:r w:rsidR="007F4907">
        <w:rPr>
          <w:rFonts w:cs="Arial"/>
          <w:szCs w:val="24"/>
        </w:rPr>
        <w:t>a</w:t>
      </w:r>
      <w:r w:rsidRPr="00B3067F">
        <w:rPr>
          <w:rFonts w:cs="Arial"/>
          <w:szCs w:val="24"/>
        </w:rPr>
        <w:t>)</w:t>
      </w:r>
      <w:r w:rsidR="007F4907">
        <w:rPr>
          <w:rFonts w:cs="Arial"/>
          <w:szCs w:val="24"/>
        </w:rPr>
        <w:t>(</w:t>
      </w:r>
      <w:proofErr w:type="spellStart"/>
      <w:r w:rsidR="007F4907">
        <w:rPr>
          <w:rFonts w:cs="Arial"/>
          <w:szCs w:val="24"/>
        </w:rPr>
        <w:t>i</w:t>
      </w:r>
      <w:proofErr w:type="spellEnd"/>
      <w:r w:rsidR="007F4907">
        <w:rPr>
          <w:rFonts w:cs="Arial"/>
          <w:szCs w:val="24"/>
        </w:rPr>
        <w:t>)</w:t>
      </w:r>
      <w:r w:rsidRPr="00B3067F">
        <w:rPr>
          <w:rFonts w:cs="Arial"/>
          <w:szCs w:val="24"/>
        </w:rPr>
        <w:t xml:space="preserve"> of the Regulations defines Category </w:t>
      </w:r>
      <w:r w:rsidR="007F4907">
        <w:rPr>
          <w:rFonts w:cs="Arial"/>
          <w:szCs w:val="24"/>
        </w:rPr>
        <w:t>1</w:t>
      </w:r>
      <w:r w:rsidRPr="00B3067F">
        <w:rPr>
          <w:rFonts w:cs="Arial"/>
          <w:szCs w:val="24"/>
        </w:rPr>
        <w:t xml:space="preserve"> licensed premise</w:t>
      </w:r>
      <w:r w:rsidR="00936FCB">
        <w:rPr>
          <w:rFonts w:cs="Arial"/>
          <w:szCs w:val="24"/>
        </w:rPr>
        <w:t>s</w:t>
      </w:r>
      <w:r w:rsidRPr="00B3067F">
        <w:rPr>
          <w:rFonts w:cs="Arial"/>
          <w:szCs w:val="24"/>
        </w:rPr>
        <w:t xml:space="preserve"> </w:t>
      </w:r>
      <w:r w:rsidR="0040316A" w:rsidRPr="00B3067F">
        <w:rPr>
          <w:rFonts w:cs="Arial"/>
          <w:szCs w:val="24"/>
        </w:rPr>
        <w:t>as  premise</w:t>
      </w:r>
      <w:r w:rsidR="00936FCB">
        <w:rPr>
          <w:rFonts w:cs="Arial"/>
          <w:szCs w:val="24"/>
        </w:rPr>
        <w:t>s</w:t>
      </w:r>
      <w:r w:rsidR="0040316A" w:rsidRPr="00B3067F">
        <w:rPr>
          <w:rFonts w:cs="Arial"/>
          <w:szCs w:val="24"/>
        </w:rPr>
        <w:t xml:space="preserve"> for which a </w:t>
      </w:r>
      <w:r w:rsidR="007F4907">
        <w:rPr>
          <w:rFonts w:cs="Arial"/>
          <w:szCs w:val="24"/>
        </w:rPr>
        <w:t>hotel</w:t>
      </w:r>
      <w:r w:rsidR="0040316A" w:rsidRPr="00B3067F">
        <w:rPr>
          <w:rFonts w:cs="Arial"/>
          <w:szCs w:val="24"/>
        </w:rPr>
        <w:t xml:space="preserve">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7091E" w:rsidRPr="00B3067F" w:rsidRDefault="0087091E" w:rsidP="0087091E">
      <w:pPr>
        <w:pStyle w:val="ListParagraph"/>
        <w:numPr>
          <w:ilvl w:val="0"/>
          <w:numId w:val="12"/>
        </w:numPr>
        <w:spacing w:after="240"/>
        <w:ind w:left="567" w:hanging="425"/>
        <w:jc w:val="both"/>
        <w:rPr>
          <w:rFonts w:cs="Arial"/>
          <w:szCs w:val="24"/>
        </w:rPr>
      </w:pPr>
      <w:r w:rsidRPr="00B3067F">
        <w:rPr>
          <w:rFonts w:cs="Arial"/>
          <w:szCs w:val="24"/>
        </w:rPr>
        <w:t xml:space="preserve">The Applicant is the holder of a licence issued under the </w:t>
      </w:r>
      <w:r w:rsidRPr="00B3067F">
        <w:rPr>
          <w:rFonts w:cs="Arial"/>
          <w:i/>
          <w:szCs w:val="24"/>
        </w:rPr>
        <w:t>Liquor Act</w:t>
      </w:r>
      <w:r w:rsidRPr="00B3067F">
        <w:rPr>
          <w:rFonts w:cs="Arial"/>
          <w:szCs w:val="24"/>
        </w:rPr>
        <w:t xml:space="preserve"> endorsed AUTHORITY – </w:t>
      </w:r>
      <w:r w:rsidR="007F4907">
        <w:rPr>
          <w:rFonts w:cs="Arial"/>
          <w:szCs w:val="24"/>
        </w:rPr>
        <w:t>TAVERN</w:t>
      </w:r>
      <w:r w:rsidRPr="00B3067F">
        <w:rPr>
          <w:rFonts w:cs="Arial"/>
          <w:szCs w:val="24"/>
        </w:rPr>
        <w:t xml:space="preserve"> (number 8</w:t>
      </w:r>
      <w:r w:rsidR="007F4907">
        <w:rPr>
          <w:rFonts w:cs="Arial"/>
          <w:szCs w:val="24"/>
        </w:rPr>
        <w:t>0317472</w:t>
      </w:r>
      <w:r w:rsidRPr="00B3067F">
        <w:rPr>
          <w:rFonts w:cs="Arial"/>
          <w:szCs w:val="24"/>
        </w:rPr>
        <w:t xml:space="preserve">), which is defined under section 3 of the Act as a </w:t>
      </w:r>
      <w:r w:rsidR="007F4907">
        <w:rPr>
          <w:rFonts w:cs="Arial"/>
          <w:szCs w:val="24"/>
        </w:rPr>
        <w:t>hotel</w:t>
      </w:r>
      <w:r w:rsidRPr="00B3067F">
        <w:rPr>
          <w:rFonts w:cs="Arial"/>
          <w:szCs w:val="24"/>
        </w:rPr>
        <w:t xml:space="preserve"> liquor licence.</w:t>
      </w:r>
      <w:r w:rsidR="00170AE4" w:rsidRPr="00170AE4">
        <w:rPr>
          <w:rFonts w:cs="Arial"/>
          <w:b/>
          <w:bCs/>
          <w:sz w:val="20"/>
        </w:rPr>
        <w:t xml:space="preserve"> </w:t>
      </w:r>
    </w:p>
    <w:p w:rsidR="0017294F" w:rsidRPr="00B3067F" w:rsidRDefault="0087091E"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Applicant currently holds </w:t>
      </w:r>
      <w:r w:rsidR="0017294F" w:rsidRPr="00B3067F">
        <w:rPr>
          <w:rFonts w:cs="Arial"/>
          <w:szCs w:val="24"/>
        </w:rPr>
        <w:t>Gaming Machine Licence N</w:t>
      </w:r>
      <w:r w:rsidRPr="00B3067F">
        <w:rPr>
          <w:rFonts w:cs="Arial"/>
          <w:szCs w:val="24"/>
        </w:rPr>
        <w:t xml:space="preserve">o. </w:t>
      </w:r>
      <w:r w:rsidR="0017294F" w:rsidRPr="00E30AA3">
        <w:rPr>
          <w:rFonts w:cs="Arial"/>
          <w:szCs w:val="24"/>
        </w:rPr>
        <w:t>GM</w:t>
      </w:r>
      <w:r w:rsidR="007F4907">
        <w:rPr>
          <w:rFonts w:cs="Arial"/>
          <w:szCs w:val="24"/>
        </w:rPr>
        <w:t>244</w:t>
      </w:r>
      <w:r w:rsidR="0017294F" w:rsidRPr="00B3067F">
        <w:rPr>
          <w:rFonts w:cs="Arial"/>
          <w:szCs w:val="24"/>
        </w:rPr>
        <w:t xml:space="preserve"> and is </w:t>
      </w:r>
      <w:r w:rsidR="003B7A67" w:rsidRPr="00B3067F">
        <w:rPr>
          <w:rFonts w:cs="Arial"/>
          <w:szCs w:val="24"/>
        </w:rPr>
        <w:t xml:space="preserve">seeking to </w:t>
      </w:r>
      <w:r w:rsidR="003B7A67" w:rsidRPr="00B3067F">
        <w:rPr>
          <w:rFonts w:cs="Arial"/>
          <w:szCs w:val="22"/>
        </w:rPr>
        <w:t>increase the number of gaming machines from its current level of</w:t>
      </w:r>
      <w:r w:rsidR="00AB2049">
        <w:rPr>
          <w:rFonts w:cs="Arial"/>
          <w:szCs w:val="22"/>
        </w:rPr>
        <w:t xml:space="preserve"> </w:t>
      </w:r>
      <w:r w:rsidR="007F4907">
        <w:rPr>
          <w:rFonts w:cs="Arial"/>
          <w:szCs w:val="22"/>
        </w:rPr>
        <w:t>ten</w:t>
      </w:r>
      <w:r w:rsidR="00936FCB">
        <w:rPr>
          <w:rFonts w:cs="Arial"/>
          <w:szCs w:val="22"/>
        </w:rPr>
        <w:t xml:space="preserve"> </w:t>
      </w:r>
      <w:r w:rsidR="003B7A67" w:rsidRPr="00B3067F">
        <w:rPr>
          <w:rFonts w:cs="Arial"/>
          <w:szCs w:val="22"/>
        </w:rPr>
        <w:t xml:space="preserve">to </w:t>
      </w:r>
      <w:r w:rsidR="007F4907">
        <w:rPr>
          <w:rFonts w:cs="Arial"/>
          <w:szCs w:val="22"/>
        </w:rPr>
        <w:t>20</w:t>
      </w:r>
      <w:r w:rsidR="003B7A67" w:rsidRPr="00B3067F">
        <w:rPr>
          <w:rFonts w:cs="Arial"/>
          <w:szCs w:val="22"/>
        </w:rPr>
        <w:t xml:space="preserve"> gaming machines.</w:t>
      </w:r>
    </w:p>
    <w:p w:rsidR="008A32EB" w:rsidRPr="00B3067F" w:rsidRDefault="008A32EB" w:rsidP="008A32EB">
      <w:pPr>
        <w:pStyle w:val="ListParagraph"/>
        <w:numPr>
          <w:ilvl w:val="0"/>
          <w:numId w:val="12"/>
        </w:numPr>
        <w:spacing w:after="240"/>
        <w:ind w:left="567" w:hanging="425"/>
        <w:jc w:val="both"/>
        <w:rPr>
          <w:rFonts w:cs="Arial"/>
          <w:szCs w:val="24"/>
        </w:rPr>
      </w:pPr>
      <w:r w:rsidRPr="00B3067F">
        <w:rPr>
          <w:rFonts w:cs="Arial"/>
          <w:szCs w:val="24"/>
        </w:rPr>
        <w:t xml:space="preserve">The application was accompanied by the prescribed application fee </w:t>
      </w:r>
      <w:r w:rsidR="007F4907">
        <w:rPr>
          <w:rFonts w:cs="Arial"/>
          <w:szCs w:val="24"/>
        </w:rPr>
        <w:t xml:space="preserve">and the prescribed levy for the additional </w:t>
      </w:r>
      <w:r w:rsidRPr="00B3067F">
        <w:rPr>
          <w:rFonts w:cs="Arial"/>
          <w:szCs w:val="24"/>
        </w:rPr>
        <w:t xml:space="preserve">gaming </w:t>
      </w:r>
      <w:r w:rsidR="00A31F5D">
        <w:rPr>
          <w:rFonts w:cs="Arial"/>
          <w:szCs w:val="24"/>
        </w:rPr>
        <w:t>machines.</w:t>
      </w:r>
    </w:p>
    <w:p w:rsidR="008A32EB" w:rsidRDefault="00D33764" w:rsidP="000F40A9">
      <w:pPr>
        <w:pStyle w:val="ListParagraph"/>
        <w:numPr>
          <w:ilvl w:val="0"/>
          <w:numId w:val="12"/>
        </w:numPr>
        <w:spacing w:after="240"/>
        <w:ind w:left="567" w:hanging="425"/>
        <w:jc w:val="both"/>
        <w:rPr>
          <w:rFonts w:cs="Arial"/>
          <w:szCs w:val="24"/>
        </w:rPr>
      </w:pPr>
      <w:r w:rsidRPr="00B3067F">
        <w:rPr>
          <w:rFonts w:cs="Arial"/>
          <w:szCs w:val="24"/>
        </w:rPr>
        <w:t xml:space="preserve">The application was </w:t>
      </w:r>
      <w:r w:rsidR="008A32EB" w:rsidRPr="00B3067F">
        <w:rPr>
          <w:rFonts w:cs="Arial"/>
          <w:szCs w:val="24"/>
        </w:rPr>
        <w:t xml:space="preserve">also accompanied by the </w:t>
      </w:r>
      <w:r w:rsidR="008A27E4" w:rsidRPr="00B3067F">
        <w:rPr>
          <w:rFonts w:cs="Arial"/>
          <w:szCs w:val="24"/>
        </w:rPr>
        <w:t>required</w:t>
      </w:r>
      <w:r w:rsidR="008A32EB" w:rsidRPr="00B3067F">
        <w:rPr>
          <w:rFonts w:cs="Arial"/>
          <w:szCs w:val="24"/>
        </w:rPr>
        <w:t xml:space="preserve"> </w:t>
      </w:r>
      <w:r w:rsidRPr="00B3067F">
        <w:rPr>
          <w:rFonts w:cs="Arial"/>
          <w:szCs w:val="24"/>
        </w:rPr>
        <w:t>Community Impact Analysis (“CIA”) prepared by DWS Hospitality Specialist</w:t>
      </w:r>
      <w:r w:rsidR="00CB7DC0" w:rsidRPr="00B3067F">
        <w:rPr>
          <w:rFonts w:cs="Arial"/>
          <w:szCs w:val="24"/>
        </w:rPr>
        <w:t>s</w:t>
      </w:r>
      <w:r w:rsidRPr="00B3067F">
        <w:rPr>
          <w:rFonts w:cs="Arial"/>
          <w:szCs w:val="24"/>
        </w:rPr>
        <w:t xml:space="preserve">.  </w:t>
      </w:r>
    </w:p>
    <w:p w:rsidR="00D55BBF" w:rsidRPr="00B3067F" w:rsidRDefault="00F6779E" w:rsidP="001A677D">
      <w:pPr>
        <w:pStyle w:val="Heading2"/>
      </w:pPr>
      <w:r>
        <w:lastRenderedPageBreak/>
        <w:t>Consideration</w:t>
      </w:r>
      <w:r w:rsidRPr="00B3067F">
        <w:t xml:space="preserve"> </w:t>
      </w:r>
      <w:r w:rsidR="00E07444" w:rsidRPr="00B3067F">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to</w:t>
      </w:r>
      <w:proofErr w:type="gramEnd"/>
      <w:r w:rsidRPr="00587446">
        <w:rPr>
          <w:rFonts w:ascii="Arial" w:hAnsi="Arial" w:cs="Arial"/>
          <w:i/>
          <w:sz w:val="22"/>
        </w:rPr>
        <w:t xml:space="preserve">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r>
      <w:proofErr w:type="gramStart"/>
      <w:r w:rsidRPr="00587446">
        <w:rPr>
          <w:rFonts w:ascii="Arial" w:hAnsi="Arial" w:cs="Arial"/>
          <w:i/>
          <w:sz w:val="22"/>
        </w:rPr>
        <w:t>if</w:t>
      </w:r>
      <w:proofErr w:type="gramEnd"/>
      <w:r w:rsidRPr="00587446">
        <w:rPr>
          <w:rFonts w:ascii="Arial" w:hAnsi="Arial" w:cs="Arial"/>
          <w:i/>
          <w:sz w:val="22"/>
        </w:rPr>
        <w:t xml:space="preserve">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w:t>
      </w:r>
      <w:proofErr w:type="spellStart"/>
      <w:proofErr w:type="gramStart"/>
      <w:r w:rsidRPr="00587446">
        <w:rPr>
          <w:rFonts w:ascii="Arial" w:hAnsi="Arial" w:cs="Arial"/>
          <w:i/>
          <w:sz w:val="22"/>
        </w:rPr>
        <w:t>ba</w:t>
      </w:r>
      <w:proofErr w:type="spellEnd"/>
      <w:proofErr w:type="gramEnd"/>
      <w:r w:rsidRPr="00587446">
        <w:rPr>
          <w:rFonts w:ascii="Arial" w:hAnsi="Arial" w:cs="Arial"/>
          <w:i/>
          <w:sz w:val="22"/>
        </w:rPr>
        <w:t>)</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r>
      <w:proofErr w:type="gramStart"/>
      <w:r w:rsidRPr="00587446">
        <w:rPr>
          <w:rFonts w:ascii="Arial" w:hAnsi="Arial" w:cs="Arial"/>
          <w:i/>
          <w:sz w:val="22"/>
        </w:rPr>
        <w:t>the</w:t>
      </w:r>
      <w:proofErr w:type="gramEnd"/>
      <w:r w:rsidRPr="00587446">
        <w:rPr>
          <w:rFonts w:ascii="Arial" w:hAnsi="Arial" w:cs="Arial"/>
          <w:i/>
          <w:sz w:val="22"/>
        </w:rPr>
        <w:t xml:space="preserv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r>
      <w:proofErr w:type="gramStart"/>
      <w:r w:rsidRPr="00587446">
        <w:rPr>
          <w:rFonts w:ascii="Arial" w:hAnsi="Arial" w:cs="Arial"/>
          <w:i/>
          <w:sz w:val="22"/>
        </w:rPr>
        <w:t>such</w:t>
      </w:r>
      <w:proofErr w:type="gramEnd"/>
      <w:r w:rsidRPr="00587446">
        <w:rPr>
          <w:rFonts w:ascii="Arial" w:hAnsi="Arial" w:cs="Arial"/>
          <w:i/>
          <w:sz w:val="22"/>
        </w:rPr>
        <w:t xml:space="preserve"> other matters as the Director-General considers are relevant.</w:t>
      </w:r>
    </w:p>
    <w:p w:rsidR="00F31EE1" w:rsidRPr="00F1351E" w:rsidRDefault="00F31EE1" w:rsidP="001A677D">
      <w:pPr>
        <w:pStyle w:val="Heading3"/>
      </w:pPr>
      <w:r w:rsidRPr="00F1351E">
        <w:t>Increased number of gaming machines</w:t>
      </w:r>
    </w:p>
    <w:p w:rsidR="00F76467" w:rsidRPr="00B3067F" w:rsidRDefault="003B7A67" w:rsidP="00E30AA3">
      <w:pPr>
        <w:pStyle w:val="ListParagraph"/>
        <w:numPr>
          <w:ilvl w:val="0"/>
          <w:numId w:val="12"/>
        </w:numPr>
        <w:spacing w:after="240"/>
        <w:ind w:left="567" w:hanging="425"/>
        <w:jc w:val="both"/>
        <w:rPr>
          <w:rFonts w:cs="Arial"/>
          <w:szCs w:val="22"/>
        </w:rPr>
      </w:pPr>
      <w:r w:rsidRPr="00655618">
        <w:rPr>
          <w:rFonts w:cs="Arial"/>
          <w:szCs w:val="22"/>
        </w:rPr>
        <w:t>T</w:t>
      </w:r>
      <w:r w:rsidR="00F76467" w:rsidRPr="00655618">
        <w:rPr>
          <w:rFonts w:cs="Arial"/>
          <w:szCs w:val="22"/>
        </w:rPr>
        <w:t xml:space="preserve">he Applicant seeks to increase the number of gaming machines from its current level of </w:t>
      </w:r>
      <w:r w:rsidR="007F4907">
        <w:rPr>
          <w:rFonts w:cs="Arial"/>
          <w:szCs w:val="22"/>
        </w:rPr>
        <w:t>ten</w:t>
      </w:r>
      <w:r w:rsidR="00F76467" w:rsidRPr="00655618">
        <w:rPr>
          <w:rFonts w:cs="Arial"/>
          <w:szCs w:val="22"/>
        </w:rPr>
        <w:t xml:space="preserve"> to </w:t>
      </w:r>
      <w:r w:rsidR="007F4907">
        <w:rPr>
          <w:rFonts w:cs="Arial"/>
          <w:szCs w:val="22"/>
        </w:rPr>
        <w:t>20</w:t>
      </w:r>
      <w:r w:rsidR="00F76467" w:rsidRPr="00655618">
        <w:rPr>
          <w:rFonts w:cs="Arial"/>
          <w:szCs w:val="22"/>
        </w:rPr>
        <w:t xml:space="preserve"> gaming machines, an increase of </w:t>
      </w:r>
      <w:r w:rsidRPr="00655618">
        <w:rPr>
          <w:rFonts w:cs="Arial"/>
          <w:szCs w:val="22"/>
        </w:rPr>
        <w:t>ten</w:t>
      </w:r>
      <w:r w:rsidR="00F76467" w:rsidRPr="00B3067F">
        <w:rPr>
          <w:rFonts w:cs="Arial"/>
          <w:szCs w:val="22"/>
        </w:rPr>
        <w:t xml:space="preserve"> gaming machines.</w:t>
      </w:r>
      <w:r w:rsidR="007F4907">
        <w:rPr>
          <w:rFonts w:cs="Arial"/>
          <w:szCs w:val="22"/>
        </w:rPr>
        <w:t xml:space="preserve"> </w:t>
      </w:r>
    </w:p>
    <w:p w:rsidR="00F76467" w:rsidRPr="00B3067F" w:rsidRDefault="00F76467" w:rsidP="00E30AA3">
      <w:pPr>
        <w:pStyle w:val="ListParagraph"/>
        <w:numPr>
          <w:ilvl w:val="0"/>
          <w:numId w:val="12"/>
        </w:numPr>
        <w:spacing w:after="240"/>
        <w:ind w:left="567" w:hanging="425"/>
        <w:jc w:val="both"/>
        <w:rPr>
          <w:rFonts w:cs="Arial"/>
          <w:szCs w:val="22"/>
        </w:rPr>
      </w:pPr>
      <w:r w:rsidRPr="00B3067F">
        <w:rPr>
          <w:rFonts w:cs="Arial"/>
          <w:szCs w:val="22"/>
        </w:rPr>
        <w:t xml:space="preserve">The Applicant currently holds </w:t>
      </w:r>
      <w:r w:rsidRPr="00E30AA3">
        <w:rPr>
          <w:rFonts w:cs="Arial"/>
          <w:szCs w:val="22"/>
        </w:rPr>
        <w:t>Gaming Machine Licence No. GM</w:t>
      </w:r>
      <w:r w:rsidR="007F4907">
        <w:rPr>
          <w:rFonts w:cs="Arial"/>
          <w:szCs w:val="22"/>
        </w:rPr>
        <w:t>244</w:t>
      </w:r>
      <w:r w:rsidRPr="00B3067F">
        <w:rPr>
          <w:rFonts w:cs="Arial"/>
          <w:szCs w:val="22"/>
        </w:rPr>
        <w:t>.</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7F4907">
        <w:rPr>
          <w:rFonts w:cs="Arial"/>
          <w:szCs w:val="22"/>
        </w:rPr>
        <w:t xml:space="preserve">for </w:t>
      </w:r>
      <w:r w:rsidR="00090245" w:rsidRPr="00B3067F">
        <w:rPr>
          <w:rFonts w:cs="Arial"/>
          <w:szCs w:val="22"/>
        </w:rPr>
        <w:t xml:space="preserve">Category </w:t>
      </w:r>
      <w:r w:rsidR="007F4907">
        <w:rPr>
          <w:rFonts w:cs="Arial"/>
          <w:szCs w:val="22"/>
        </w:rPr>
        <w:t>1</w:t>
      </w:r>
      <w:r w:rsidR="00090245" w:rsidRPr="00B3067F">
        <w:rPr>
          <w:rFonts w:cs="Arial"/>
          <w:szCs w:val="22"/>
        </w:rPr>
        <w:t xml:space="preserve"> licensed premise</w:t>
      </w:r>
      <w:r w:rsidR="007F4907">
        <w:rPr>
          <w:rFonts w:cs="Arial"/>
          <w:szCs w:val="22"/>
        </w:rPr>
        <w:t>s</w:t>
      </w:r>
      <w:r w:rsidR="00090245" w:rsidRPr="00B3067F">
        <w:rPr>
          <w:rFonts w:cs="Arial"/>
          <w:szCs w:val="22"/>
        </w:rPr>
        <w:t xml:space="preserve"> </w:t>
      </w:r>
      <w:r w:rsidRPr="00B3067F">
        <w:rPr>
          <w:rFonts w:cs="Arial"/>
          <w:szCs w:val="22"/>
        </w:rPr>
        <w:t xml:space="preserve">at </w:t>
      </w:r>
      <w:r w:rsidR="007F4907">
        <w:rPr>
          <w:rFonts w:cs="Arial"/>
          <w:szCs w:val="22"/>
        </w:rPr>
        <w:t>20</w:t>
      </w:r>
      <w:r w:rsidR="00090245" w:rsidRPr="00B3067F">
        <w:rPr>
          <w:rFonts w:cs="Arial"/>
          <w:szCs w:val="22"/>
        </w:rPr>
        <w:t xml:space="preserve">.  As the Applicant </w:t>
      </w:r>
      <w:r w:rsidR="00090245" w:rsidRPr="00B3067F">
        <w:rPr>
          <w:rFonts w:cs="Arial"/>
          <w:szCs w:val="24"/>
        </w:rPr>
        <w:t xml:space="preserve">is the holder of a licence issued under the </w:t>
      </w:r>
      <w:r w:rsidR="00090245" w:rsidRPr="00B3067F">
        <w:rPr>
          <w:rFonts w:cs="Arial"/>
          <w:i/>
          <w:szCs w:val="24"/>
        </w:rPr>
        <w:t>Liquor Act</w:t>
      </w:r>
      <w:r w:rsidR="00090245" w:rsidRPr="00B3067F">
        <w:rPr>
          <w:rFonts w:cs="Arial"/>
          <w:szCs w:val="24"/>
        </w:rPr>
        <w:t xml:space="preserve"> endorsed AUTHORITY – </w:t>
      </w:r>
      <w:r w:rsidR="007F4907">
        <w:rPr>
          <w:rFonts w:cs="Arial"/>
          <w:szCs w:val="24"/>
        </w:rPr>
        <w:t>TAVERN</w:t>
      </w:r>
      <w:r w:rsidR="00090245" w:rsidRPr="00B3067F">
        <w:rPr>
          <w:rFonts w:cs="Arial"/>
          <w:szCs w:val="24"/>
        </w:rPr>
        <w:t xml:space="preserve">, which is defined under section 3 of the Act as a </w:t>
      </w:r>
      <w:r w:rsidR="00A31F5D">
        <w:rPr>
          <w:rFonts w:cs="Arial"/>
          <w:szCs w:val="24"/>
        </w:rPr>
        <w:t>club</w:t>
      </w:r>
      <w:r w:rsidR="00090245" w:rsidRPr="00B3067F">
        <w:rPr>
          <w:rFonts w:cs="Arial"/>
          <w:szCs w:val="24"/>
        </w:rPr>
        <w:t xml:space="preserve"> li</w:t>
      </w:r>
      <w:r w:rsidR="0086745F" w:rsidRPr="00B3067F">
        <w:rPr>
          <w:rFonts w:cs="Arial"/>
          <w:szCs w:val="24"/>
        </w:rPr>
        <w:t>quor licence, the premises are considered to be Category 1 licensed premise</w:t>
      </w:r>
      <w:r w:rsidR="007F4907">
        <w:rPr>
          <w:rFonts w:cs="Arial"/>
          <w:szCs w:val="24"/>
        </w:rPr>
        <w:t>s</w:t>
      </w:r>
      <w:r w:rsidR="0086745F" w:rsidRPr="00B3067F">
        <w:rPr>
          <w:rFonts w:cs="Arial"/>
          <w:szCs w:val="24"/>
        </w:rPr>
        <w:t xml:space="preserve"> pursuant to 2</w:t>
      </w:r>
      <w:r w:rsidR="00E30AA3">
        <w:rPr>
          <w:rFonts w:cs="Arial"/>
          <w:szCs w:val="24"/>
        </w:rPr>
        <w:t>(2)</w:t>
      </w:r>
      <w:r w:rsidR="0086745F" w:rsidRPr="00B3067F">
        <w:rPr>
          <w:rFonts w:cs="Arial"/>
          <w:szCs w:val="24"/>
        </w:rPr>
        <w:t>(</w:t>
      </w:r>
      <w:r w:rsidR="00A31F5D">
        <w:rPr>
          <w:rFonts w:cs="Arial"/>
          <w:szCs w:val="24"/>
        </w:rPr>
        <w:t>b</w:t>
      </w:r>
      <w:r w:rsidR="0086745F" w:rsidRPr="00B3067F">
        <w:rPr>
          <w:rFonts w:cs="Arial"/>
          <w:szCs w:val="24"/>
        </w:rPr>
        <w:t>) of the Regulations.</w:t>
      </w:r>
    </w:p>
    <w:p w:rsidR="00090245" w:rsidRPr="00B3067F" w:rsidRDefault="0086745F" w:rsidP="003B7A67">
      <w:pPr>
        <w:pStyle w:val="ListParagraph"/>
        <w:numPr>
          <w:ilvl w:val="0"/>
          <w:numId w:val="12"/>
        </w:numPr>
        <w:spacing w:after="120"/>
        <w:ind w:left="567" w:hanging="425"/>
        <w:jc w:val="both"/>
        <w:rPr>
          <w:rFonts w:cs="Arial"/>
          <w:szCs w:val="22"/>
        </w:rPr>
      </w:pPr>
      <w:r w:rsidRPr="00B3067F">
        <w:rPr>
          <w:rFonts w:cs="Arial"/>
          <w:szCs w:val="22"/>
        </w:rPr>
        <w:t xml:space="preserve">As such, the Applicant is able to apply for an increase of </w:t>
      </w:r>
      <w:r w:rsidR="007F4907">
        <w:rPr>
          <w:rFonts w:cs="Arial"/>
          <w:szCs w:val="22"/>
        </w:rPr>
        <w:t>ten</w:t>
      </w:r>
      <w:r w:rsidRPr="00B3067F">
        <w:rPr>
          <w:rFonts w:cs="Arial"/>
          <w:szCs w:val="22"/>
        </w:rPr>
        <w:t xml:space="preserve"> gaming machines and if granted, </w:t>
      </w:r>
      <w:r w:rsidR="006B4310" w:rsidRPr="00B3067F">
        <w:rPr>
          <w:rFonts w:cs="Arial"/>
          <w:szCs w:val="22"/>
        </w:rPr>
        <w:t xml:space="preserve">I am satisfied that </w:t>
      </w:r>
      <w:r w:rsidRPr="00B3067F">
        <w:rPr>
          <w:rFonts w:cs="Arial"/>
          <w:szCs w:val="22"/>
        </w:rPr>
        <w:t xml:space="preserve">the number of gaming machines on the premises would be within the statutory limit of </w:t>
      </w:r>
      <w:r w:rsidR="007F4907">
        <w:rPr>
          <w:rFonts w:cs="Arial"/>
          <w:szCs w:val="22"/>
        </w:rPr>
        <w:t>20</w:t>
      </w:r>
      <w:r w:rsidRPr="00B3067F">
        <w:rPr>
          <w:rFonts w:cs="Arial"/>
          <w:szCs w:val="22"/>
        </w:rPr>
        <w:t xml:space="preserve"> gaming machines.</w:t>
      </w:r>
    </w:p>
    <w:p w:rsidR="00F31EE1" w:rsidRPr="001A677D" w:rsidRDefault="00F31EE1" w:rsidP="001A677D">
      <w:pPr>
        <w:pStyle w:val="Heading3"/>
      </w:pPr>
      <w:r w:rsidRPr="001A677D">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587446">
      <w:pPr>
        <w:pStyle w:val="ListParagraph"/>
        <w:keepNext/>
        <w:spacing w:after="120"/>
        <w:ind w:left="992" w:hanging="425"/>
        <w:jc w:val="both"/>
        <w:rPr>
          <w:rFonts w:cs="Arial"/>
          <w:i/>
          <w:szCs w:val="24"/>
        </w:rPr>
      </w:pPr>
      <w:r w:rsidRPr="00655618">
        <w:rPr>
          <w:rFonts w:cs="Arial"/>
          <w:szCs w:val="24"/>
        </w:rPr>
        <w:t>(a)</w:t>
      </w:r>
      <w:r w:rsidRPr="00655618">
        <w:rPr>
          <w:rFonts w:cs="Arial"/>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size, layout and facilities of the premises; </w:t>
      </w:r>
    </w:p>
    <w:p w:rsidR="006400D3" w:rsidRPr="00655618" w:rsidRDefault="006400D3" w:rsidP="00587446">
      <w:pPr>
        <w:pStyle w:val="ListParagraph"/>
        <w:spacing w:after="120"/>
        <w:ind w:left="993" w:hanging="426"/>
        <w:jc w:val="both"/>
        <w:rPr>
          <w:rFonts w:cs="Arial"/>
          <w:i/>
          <w:szCs w:val="24"/>
        </w:rPr>
      </w:pPr>
      <w:r w:rsidRPr="00655618">
        <w:rPr>
          <w:rFonts w:cs="Arial"/>
          <w:i/>
          <w:szCs w:val="24"/>
        </w:rPr>
        <w:t>(b)</w:t>
      </w:r>
      <w:r w:rsidRPr="00655618">
        <w:rPr>
          <w:rFonts w:cs="Arial"/>
          <w:i/>
          <w:szCs w:val="24"/>
        </w:rPr>
        <w:tab/>
      </w:r>
      <w:proofErr w:type="gramStart"/>
      <w:r w:rsidRPr="00655618">
        <w:rPr>
          <w:rFonts w:cs="Arial"/>
          <w:i/>
          <w:szCs w:val="24"/>
        </w:rPr>
        <w:t>the</w:t>
      </w:r>
      <w:proofErr w:type="gramEnd"/>
      <w:r w:rsidRPr="00655618">
        <w:rPr>
          <w:rFonts w:cs="Arial"/>
          <w:i/>
          <w:szCs w:val="24"/>
        </w:rPr>
        <w:t xml:space="preserve"> suitability of the premises to which the application relates having regard to the primary activity conducted at the premises;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lastRenderedPageBreak/>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587446">
      <w:pPr>
        <w:pStyle w:val="ListParagraph"/>
        <w:spacing w:after="120"/>
        <w:ind w:left="993" w:hanging="426"/>
        <w:jc w:val="both"/>
        <w:rPr>
          <w:rFonts w:cs="Arial"/>
          <w:i/>
          <w:szCs w:val="24"/>
        </w:rPr>
      </w:pPr>
      <w:r w:rsidRPr="00B3067F">
        <w:rPr>
          <w:rFonts w:cs="Arial"/>
          <w:i/>
          <w:szCs w:val="24"/>
        </w:rPr>
        <w:t>(d)</w:t>
      </w:r>
      <w:r w:rsidRPr="00B3067F">
        <w:rPr>
          <w:rFonts w:cs="Arial"/>
          <w:i/>
          <w:szCs w:val="24"/>
        </w:rPr>
        <w:tab/>
      </w:r>
      <w:proofErr w:type="gramStart"/>
      <w:r w:rsidRPr="00B3067F">
        <w:rPr>
          <w:rFonts w:cs="Arial"/>
          <w:i/>
          <w:szCs w:val="24"/>
        </w:rPr>
        <w:t>the</w:t>
      </w:r>
      <w:proofErr w:type="gramEnd"/>
      <w:r w:rsidRPr="00B3067F">
        <w:rPr>
          <w:rFonts w:cs="Arial"/>
          <w:i/>
          <w:szCs w:val="24"/>
        </w:rPr>
        <w:t xml:space="preserve"> appropriateness of problem gambling risk management and responsible gambling strategies;</w:t>
      </w:r>
    </w:p>
    <w:p w:rsidR="006400D3" w:rsidRPr="00B3067F" w:rsidRDefault="006400D3" w:rsidP="006400D3">
      <w:pPr>
        <w:pStyle w:val="ListParagraph"/>
        <w:spacing w:after="240"/>
        <w:ind w:left="993" w:hanging="426"/>
        <w:jc w:val="both"/>
        <w:rPr>
          <w:rFonts w:cs="Arial"/>
          <w:i/>
          <w:szCs w:val="24"/>
        </w:rPr>
      </w:pPr>
      <w:r w:rsidRPr="00B3067F">
        <w:rPr>
          <w:rFonts w:cs="Arial"/>
          <w:i/>
          <w:szCs w:val="24"/>
        </w:rPr>
        <w:t>(e)</w:t>
      </w:r>
      <w:r w:rsidRPr="00B3067F">
        <w:rPr>
          <w:rFonts w:cs="Arial"/>
          <w:i/>
          <w:szCs w:val="24"/>
        </w:rPr>
        <w:tab/>
      </w:r>
      <w:proofErr w:type="gramStart"/>
      <w:r w:rsidRPr="00B3067F">
        <w:rPr>
          <w:rFonts w:cs="Arial"/>
          <w:i/>
          <w:szCs w:val="24"/>
        </w:rPr>
        <w:t>economic</w:t>
      </w:r>
      <w:proofErr w:type="gramEnd"/>
      <w:r w:rsidRPr="00B3067F">
        <w:rPr>
          <w:rFonts w:cs="Arial"/>
          <w:i/>
          <w:szCs w:val="24"/>
        </w:rPr>
        <w:t xml:space="preserve"> impact of the proposal including contribution to the community, employment creation and significance or reliance of the venue to or on tourism.</w:t>
      </w:r>
    </w:p>
    <w:p w:rsidR="006B4310" w:rsidRPr="00587446" w:rsidRDefault="006B4310" w:rsidP="001A677D">
      <w:pPr>
        <w:pStyle w:val="Heading4"/>
        <w:rPr>
          <w:rStyle w:val="Emphasis"/>
          <w:b w:val="0"/>
          <w:i w:val="0"/>
          <w:szCs w:val="24"/>
        </w:rPr>
      </w:pPr>
      <w:r w:rsidRPr="00587446">
        <w:rPr>
          <w:rStyle w:val="Emphasis"/>
          <w:i w:val="0"/>
          <w:szCs w:val="24"/>
        </w:rPr>
        <w:t>Suitability of Premises</w:t>
      </w:r>
      <w:r w:rsidR="004732FE" w:rsidRPr="00587446">
        <w:rPr>
          <w:rStyle w:val="Emphasis"/>
          <w:i w:val="0"/>
          <w:szCs w:val="24"/>
        </w:rPr>
        <w:t xml:space="preserve"> – size, layout and facilities</w:t>
      </w:r>
    </w:p>
    <w:p w:rsidR="006B4310" w:rsidRDefault="006B4310" w:rsidP="00587446">
      <w:pPr>
        <w:pStyle w:val="ListParagraph"/>
        <w:numPr>
          <w:ilvl w:val="0"/>
          <w:numId w:val="12"/>
        </w:numPr>
        <w:spacing w:after="240"/>
        <w:ind w:left="567" w:hanging="425"/>
        <w:jc w:val="both"/>
        <w:rPr>
          <w:rFonts w:cs="Arial"/>
          <w:szCs w:val="22"/>
        </w:rPr>
      </w:pPr>
      <w:r w:rsidRPr="00655618">
        <w:rPr>
          <w:rFonts w:cs="Arial"/>
          <w:szCs w:val="22"/>
        </w:rPr>
        <w:t xml:space="preserve">Information contained </w:t>
      </w:r>
      <w:r w:rsidR="00170AE4">
        <w:rPr>
          <w:rFonts w:cs="Arial"/>
          <w:szCs w:val="22"/>
        </w:rPr>
        <w:t xml:space="preserve">within </w:t>
      </w:r>
      <w:r w:rsidRPr="00655618">
        <w:rPr>
          <w:rFonts w:cs="Arial"/>
          <w:szCs w:val="22"/>
        </w:rPr>
        <w:t xml:space="preserve">the CIA indicates that the current </w:t>
      </w:r>
      <w:r w:rsidR="00323ACA">
        <w:rPr>
          <w:rFonts w:cs="Arial"/>
          <w:szCs w:val="22"/>
        </w:rPr>
        <w:t xml:space="preserve">gaming area occupies </w:t>
      </w:r>
      <w:r w:rsidR="007F4907">
        <w:rPr>
          <w:rFonts w:cs="Arial"/>
          <w:szCs w:val="22"/>
        </w:rPr>
        <w:t>10</w:t>
      </w:r>
      <w:r w:rsidR="00323ACA">
        <w:rPr>
          <w:rFonts w:cs="Arial"/>
          <w:szCs w:val="22"/>
        </w:rPr>
        <w:t>% of the total floor space</w:t>
      </w:r>
      <w:proofErr w:type="gramStart"/>
      <w:r w:rsidRPr="00655618">
        <w:rPr>
          <w:rFonts w:cs="Arial"/>
          <w:szCs w:val="22"/>
        </w:rPr>
        <w:t xml:space="preserve">.  </w:t>
      </w:r>
      <w:proofErr w:type="gramEnd"/>
      <w:r w:rsidRPr="00655618">
        <w:rPr>
          <w:rFonts w:cs="Arial"/>
          <w:szCs w:val="22"/>
        </w:rPr>
        <w:t xml:space="preserve">The CIA states </w:t>
      </w:r>
      <w:r w:rsidR="007F4907">
        <w:rPr>
          <w:rFonts w:cs="Arial"/>
          <w:szCs w:val="22"/>
        </w:rPr>
        <w:t>if approved the additional gaming machines will result in the gaming area being 12% of the overall footprint of the premises</w:t>
      </w:r>
      <w:r w:rsidR="00323ACA">
        <w:rPr>
          <w:rFonts w:cs="Arial"/>
          <w:szCs w:val="22"/>
        </w:rPr>
        <w:t>.</w:t>
      </w:r>
      <w:r w:rsidR="007F4907">
        <w:rPr>
          <w:rFonts w:cs="Arial"/>
          <w:szCs w:val="22"/>
        </w:rPr>
        <w:t xml:space="preserve">  The Applicant is leasing the vacant adjoining tenancy</w:t>
      </w:r>
      <w:r w:rsidR="00D46F15">
        <w:rPr>
          <w:rFonts w:cs="Arial"/>
          <w:szCs w:val="22"/>
        </w:rPr>
        <w:t xml:space="preserve"> and converting this into the gaming area for all 20 machines.</w:t>
      </w:r>
    </w:p>
    <w:p w:rsidR="00D46F15" w:rsidRPr="00B3067F" w:rsidRDefault="00D46F15" w:rsidP="00587446">
      <w:pPr>
        <w:pStyle w:val="ListParagraph"/>
        <w:numPr>
          <w:ilvl w:val="0"/>
          <w:numId w:val="12"/>
        </w:numPr>
        <w:spacing w:after="240"/>
        <w:ind w:left="567" w:hanging="425"/>
        <w:jc w:val="both"/>
        <w:rPr>
          <w:rFonts w:cs="Arial"/>
          <w:szCs w:val="22"/>
        </w:rPr>
      </w:pPr>
      <w:r>
        <w:rPr>
          <w:rFonts w:cs="Arial"/>
          <w:szCs w:val="22"/>
        </w:rPr>
        <w:t xml:space="preserve">The overall </w:t>
      </w:r>
      <w:r w:rsidR="00936FCB">
        <w:rPr>
          <w:rFonts w:cs="Arial"/>
          <w:szCs w:val="22"/>
        </w:rPr>
        <w:t>premises are</w:t>
      </w:r>
      <w:r>
        <w:rPr>
          <w:rFonts w:cs="Arial"/>
          <w:szCs w:val="22"/>
        </w:rPr>
        <w:t xml:space="preserve"> the subject of a substantial plan for re-development.  This is yet to be finalised and lodged with the department for approval.  The additional </w:t>
      </w:r>
      <w:r w:rsidR="00936FCB">
        <w:rPr>
          <w:rFonts w:cs="Arial"/>
          <w:szCs w:val="22"/>
        </w:rPr>
        <w:t>machines are</w:t>
      </w:r>
      <w:r>
        <w:rPr>
          <w:rFonts w:cs="Arial"/>
          <w:szCs w:val="22"/>
        </w:rPr>
        <w:t xml:space="preserve"> part of this overall concept.</w:t>
      </w:r>
    </w:p>
    <w:p w:rsidR="004732FE" w:rsidRPr="00587446" w:rsidRDefault="004732FE" w:rsidP="001A677D">
      <w:pPr>
        <w:pStyle w:val="Heading4"/>
        <w:rPr>
          <w:rStyle w:val="Emphasis"/>
          <w:b w:val="0"/>
          <w:i w:val="0"/>
        </w:rPr>
      </w:pPr>
      <w:r w:rsidRPr="00587446">
        <w:rPr>
          <w:rStyle w:val="Emphasis"/>
          <w:i w:val="0"/>
        </w:rPr>
        <w:t>Suitability of Premises – primary activity</w:t>
      </w:r>
    </w:p>
    <w:p w:rsidR="00AA7967"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w:t>
      </w:r>
      <w:r w:rsidR="00AA7967">
        <w:rPr>
          <w:rFonts w:cs="Arial"/>
          <w:szCs w:val="22"/>
        </w:rPr>
        <w:t xml:space="preserve">there is a mix of facilities at the venue including </w:t>
      </w:r>
      <w:r w:rsidR="00D46F15">
        <w:rPr>
          <w:rFonts w:cs="Arial"/>
          <w:szCs w:val="22"/>
        </w:rPr>
        <w:t>a Bar, restaurant, outdoor dining, gaming machines as well as KENO and TAB.</w:t>
      </w:r>
    </w:p>
    <w:p w:rsidR="004732FE" w:rsidRPr="00B3067F" w:rsidRDefault="00AA7967" w:rsidP="00587446">
      <w:pPr>
        <w:pStyle w:val="ListParagraph"/>
        <w:numPr>
          <w:ilvl w:val="0"/>
          <w:numId w:val="12"/>
        </w:numPr>
        <w:spacing w:after="240"/>
        <w:ind w:left="567" w:hanging="425"/>
        <w:jc w:val="both"/>
        <w:rPr>
          <w:rFonts w:cs="Arial"/>
          <w:szCs w:val="22"/>
        </w:rPr>
      </w:pPr>
      <w:r>
        <w:rPr>
          <w:rFonts w:cs="Arial"/>
          <w:szCs w:val="22"/>
        </w:rPr>
        <w:t xml:space="preserve">The CIA </w:t>
      </w:r>
      <w:r w:rsidR="001167CD">
        <w:rPr>
          <w:rFonts w:cs="Arial"/>
          <w:szCs w:val="22"/>
        </w:rPr>
        <w:t>provides information regarding the venue’s financial performance.  In 201</w:t>
      </w:r>
      <w:r w:rsidR="005704CB">
        <w:rPr>
          <w:rFonts w:cs="Arial"/>
          <w:szCs w:val="22"/>
        </w:rPr>
        <w:t>4</w:t>
      </w:r>
      <w:r w:rsidR="001167CD">
        <w:rPr>
          <w:rFonts w:cs="Arial"/>
          <w:szCs w:val="22"/>
        </w:rPr>
        <w:t xml:space="preserve"> the total revenue was $</w:t>
      </w:r>
      <w:r w:rsidR="005704CB">
        <w:rPr>
          <w:rFonts w:cs="Arial"/>
          <w:szCs w:val="22"/>
        </w:rPr>
        <w:t>2.5</w:t>
      </w:r>
      <w:r w:rsidR="001167CD">
        <w:rPr>
          <w:rFonts w:cs="Arial"/>
          <w:szCs w:val="22"/>
        </w:rPr>
        <w:t>M with a net profit of $</w:t>
      </w:r>
      <w:r w:rsidR="005704CB">
        <w:rPr>
          <w:rFonts w:cs="Arial"/>
          <w:szCs w:val="22"/>
        </w:rPr>
        <w:t>420K</w:t>
      </w:r>
      <w:r w:rsidR="001167CD">
        <w:rPr>
          <w:rFonts w:cs="Arial"/>
          <w:szCs w:val="22"/>
        </w:rPr>
        <w:t>.  This has s</w:t>
      </w:r>
      <w:r w:rsidR="005704CB">
        <w:rPr>
          <w:rFonts w:cs="Arial"/>
          <w:szCs w:val="22"/>
        </w:rPr>
        <w:t>lightly</w:t>
      </w:r>
      <w:r w:rsidR="001167CD">
        <w:rPr>
          <w:rFonts w:cs="Arial"/>
          <w:szCs w:val="22"/>
        </w:rPr>
        <w:t xml:space="preserve"> risen in 2015 with total revenue in excess of $</w:t>
      </w:r>
      <w:r w:rsidR="005704CB">
        <w:rPr>
          <w:rFonts w:cs="Arial"/>
          <w:szCs w:val="22"/>
        </w:rPr>
        <w:t>2.8</w:t>
      </w:r>
      <w:r w:rsidR="001167CD">
        <w:rPr>
          <w:rFonts w:cs="Arial"/>
          <w:szCs w:val="22"/>
        </w:rPr>
        <w:t>M returning</w:t>
      </w:r>
      <w:r w:rsidR="005704CB">
        <w:rPr>
          <w:rFonts w:cs="Arial"/>
          <w:szCs w:val="22"/>
        </w:rPr>
        <w:t xml:space="preserve"> a slightly lower $320K</w:t>
      </w:r>
      <w:r w:rsidR="001167CD">
        <w:rPr>
          <w:rFonts w:cs="Arial"/>
          <w:szCs w:val="22"/>
        </w:rPr>
        <w:t xml:space="preserve">.  </w:t>
      </w:r>
      <w:r w:rsidR="005704CB">
        <w:rPr>
          <w:rFonts w:cs="Arial"/>
          <w:szCs w:val="22"/>
        </w:rPr>
        <w:t>The reports suggest annually gaming is approximately 33% of revenue and the remainder is effectively split equally between food and beverage sales.</w:t>
      </w:r>
    </w:p>
    <w:p w:rsidR="004732FE" w:rsidRPr="00B3067F" w:rsidRDefault="005704CB" w:rsidP="00587446">
      <w:pPr>
        <w:pStyle w:val="ListParagraph"/>
        <w:numPr>
          <w:ilvl w:val="0"/>
          <w:numId w:val="12"/>
        </w:numPr>
        <w:spacing w:after="240"/>
        <w:ind w:left="567" w:hanging="425"/>
        <w:jc w:val="both"/>
        <w:rPr>
          <w:rFonts w:cs="Arial"/>
          <w:szCs w:val="22"/>
        </w:rPr>
      </w:pPr>
      <w:r>
        <w:rPr>
          <w:rFonts w:cs="Arial"/>
          <w:szCs w:val="22"/>
        </w:rPr>
        <w:t xml:space="preserve">The CIA predicts gaming will increase and account for approximately 39% of </w:t>
      </w:r>
      <w:proofErr w:type="spellStart"/>
      <w:r>
        <w:rPr>
          <w:rFonts w:cs="Arial"/>
          <w:szCs w:val="22"/>
        </w:rPr>
        <w:t>recenue</w:t>
      </w:r>
      <w:proofErr w:type="spellEnd"/>
      <w:r>
        <w:rPr>
          <w:rFonts w:cs="Arial"/>
          <w:szCs w:val="22"/>
        </w:rPr>
        <w:t xml:space="preserve"> by 2019 with gross revenue expected to reach $3.9M.</w:t>
      </w:r>
    </w:p>
    <w:p w:rsidR="00AE2A72" w:rsidRDefault="00FB31AE" w:rsidP="001A677D">
      <w:pPr>
        <w:pStyle w:val="Heading4"/>
        <w:rPr>
          <w:rStyle w:val="Emphasis"/>
          <w:b w:val="0"/>
          <w:i w:val="0"/>
        </w:rPr>
      </w:pPr>
      <w:r w:rsidRPr="00587446">
        <w:rPr>
          <w:rStyle w:val="Emphasis"/>
          <w:i w:val="0"/>
        </w:rPr>
        <w:t xml:space="preserve">Suitability of Location - population of local area, proximity to other gaming venues and proximity to sensitive areas </w:t>
      </w:r>
    </w:p>
    <w:p w:rsidR="008934B6" w:rsidRDefault="00AE2A72" w:rsidP="00AE2A72">
      <w:pPr>
        <w:pStyle w:val="ListParagraph"/>
        <w:spacing w:after="120"/>
        <w:ind w:left="567" w:hanging="425"/>
        <w:jc w:val="both"/>
        <w:rPr>
          <w:rFonts w:cs="Arial"/>
          <w:szCs w:val="22"/>
        </w:rPr>
      </w:pPr>
      <w:r w:rsidRPr="00AE2A72">
        <w:rPr>
          <w:rStyle w:val="Emphasis"/>
          <w:i w:val="0"/>
        </w:rPr>
        <w:t>20</w:t>
      </w:r>
      <w:r>
        <w:rPr>
          <w:rStyle w:val="Emphasis"/>
          <w:b/>
          <w:i w:val="0"/>
        </w:rPr>
        <w:t>.</w:t>
      </w:r>
      <w:r>
        <w:rPr>
          <w:rStyle w:val="Emphasis"/>
          <w:b/>
          <w:i w:val="0"/>
        </w:rPr>
        <w:tab/>
      </w:r>
      <w:r w:rsidR="008934B6" w:rsidRPr="00B3067F">
        <w:rPr>
          <w:rFonts w:cs="Arial"/>
          <w:szCs w:val="22"/>
        </w:rPr>
        <w:t>The Local Community Area (</w:t>
      </w:r>
      <w:r w:rsidR="008934B6">
        <w:rPr>
          <w:rFonts w:cs="Arial"/>
          <w:szCs w:val="22"/>
        </w:rPr>
        <w:t>“</w:t>
      </w:r>
      <w:r w:rsidR="008934B6" w:rsidRPr="00B3067F">
        <w:rPr>
          <w:rFonts w:cs="Arial"/>
          <w:szCs w:val="22"/>
        </w:rPr>
        <w:t>LCA</w:t>
      </w:r>
      <w:r w:rsidR="008934B6">
        <w:rPr>
          <w:rFonts w:cs="Arial"/>
          <w:szCs w:val="22"/>
        </w:rPr>
        <w:t>”</w:t>
      </w:r>
      <w:r w:rsidR="008934B6" w:rsidRPr="00B3067F">
        <w:rPr>
          <w:rFonts w:cs="Arial"/>
          <w:szCs w:val="22"/>
        </w:rPr>
        <w:t xml:space="preserve">) agreed to with Licensing NT for use in the development of </w:t>
      </w:r>
      <w:r w:rsidR="008934B6">
        <w:rPr>
          <w:rFonts w:cs="Arial"/>
          <w:szCs w:val="22"/>
        </w:rPr>
        <w:t xml:space="preserve">a CIA </w:t>
      </w:r>
      <w:r w:rsidR="005704CB">
        <w:rPr>
          <w:rFonts w:cs="Arial"/>
          <w:szCs w:val="22"/>
        </w:rPr>
        <w:t>includes the following areas: Virginia, Howard springs, Bakewell, Palmerston South, Rosebery and Bellamack.</w:t>
      </w:r>
    </w:p>
    <w:p w:rsidR="008934B6" w:rsidRPr="004332C0" w:rsidRDefault="008934B6" w:rsidP="008934B6">
      <w:pPr>
        <w:spacing w:after="240"/>
        <w:ind w:left="567" w:right="283" w:hanging="425"/>
        <w:jc w:val="both"/>
        <w:rPr>
          <w:rFonts w:eastAsia="Calibri" w:cs="Arial"/>
          <w:sz w:val="24"/>
          <w:szCs w:val="24"/>
          <w:lang w:eastAsia="en-US"/>
        </w:rPr>
      </w:pPr>
      <w:r>
        <w:rPr>
          <w:rFonts w:eastAsia="Calibri" w:cs="Arial"/>
          <w:sz w:val="24"/>
          <w:szCs w:val="24"/>
          <w:lang w:eastAsia="en-US"/>
        </w:rPr>
        <w:t>2</w:t>
      </w:r>
      <w:r w:rsidR="00AE2A72">
        <w:rPr>
          <w:rFonts w:eastAsia="Calibri" w:cs="Arial"/>
          <w:sz w:val="24"/>
          <w:szCs w:val="24"/>
          <w:lang w:eastAsia="en-US"/>
        </w:rPr>
        <w:t>1</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 xml:space="preserve">Information obtained from the 2011 Census Data shows the LCA area has a population of about </w:t>
      </w:r>
      <w:r w:rsidR="005704CB">
        <w:rPr>
          <w:rFonts w:eastAsia="Calibri" w:cs="Arial"/>
          <w:sz w:val="24"/>
          <w:szCs w:val="24"/>
          <w:lang w:eastAsia="en-US"/>
        </w:rPr>
        <w:t>14</w:t>
      </w:r>
      <w:r w:rsidR="00936FCB">
        <w:rPr>
          <w:rFonts w:eastAsia="Calibri" w:cs="Arial"/>
          <w:sz w:val="24"/>
          <w:szCs w:val="24"/>
          <w:lang w:eastAsia="en-US"/>
        </w:rPr>
        <w:t xml:space="preserve"> </w:t>
      </w:r>
      <w:r w:rsidR="005704CB">
        <w:rPr>
          <w:rFonts w:eastAsia="Calibri" w:cs="Arial"/>
          <w:sz w:val="24"/>
          <w:szCs w:val="24"/>
          <w:lang w:eastAsia="en-US"/>
        </w:rPr>
        <w:t>093</w:t>
      </w:r>
      <w:r w:rsidRPr="004332C0">
        <w:rPr>
          <w:rFonts w:eastAsia="Calibri" w:cs="Arial"/>
          <w:sz w:val="24"/>
          <w:szCs w:val="24"/>
          <w:lang w:eastAsia="en-US"/>
        </w:rPr>
        <w:t xml:space="preserve"> with</w:t>
      </w:r>
      <w:r w:rsidR="005704CB">
        <w:rPr>
          <w:rFonts w:eastAsia="Calibri" w:cs="Arial"/>
          <w:sz w:val="24"/>
          <w:szCs w:val="24"/>
          <w:lang w:eastAsia="en-US"/>
        </w:rPr>
        <w:t>10</w:t>
      </w:r>
      <w:r w:rsidR="00936FCB">
        <w:rPr>
          <w:rFonts w:eastAsia="Calibri" w:cs="Arial"/>
          <w:sz w:val="24"/>
          <w:szCs w:val="24"/>
          <w:lang w:eastAsia="en-US"/>
        </w:rPr>
        <w:t xml:space="preserve"> </w:t>
      </w:r>
      <w:r w:rsidR="005704CB">
        <w:rPr>
          <w:rFonts w:eastAsia="Calibri" w:cs="Arial"/>
          <w:sz w:val="24"/>
          <w:szCs w:val="24"/>
          <w:lang w:eastAsia="en-US"/>
        </w:rPr>
        <w:t>400</w:t>
      </w:r>
      <w:r w:rsidRPr="004332C0">
        <w:rPr>
          <w:rFonts w:eastAsia="Calibri" w:cs="Arial"/>
          <w:sz w:val="24"/>
          <w:szCs w:val="24"/>
          <w:lang w:eastAsia="en-US"/>
        </w:rPr>
        <w:t xml:space="preserve"> being adults.  This information is almost 5 years old </w:t>
      </w:r>
      <w:r w:rsidR="005704CB">
        <w:rPr>
          <w:rFonts w:eastAsia="Calibri" w:cs="Arial"/>
          <w:sz w:val="24"/>
          <w:szCs w:val="24"/>
          <w:lang w:eastAsia="en-US"/>
        </w:rPr>
        <w:t>and there has been considerable growth in the area, particularly the Palmerston South area and other surrounding suburbs.  Suburbs such as Zuccoli in the Palmerston South area, and closer to the Virginia Tavern were not established at the time of the last census.</w:t>
      </w:r>
      <w:r w:rsidRPr="004332C0">
        <w:rPr>
          <w:rFonts w:eastAsia="Calibri" w:cs="Arial"/>
          <w:sz w:val="24"/>
          <w:szCs w:val="24"/>
          <w:lang w:eastAsia="en-US"/>
        </w:rPr>
        <w:t xml:space="preserve">  </w:t>
      </w:r>
    </w:p>
    <w:p w:rsidR="000501B5"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w:t>
      </w:r>
      <w:r w:rsidR="00AE2A72">
        <w:rPr>
          <w:rFonts w:eastAsia="Calibri" w:cs="Arial"/>
          <w:sz w:val="24"/>
          <w:szCs w:val="24"/>
          <w:lang w:eastAsia="en-US"/>
        </w:rPr>
        <w:t>3</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 xml:space="preserve">The LCA has a population density </w:t>
      </w:r>
      <w:r w:rsidR="000501B5">
        <w:rPr>
          <w:rFonts w:eastAsia="Calibri" w:cs="Arial"/>
          <w:sz w:val="24"/>
          <w:szCs w:val="24"/>
          <w:lang w:eastAsia="en-US"/>
        </w:rPr>
        <w:t>of 70</w:t>
      </w:r>
      <w:r w:rsidRPr="004332C0">
        <w:rPr>
          <w:rFonts w:eastAsia="Calibri" w:cs="Arial"/>
          <w:sz w:val="24"/>
          <w:szCs w:val="24"/>
          <w:lang w:eastAsia="en-US"/>
        </w:rPr>
        <w:t xml:space="preserve"> people per square kilometre, compared to the Darwin LGA of 65</w:t>
      </w:r>
      <w:r w:rsidR="000501B5">
        <w:rPr>
          <w:rFonts w:eastAsia="Calibri" w:cs="Arial"/>
          <w:sz w:val="24"/>
          <w:szCs w:val="24"/>
          <w:lang w:eastAsia="en-US"/>
        </w:rPr>
        <w:t>4</w:t>
      </w:r>
      <w:r w:rsidRPr="004332C0">
        <w:rPr>
          <w:rFonts w:eastAsia="Calibri" w:cs="Arial"/>
          <w:sz w:val="24"/>
          <w:szCs w:val="24"/>
          <w:lang w:eastAsia="en-US"/>
        </w:rPr>
        <w:t xml:space="preserve">.  </w:t>
      </w:r>
      <w:r w:rsidR="000501B5">
        <w:rPr>
          <w:rFonts w:eastAsia="Calibri" w:cs="Arial"/>
          <w:sz w:val="24"/>
          <w:szCs w:val="24"/>
          <w:lang w:eastAsia="en-US"/>
        </w:rPr>
        <w:t xml:space="preserve">It must be noted that population density varies greatly in the different pockets of the LCA with areas such as Palmerston </w:t>
      </w:r>
      <w:r w:rsidR="00936FCB">
        <w:rPr>
          <w:rFonts w:eastAsia="Calibri" w:cs="Arial"/>
          <w:sz w:val="24"/>
          <w:szCs w:val="24"/>
          <w:lang w:eastAsia="en-US"/>
        </w:rPr>
        <w:t>South</w:t>
      </w:r>
      <w:r w:rsidR="000501B5">
        <w:rPr>
          <w:rFonts w:eastAsia="Calibri" w:cs="Arial"/>
          <w:sz w:val="24"/>
          <w:szCs w:val="24"/>
          <w:lang w:eastAsia="en-US"/>
        </w:rPr>
        <w:t xml:space="preserve"> having a much higher ration than that of the outer rural area of the LCA.</w:t>
      </w:r>
    </w:p>
    <w:p w:rsidR="000501B5"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t>2</w:t>
      </w:r>
      <w:r w:rsidR="00AE2A72">
        <w:rPr>
          <w:rFonts w:eastAsia="Calibri" w:cs="Arial"/>
          <w:sz w:val="24"/>
          <w:szCs w:val="24"/>
          <w:lang w:eastAsia="en-US"/>
        </w:rPr>
        <w:t>4</w:t>
      </w:r>
      <w:r>
        <w:rPr>
          <w:rFonts w:eastAsia="Calibri" w:cs="Arial"/>
          <w:sz w:val="24"/>
          <w:szCs w:val="24"/>
          <w:lang w:eastAsia="en-US"/>
        </w:rPr>
        <w:t>.</w:t>
      </w:r>
      <w:r>
        <w:rPr>
          <w:rFonts w:eastAsia="Calibri" w:cs="Arial"/>
          <w:sz w:val="24"/>
          <w:szCs w:val="24"/>
          <w:lang w:eastAsia="en-US"/>
        </w:rPr>
        <w:tab/>
      </w:r>
      <w:r w:rsidR="000501B5">
        <w:rPr>
          <w:rFonts w:eastAsia="Calibri" w:cs="Arial"/>
          <w:sz w:val="24"/>
          <w:szCs w:val="24"/>
          <w:lang w:eastAsia="en-US"/>
        </w:rPr>
        <w:t>It is submitted 6.6</w:t>
      </w:r>
      <w:r w:rsidRPr="004332C0">
        <w:rPr>
          <w:rFonts w:eastAsia="Calibri" w:cs="Arial"/>
          <w:sz w:val="24"/>
          <w:szCs w:val="24"/>
          <w:lang w:eastAsia="en-US"/>
        </w:rPr>
        <w:t>% of LCA’s residents were identified as being Indigenous (Aboriginal and/or Torres Strait Islander)</w:t>
      </w:r>
      <w:r w:rsidR="00936FCB">
        <w:rPr>
          <w:rFonts w:eastAsia="Calibri" w:cs="Arial"/>
          <w:sz w:val="24"/>
          <w:szCs w:val="24"/>
          <w:lang w:eastAsia="en-US"/>
        </w:rPr>
        <w:t>.</w:t>
      </w:r>
      <w:r w:rsidRPr="004332C0">
        <w:rPr>
          <w:rFonts w:eastAsia="Calibri" w:cs="Arial"/>
          <w:sz w:val="24"/>
          <w:szCs w:val="24"/>
          <w:lang w:eastAsia="en-US"/>
        </w:rPr>
        <w:t xml:space="preserve"> </w:t>
      </w:r>
    </w:p>
    <w:p w:rsidR="008934B6" w:rsidRDefault="008934B6" w:rsidP="008934B6">
      <w:pPr>
        <w:spacing w:after="240"/>
        <w:ind w:left="567" w:right="283" w:hanging="567"/>
        <w:jc w:val="both"/>
        <w:rPr>
          <w:rFonts w:eastAsia="Calibri" w:cs="Arial"/>
          <w:sz w:val="24"/>
          <w:szCs w:val="24"/>
          <w:lang w:eastAsia="en-US"/>
        </w:rPr>
      </w:pPr>
      <w:r>
        <w:rPr>
          <w:rFonts w:eastAsia="Calibri" w:cs="Arial"/>
          <w:sz w:val="24"/>
          <w:szCs w:val="24"/>
          <w:lang w:eastAsia="en-US"/>
        </w:rPr>
        <w:lastRenderedPageBreak/>
        <w:t>2</w:t>
      </w:r>
      <w:r w:rsidR="00AE2A72">
        <w:rPr>
          <w:rFonts w:eastAsia="Calibri" w:cs="Arial"/>
          <w:sz w:val="24"/>
          <w:szCs w:val="24"/>
          <w:lang w:eastAsia="en-US"/>
        </w:rPr>
        <w:t>5</w:t>
      </w:r>
      <w:r>
        <w:rPr>
          <w:rFonts w:eastAsia="Calibri" w:cs="Arial"/>
          <w:sz w:val="24"/>
          <w:szCs w:val="24"/>
          <w:lang w:eastAsia="en-US"/>
        </w:rPr>
        <w:t>.</w:t>
      </w:r>
      <w:r>
        <w:rPr>
          <w:rFonts w:eastAsia="Calibri" w:cs="Arial"/>
          <w:sz w:val="24"/>
          <w:szCs w:val="24"/>
          <w:lang w:eastAsia="en-US"/>
        </w:rPr>
        <w:tab/>
      </w:r>
      <w:r w:rsidRPr="004332C0">
        <w:rPr>
          <w:rFonts w:eastAsia="Calibri" w:cs="Arial"/>
          <w:sz w:val="24"/>
          <w:szCs w:val="24"/>
          <w:lang w:eastAsia="en-US"/>
        </w:rPr>
        <w:t xml:space="preserve">The proportion of indigenous residents in the LCA is </w:t>
      </w:r>
      <w:r w:rsidR="000501B5">
        <w:rPr>
          <w:rFonts w:eastAsia="Calibri" w:cs="Arial"/>
          <w:sz w:val="24"/>
          <w:szCs w:val="24"/>
          <w:lang w:eastAsia="en-US"/>
        </w:rPr>
        <w:t xml:space="preserve">nearly four times less than that of the overall Northern Territory.  Research shows </w:t>
      </w:r>
      <w:r w:rsidRPr="004332C0">
        <w:rPr>
          <w:rFonts w:eastAsia="Calibri" w:cs="Arial"/>
          <w:sz w:val="24"/>
          <w:szCs w:val="24"/>
          <w:lang w:eastAsia="en-US"/>
        </w:rPr>
        <w:t>that the Indigenous population are more likely to be pathological gamblers compared to non-Indigenous people (refer The Productivity Commission Inquiry Report 2010).  The LCA’s lower Indigenous profile could lower the risk associated with problem gambling in the catchment area but it is well noted that the indigenous population does move within the LGA for various family and cultural reasons and can also be affected by seasonal weather patterns.</w:t>
      </w:r>
    </w:p>
    <w:p w:rsidR="000501B5" w:rsidRDefault="00AE2A72" w:rsidP="008934B6">
      <w:pPr>
        <w:spacing w:after="240"/>
        <w:ind w:left="567" w:right="283" w:hanging="567"/>
        <w:jc w:val="both"/>
        <w:rPr>
          <w:rFonts w:eastAsia="Calibri" w:cs="Arial"/>
          <w:sz w:val="24"/>
          <w:szCs w:val="24"/>
          <w:lang w:eastAsia="en-US"/>
        </w:rPr>
      </w:pPr>
      <w:r>
        <w:rPr>
          <w:rFonts w:eastAsia="Calibri" w:cs="Arial"/>
          <w:sz w:val="24"/>
          <w:szCs w:val="24"/>
          <w:lang w:eastAsia="en-US"/>
        </w:rPr>
        <w:t>26</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sz w:val="24"/>
          <w:szCs w:val="24"/>
          <w:lang w:eastAsia="en-US"/>
        </w:rPr>
        <w:t xml:space="preserve">Statistical information obtained from this data shows that the LCA has a </w:t>
      </w:r>
      <w:r w:rsidR="000501B5">
        <w:rPr>
          <w:rFonts w:eastAsia="Calibri" w:cs="Arial"/>
          <w:sz w:val="24"/>
          <w:szCs w:val="24"/>
          <w:lang w:eastAsia="en-US"/>
        </w:rPr>
        <w:t>lower</w:t>
      </w:r>
      <w:r w:rsidR="008934B6" w:rsidRPr="004332C0">
        <w:rPr>
          <w:rFonts w:eastAsia="Calibri" w:cs="Arial"/>
          <w:sz w:val="24"/>
          <w:szCs w:val="24"/>
          <w:lang w:eastAsia="en-US"/>
        </w:rPr>
        <w:t xml:space="preserve"> proportion of people with higher level qualifications such as bachelor degrees, graduate qualifications or post graduate degrees. </w:t>
      </w:r>
    </w:p>
    <w:p w:rsidR="008934B6" w:rsidRDefault="00AE2A72" w:rsidP="008934B6">
      <w:pPr>
        <w:spacing w:after="240"/>
        <w:ind w:left="567" w:right="283" w:hanging="567"/>
        <w:jc w:val="both"/>
        <w:rPr>
          <w:rFonts w:eastAsia="Calibri" w:cs="Arial"/>
          <w:sz w:val="24"/>
          <w:szCs w:val="24"/>
          <w:lang w:eastAsia="en-US"/>
        </w:rPr>
      </w:pPr>
      <w:r>
        <w:rPr>
          <w:rFonts w:eastAsia="Calibri" w:cs="Arial"/>
          <w:sz w:val="24"/>
          <w:szCs w:val="24"/>
          <w:lang w:eastAsia="en-US"/>
        </w:rPr>
        <w:t>27</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sz w:val="24"/>
          <w:szCs w:val="24"/>
          <w:lang w:eastAsia="en-US"/>
        </w:rPr>
        <w:t>Wee</w:t>
      </w:r>
      <w:r w:rsidR="000501B5">
        <w:rPr>
          <w:rFonts w:eastAsia="Calibri" w:cs="Arial"/>
          <w:sz w:val="24"/>
          <w:szCs w:val="24"/>
          <w:lang w:eastAsia="en-US"/>
        </w:rPr>
        <w:t>kly house</w:t>
      </w:r>
      <w:r w:rsidR="008934B6" w:rsidRPr="004332C0">
        <w:rPr>
          <w:rFonts w:eastAsia="Calibri" w:cs="Arial"/>
          <w:sz w:val="24"/>
          <w:szCs w:val="24"/>
          <w:lang w:eastAsia="en-US"/>
        </w:rPr>
        <w:t xml:space="preserve">hold incomes for the LCA </w:t>
      </w:r>
      <w:r w:rsidR="000501B5">
        <w:rPr>
          <w:rFonts w:eastAsia="Calibri" w:cs="Arial"/>
          <w:sz w:val="24"/>
          <w:szCs w:val="24"/>
          <w:lang w:eastAsia="en-US"/>
        </w:rPr>
        <w:t>may be classed as the 5</w:t>
      </w:r>
      <w:r w:rsidR="000501B5" w:rsidRPr="000501B5">
        <w:rPr>
          <w:rFonts w:eastAsia="Calibri" w:cs="Arial"/>
          <w:sz w:val="24"/>
          <w:szCs w:val="24"/>
          <w:vertAlign w:val="superscript"/>
          <w:lang w:eastAsia="en-US"/>
        </w:rPr>
        <w:t>th</w:t>
      </w:r>
      <w:r w:rsidR="000501B5">
        <w:rPr>
          <w:rFonts w:eastAsia="Calibri" w:cs="Arial"/>
          <w:sz w:val="24"/>
          <w:szCs w:val="24"/>
          <w:lang w:eastAsia="en-US"/>
        </w:rPr>
        <w:t xml:space="preserve"> highest of the seven income brackets provided</w:t>
      </w:r>
      <w:r w:rsidR="008934B6" w:rsidRPr="004332C0">
        <w:rPr>
          <w:rFonts w:eastAsia="Calibri" w:cs="Arial"/>
          <w:sz w:val="24"/>
          <w:szCs w:val="24"/>
          <w:lang w:eastAsia="en-US"/>
        </w:rPr>
        <w:t>.</w:t>
      </w:r>
    </w:p>
    <w:p w:rsidR="008934B6" w:rsidRDefault="00AE2A72" w:rsidP="008934B6">
      <w:pPr>
        <w:spacing w:after="240"/>
        <w:ind w:left="567" w:right="283" w:hanging="567"/>
        <w:jc w:val="both"/>
        <w:rPr>
          <w:rFonts w:eastAsia="Calibri" w:cs="Arial"/>
          <w:sz w:val="24"/>
          <w:szCs w:val="24"/>
          <w:lang w:eastAsia="en-US"/>
        </w:rPr>
      </w:pPr>
      <w:r>
        <w:rPr>
          <w:rFonts w:eastAsia="Calibri" w:cs="Arial"/>
          <w:sz w:val="24"/>
          <w:szCs w:val="24"/>
          <w:lang w:eastAsia="en-US"/>
        </w:rPr>
        <w:t>28</w:t>
      </w:r>
      <w:r w:rsidR="008934B6">
        <w:rPr>
          <w:rFonts w:eastAsia="Calibri" w:cs="Arial"/>
          <w:sz w:val="24"/>
          <w:szCs w:val="24"/>
          <w:lang w:eastAsia="en-US"/>
        </w:rPr>
        <w:t>.</w:t>
      </w:r>
      <w:r w:rsidR="008934B6">
        <w:rPr>
          <w:rFonts w:eastAsia="Calibri" w:cs="Arial"/>
          <w:sz w:val="24"/>
          <w:szCs w:val="24"/>
          <w:lang w:eastAsia="en-US"/>
        </w:rPr>
        <w:tab/>
      </w:r>
      <w:r w:rsidR="000501B5">
        <w:rPr>
          <w:rFonts w:eastAsia="Calibri" w:cs="Arial"/>
          <w:sz w:val="24"/>
          <w:szCs w:val="24"/>
          <w:lang w:eastAsia="en-US"/>
        </w:rPr>
        <w:t>24%</w:t>
      </w:r>
      <w:r w:rsidR="008934B6" w:rsidRPr="004332C0">
        <w:rPr>
          <w:rFonts w:eastAsia="Calibri" w:cs="Arial"/>
          <w:sz w:val="24"/>
          <w:szCs w:val="24"/>
          <w:lang w:eastAsia="en-US"/>
        </w:rPr>
        <w:t xml:space="preserve"> of the LCA residents reported as being non-Australian, the majority of these being from Asia, the United Kingdom and New Zealand. However 10% of the population did not state their country of origin.</w:t>
      </w:r>
    </w:p>
    <w:p w:rsidR="008934B6" w:rsidRDefault="00AE2A72" w:rsidP="008934B6">
      <w:pPr>
        <w:spacing w:after="240"/>
        <w:ind w:left="567" w:right="283" w:hanging="567"/>
        <w:jc w:val="both"/>
        <w:rPr>
          <w:rFonts w:eastAsia="Calibri" w:cs="Arial"/>
          <w:bCs/>
          <w:sz w:val="24"/>
          <w:szCs w:val="24"/>
          <w:lang w:eastAsia="en-US"/>
        </w:rPr>
      </w:pPr>
      <w:r>
        <w:rPr>
          <w:rFonts w:eastAsia="Calibri" w:cs="Arial"/>
          <w:sz w:val="24"/>
          <w:szCs w:val="24"/>
          <w:lang w:eastAsia="en-US"/>
        </w:rPr>
        <w:t>29</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sz w:val="24"/>
          <w:szCs w:val="24"/>
          <w:lang w:eastAsia="en-US"/>
        </w:rPr>
        <w:t xml:space="preserve">The </w:t>
      </w:r>
      <w:r w:rsidR="008934B6" w:rsidRPr="004332C0">
        <w:rPr>
          <w:rFonts w:eastAsia="Calibri" w:cs="Arial"/>
          <w:bCs/>
          <w:sz w:val="24"/>
          <w:szCs w:val="24"/>
          <w:lang w:eastAsia="en-US"/>
        </w:rPr>
        <w:t>Australian Bureau of Statistics’ Socio</w:t>
      </w:r>
      <w:r w:rsidR="008934B6" w:rsidRPr="004332C0">
        <w:rPr>
          <w:rFonts w:eastAsia="Calibri" w:cs="Arial"/>
          <w:bCs/>
          <w:sz w:val="24"/>
          <w:szCs w:val="24"/>
          <w:lang w:eastAsia="en-US"/>
        </w:rPr>
        <w:noBreakHyphen/>
        <w:t xml:space="preserve">Economic Indexes for Areas (“SEIFA”) is a product that enables the assessment of the welfare of Australian communities based on census data relating to household income, education, employment, occupation, housing and other indicators of advantage and disadvantage.  The SEIFA analysis indicates that the LCA is an area of </w:t>
      </w:r>
      <w:r w:rsidR="000501B5">
        <w:rPr>
          <w:rFonts w:eastAsia="Calibri" w:cs="Arial"/>
          <w:bCs/>
          <w:sz w:val="24"/>
          <w:szCs w:val="24"/>
          <w:lang w:eastAsia="en-US"/>
        </w:rPr>
        <w:t xml:space="preserve">relative </w:t>
      </w:r>
      <w:r w:rsidR="008934B6" w:rsidRPr="004332C0">
        <w:rPr>
          <w:rFonts w:eastAsia="Calibri" w:cs="Arial"/>
          <w:bCs/>
          <w:sz w:val="24"/>
          <w:szCs w:val="24"/>
          <w:lang w:eastAsia="en-US"/>
        </w:rPr>
        <w:t>social advantage</w:t>
      </w:r>
      <w:r w:rsidR="000501B5">
        <w:rPr>
          <w:rFonts w:eastAsia="Calibri" w:cs="Arial"/>
          <w:bCs/>
          <w:sz w:val="24"/>
          <w:szCs w:val="24"/>
          <w:lang w:eastAsia="en-US"/>
        </w:rPr>
        <w:t xml:space="preserve"> as compared with the Litchfield LCA</w:t>
      </w:r>
      <w:r w:rsidR="008934B6" w:rsidRPr="004332C0">
        <w:rPr>
          <w:rFonts w:eastAsia="Calibri" w:cs="Arial"/>
          <w:bCs/>
          <w:sz w:val="24"/>
          <w:szCs w:val="24"/>
          <w:lang w:eastAsia="en-US"/>
        </w:rPr>
        <w:t>.</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w:t>
      </w:r>
      <w:r w:rsidR="00AE2A72">
        <w:rPr>
          <w:rFonts w:eastAsia="Calibri" w:cs="Arial"/>
          <w:bCs/>
          <w:sz w:val="24"/>
          <w:szCs w:val="24"/>
          <w:lang w:eastAsia="en-US"/>
        </w:rPr>
        <w:t>0</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 xml:space="preserve">There are a number of ways to view the scores from the SEIFA, with one being through the </w:t>
      </w:r>
      <w:proofErr w:type="spellStart"/>
      <w:r w:rsidRPr="004332C0">
        <w:rPr>
          <w:rFonts w:eastAsia="Calibri" w:cs="Arial"/>
          <w:bCs/>
          <w:sz w:val="24"/>
          <w:szCs w:val="24"/>
          <w:lang w:eastAsia="en-US"/>
        </w:rPr>
        <w:t>decile</w:t>
      </w:r>
      <w:proofErr w:type="spellEnd"/>
      <w:r w:rsidRPr="004332C0">
        <w:rPr>
          <w:rFonts w:eastAsia="Calibri" w:cs="Arial"/>
          <w:bCs/>
          <w:sz w:val="24"/>
          <w:szCs w:val="24"/>
          <w:lang w:eastAsia="en-US"/>
        </w:rPr>
        <w:t xml:space="preserve"> score system where a ranking is given from 1 to 10 with 1 indicating that an area is in the bottom 10% of areas or in other words, the most disadvantaged and 10 indicating that the area is in the top 10% of areas thus being the most advantaged.</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w:t>
      </w:r>
      <w:r w:rsidR="00AE2A72">
        <w:rPr>
          <w:rFonts w:eastAsia="Calibri" w:cs="Arial"/>
          <w:bCs/>
          <w:sz w:val="24"/>
          <w:szCs w:val="24"/>
          <w:lang w:eastAsia="en-US"/>
        </w:rPr>
        <w:t>1</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 xml:space="preserve">The overall SEIFA score for the LCA was </w:t>
      </w:r>
      <w:r w:rsidR="004F2CD2">
        <w:rPr>
          <w:rFonts w:eastAsia="Calibri" w:cs="Arial"/>
          <w:bCs/>
          <w:sz w:val="24"/>
          <w:szCs w:val="24"/>
          <w:lang w:eastAsia="en-US"/>
        </w:rPr>
        <w:t>1</w:t>
      </w:r>
      <w:r w:rsidR="00936FCB">
        <w:rPr>
          <w:rFonts w:eastAsia="Calibri" w:cs="Arial"/>
          <w:bCs/>
          <w:sz w:val="24"/>
          <w:szCs w:val="24"/>
          <w:lang w:eastAsia="en-US"/>
        </w:rPr>
        <w:t xml:space="preserve"> </w:t>
      </w:r>
      <w:r w:rsidR="004F2CD2">
        <w:rPr>
          <w:rFonts w:eastAsia="Calibri" w:cs="Arial"/>
          <w:bCs/>
          <w:sz w:val="24"/>
          <w:szCs w:val="24"/>
          <w:lang w:eastAsia="en-US"/>
        </w:rPr>
        <w:t xml:space="preserve">053 </w:t>
      </w:r>
      <w:r w:rsidRPr="004332C0">
        <w:rPr>
          <w:rFonts w:eastAsia="Calibri" w:cs="Arial"/>
          <w:bCs/>
          <w:sz w:val="24"/>
          <w:szCs w:val="24"/>
          <w:lang w:eastAsia="en-US"/>
        </w:rPr>
        <w:t>below that of Greater Darwin which was 1,044, and below Litchfield LCA which was 1</w:t>
      </w:r>
      <w:r w:rsidR="00936FCB">
        <w:rPr>
          <w:rFonts w:eastAsia="Calibri" w:cs="Arial"/>
          <w:bCs/>
          <w:sz w:val="24"/>
          <w:szCs w:val="24"/>
          <w:lang w:eastAsia="en-US"/>
        </w:rPr>
        <w:t xml:space="preserve"> </w:t>
      </w:r>
      <w:r w:rsidRPr="004332C0">
        <w:rPr>
          <w:rFonts w:eastAsia="Calibri" w:cs="Arial"/>
          <w:bCs/>
          <w:sz w:val="24"/>
          <w:szCs w:val="24"/>
          <w:lang w:eastAsia="en-US"/>
        </w:rPr>
        <w:t xml:space="preserve">032.  </w:t>
      </w:r>
      <w:r w:rsidR="004F2CD2">
        <w:rPr>
          <w:rFonts w:eastAsia="Calibri" w:cs="Arial"/>
          <w:bCs/>
          <w:sz w:val="24"/>
          <w:szCs w:val="24"/>
          <w:lang w:eastAsia="en-US"/>
        </w:rPr>
        <w:t>This indicates the LCA is in an area of relative social advantage.</w:t>
      </w:r>
    </w:p>
    <w:p w:rsidR="002E34B4"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w:t>
      </w:r>
      <w:r w:rsidR="00AE2A72">
        <w:rPr>
          <w:rFonts w:eastAsia="Calibri" w:cs="Arial"/>
          <w:bCs/>
          <w:sz w:val="24"/>
          <w:szCs w:val="24"/>
          <w:lang w:eastAsia="en-US"/>
        </w:rPr>
        <w:t>2</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 xml:space="preserve">The area also has an unemployment rate of </w:t>
      </w:r>
      <w:r w:rsidR="004F2CD2">
        <w:rPr>
          <w:rFonts w:eastAsia="Calibri" w:cs="Arial"/>
          <w:bCs/>
          <w:sz w:val="24"/>
          <w:szCs w:val="24"/>
          <w:lang w:eastAsia="en-US"/>
        </w:rPr>
        <w:t>1.7</w:t>
      </w:r>
      <w:r w:rsidRPr="004332C0">
        <w:rPr>
          <w:rFonts w:eastAsia="Calibri" w:cs="Arial"/>
          <w:bCs/>
          <w:sz w:val="24"/>
          <w:szCs w:val="24"/>
          <w:lang w:eastAsia="en-US"/>
        </w:rPr>
        <w:t xml:space="preserve">%, which is lower than the </w:t>
      </w:r>
      <w:r w:rsidR="004F2CD2">
        <w:rPr>
          <w:rFonts w:eastAsia="Calibri" w:cs="Arial"/>
          <w:bCs/>
          <w:sz w:val="24"/>
          <w:szCs w:val="24"/>
          <w:lang w:eastAsia="en-US"/>
        </w:rPr>
        <w:t xml:space="preserve">Litchfield </w:t>
      </w:r>
      <w:r w:rsidRPr="004332C0">
        <w:rPr>
          <w:rFonts w:eastAsia="Calibri" w:cs="Arial"/>
          <w:bCs/>
          <w:sz w:val="24"/>
          <w:szCs w:val="24"/>
          <w:lang w:eastAsia="en-US"/>
        </w:rPr>
        <w:t xml:space="preserve">rate of </w:t>
      </w:r>
      <w:r w:rsidR="004F2CD2">
        <w:rPr>
          <w:rFonts w:eastAsia="Calibri" w:cs="Arial"/>
          <w:bCs/>
          <w:sz w:val="24"/>
          <w:szCs w:val="24"/>
          <w:lang w:eastAsia="en-US"/>
        </w:rPr>
        <w:t>2.6</w:t>
      </w:r>
      <w:r w:rsidRPr="004332C0">
        <w:rPr>
          <w:rFonts w:eastAsia="Calibri" w:cs="Arial"/>
          <w:bCs/>
          <w:sz w:val="24"/>
          <w:szCs w:val="24"/>
          <w:lang w:eastAsia="en-US"/>
        </w:rPr>
        <w:t>%</w:t>
      </w:r>
      <w:r w:rsidR="004F2CD2">
        <w:rPr>
          <w:rFonts w:eastAsia="Calibri" w:cs="Arial"/>
          <w:bCs/>
          <w:sz w:val="24"/>
          <w:szCs w:val="24"/>
          <w:lang w:eastAsia="en-US"/>
        </w:rPr>
        <w:t xml:space="preserve"> and the Northern Territory at 5.1%.</w:t>
      </w:r>
    </w:p>
    <w:p w:rsidR="008934B6"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w:t>
      </w:r>
      <w:r w:rsidR="00AE2A72">
        <w:rPr>
          <w:rFonts w:eastAsia="Calibri" w:cs="Arial"/>
          <w:bCs/>
          <w:sz w:val="24"/>
          <w:szCs w:val="24"/>
          <w:lang w:eastAsia="en-US"/>
        </w:rPr>
        <w:t>3</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 xml:space="preserve">Within the LCA there </w:t>
      </w:r>
      <w:r w:rsidR="002E34B4">
        <w:rPr>
          <w:rFonts w:eastAsia="Calibri" w:cs="Arial"/>
          <w:bCs/>
          <w:sz w:val="24"/>
          <w:szCs w:val="24"/>
          <w:lang w:eastAsia="en-US"/>
        </w:rPr>
        <w:t xml:space="preserve">is one other </w:t>
      </w:r>
      <w:r w:rsidRPr="004332C0">
        <w:rPr>
          <w:rFonts w:eastAsia="Calibri" w:cs="Arial"/>
          <w:bCs/>
          <w:sz w:val="24"/>
          <w:szCs w:val="24"/>
          <w:lang w:eastAsia="en-US"/>
        </w:rPr>
        <w:t>gaming venue, th</w:t>
      </w:r>
      <w:r w:rsidR="002E34B4">
        <w:rPr>
          <w:rFonts w:eastAsia="Calibri" w:cs="Arial"/>
          <w:bCs/>
          <w:sz w:val="24"/>
          <w:szCs w:val="24"/>
          <w:lang w:eastAsia="en-US"/>
        </w:rPr>
        <w:t xml:space="preserve">at </w:t>
      </w:r>
      <w:r w:rsidRPr="004332C0">
        <w:rPr>
          <w:rFonts w:eastAsia="Calibri" w:cs="Arial"/>
          <w:bCs/>
          <w:sz w:val="24"/>
          <w:szCs w:val="24"/>
          <w:lang w:eastAsia="en-US"/>
        </w:rPr>
        <w:t xml:space="preserve">being the </w:t>
      </w:r>
      <w:r w:rsidR="002E34B4">
        <w:rPr>
          <w:rFonts w:eastAsia="Calibri" w:cs="Arial"/>
          <w:bCs/>
          <w:sz w:val="24"/>
          <w:szCs w:val="24"/>
          <w:lang w:eastAsia="en-US"/>
        </w:rPr>
        <w:t>Howard Springs Tavern</w:t>
      </w:r>
      <w:r w:rsidRPr="004332C0">
        <w:rPr>
          <w:rFonts w:eastAsia="Calibri" w:cs="Arial"/>
          <w:bCs/>
          <w:sz w:val="24"/>
          <w:szCs w:val="24"/>
          <w:lang w:eastAsia="en-US"/>
        </w:rPr>
        <w:t xml:space="preserve">.  </w:t>
      </w:r>
      <w:r w:rsidR="002E34B4">
        <w:rPr>
          <w:rFonts w:eastAsia="Calibri" w:cs="Arial"/>
          <w:bCs/>
          <w:sz w:val="24"/>
          <w:szCs w:val="24"/>
          <w:lang w:eastAsia="en-US"/>
        </w:rPr>
        <w:t xml:space="preserve">The Howard Springs Tavern was recently approved to increase their gaming machines from ten to </w:t>
      </w:r>
      <w:r w:rsidR="00936FCB">
        <w:rPr>
          <w:rFonts w:eastAsia="Calibri" w:cs="Arial"/>
          <w:bCs/>
          <w:sz w:val="24"/>
          <w:szCs w:val="24"/>
          <w:lang w:eastAsia="en-US"/>
        </w:rPr>
        <w:t>20;</w:t>
      </w:r>
      <w:r w:rsidR="002E34B4">
        <w:rPr>
          <w:rFonts w:eastAsia="Calibri" w:cs="Arial"/>
          <w:bCs/>
          <w:sz w:val="24"/>
          <w:szCs w:val="24"/>
          <w:lang w:eastAsia="en-US"/>
        </w:rPr>
        <w:t xml:space="preserve"> if this application is approved there will be a total of 40 machines in the LCA.</w:t>
      </w:r>
    </w:p>
    <w:p w:rsidR="002E34B4" w:rsidRDefault="008934B6"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 xml:space="preserve"> 3</w:t>
      </w:r>
      <w:r w:rsidR="00AE2A72">
        <w:rPr>
          <w:rFonts w:eastAsia="Calibri" w:cs="Arial"/>
          <w:bCs/>
          <w:sz w:val="24"/>
          <w:szCs w:val="24"/>
          <w:lang w:eastAsia="en-US"/>
        </w:rPr>
        <w:t>4</w:t>
      </w:r>
      <w:r>
        <w:rPr>
          <w:rFonts w:eastAsia="Calibri" w:cs="Arial"/>
          <w:bCs/>
          <w:sz w:val="24"/>
          <w:szCs w:val="24"/>
          <w:lang w:eastAsia="en-US"/>
        </w:rPr>
        <w:t>.</w:t>
      </w:r>
      <w:r>
        <w:rPr>
          <w:rFonts w:eastAsia="Calibri" w:cs="Arial"/>
          <w:bCs/>
          <w:sz w:val="24"/>
          <w:szCs w:val="24"/>
          <w:lang w:eastAsia="en-US"/>
        </w:rPr>
        <w:tab/>
      </w:r>
      <w:r w:rsidRPr="004332C0">
        <w:rPr>
          <w:rFonts w:eastAsia="Calibri" w:cs="Arial"/>
          <w:bCs/>
          <w:sz w:val="24"/>
          <w:szCs w:val="24"/>
          <w:lang w:eastAsia="en-US"/>
        </w:rPr>
        <w:t>Another consideration to take into account is that whilst the gaming machine density may remain stable at the moment should this and other similar applications be approved, the patron source for this venue and others in this area is not</w:t>
      </w:r>
      <w:r w:rsidRPr="004332C0">
        <w:rPr>
          <w:rFonts w:ascii="Calibri" w:eastAsia="Calibri" w:hAnsi="Calibri" w:cs="Arial"/>
          <w:bCs/>
          <w:sz w:val="24"/>
          <w:szCs w:val="24"/>
          <w:lang w:eastAsia="en-US"/>
        </w:rPr>
        <w:t xml:space="preserve"> </w:t>
      </w:r>
      <w:r w:rsidRPr="004332C0">
        <w:rPr>
          <w:rFonts w:eastAsia="Calibri" w:cs="Arial"/>
          <w:bCs/>
          <w:sz w:val="24"/>
          <w:szCs w:val="24"/>
          <w:lang w:eastAsia="en-US"/>
        </w:rPr>
        <w:t>restricted to just residents of the LCA.</w:t>
      </w:r>
    </w:p>
    <w:p w:rsidR="008934B6" w:rsidRDefault="002E34B4" w:rsidP="008934B6">
      <w:pPr>
        <w:spacing w:after="240"/>
        <w:ind w:left="567" w:right="283" w:hanging="567"/>
        <w:jc w:val="both"/>
        <w:rPr>
          <w:rFonts w:eastAsia="Calibri" w:cs="Arial"/>
          <w:sz w:val="24"/>
          <w:szCs w:val="24"/>
          <w:lang w:eastAsia="en-US"/>
        </w:rPr>
      </w:pPr>
      <w:r>
        <w:rPr>
          <w:rFonts w:eastAsia="Calibri" w:cs="Arial"/>
          <w:bCs/>
          <w:sz w:val="24"/>
          <w:szCs w:val="24"/>
          <w:lang w:eastAsia="en-US"/>
        </w:rPr>
        <w:t>35.</w:t>
      </w:r>
      <w:r>
        <w:rPr>
          <w:rFonts w:eastAsia="Calibri" w:cs="Arial"/>
          <w:bCs/>
          <w:sz w:val="24"/>
          <w:szCs w:val="24"/>
          <w:lang w:eastAsia="en-US"/>
        </w:rPr>
        <w:tab/>
        <w:t xml:space="preserve">An application is also presently being advertised for a gaming machine licence at the Flynn Tavern in Bellamack.  Nearby in Palmerston there are gaming machines </w:t>
      </w:r>
      <w:r>
        <w:rPr>
          <w:rFonts w:eastAsia="Calibri" w:cs="Arial"/>
          <w:bCs/>
          <w:sz w:val="24"/>
          <w:szCs w:val="24"/>
          <w:lang w:eastAsia="en-US"/>
        </w:rPr>
        <w:lastRenderedPageBreak/>
        <w:t>at The Hub, Arch Rivals, Cazaly’s, Palmerston Golf Club and Palmerston Tavern which are all just outside of the LCA</w:t>
      </w:r>
      <w:r w:rsidR="008934B6" w:rsidRPr="004332C0">
        <w:rPr>
          <w:rFonts w:eastAsia="Calibri" w:cs="Arial"/>
          <w:sz w:val="24"/>
          <w:szCs w:val="24"/>
          <w:lang w:eastAsia="en-US"/>
        </w:rPr>
        <w:t>.</w:t>
      </w:r>
    </w:p>
    <w:p w:rsidR="008934B6" w:rsidRDefault="00AE2A72" w:rsidP="008934B6">
      <w:pPr>
        <w:spacing w:after="240"/>
        <w:ind w:left="567" w:right="283" w:hanging="567"/>
        <w:jc w:val="both"/>
        <w:rPr>
          <w:rFonts w:eastAsia="Calibri" w:cs="Arial"/>
          <w:bCs/>
          <w:sz w:val="24"/>
          <w:szCs w:val="24"/>
          <w:lang w:eastAsia="en-US"/>
        </w:rPr>
      </w:pPr>
      <w:r>
        <w:rPr>
          <w:rFonts w:eastAsia="Calibri" w:cs="Arial"/>
          <w:sz w:val="24"/>
          <w:szCs w:val="24"/>
          <w:lang w:eastAsia="en-US"/>
        </w:rPr>
        <w:t>36</w:t>
      </w:r>
      <w:r w:rsidR="008934B6">
        <w:rPr>
          <w:rFonts w:eastAsia="Calibri" w:cs="Arial"/>
          <w:sz w:val="24"/>
          <w:szCs w:val="24"/>
          <w:lang w:eastAsia="en-US"/>
        </w:rPr>
        <w:t>.</w:t>
      </w:r>
      <w:r w:rsidR="008934B6">
        <w:rPr>
          <w:rFonts w:eastAsia="Calibri" w:cs="Arial"/>
          <w:sz w:val="24"/>
          <w:szCs w:val="24"/>
          <w:lang w:eastAsia="en-US"/>
        </w:rPr>
        <w:tab/>
      </w:r>
      <w:r w:rsidR="008934B6" w:rsidRPr="004332C0">
        <w:rPr>
          <w:rFonts w:eastAsia="Calibri" w:cs="Arial"/>
          <w:bCs/>
          <w:sz w:val="24"/>
          <w:szCs w:val="24"/>
          <w:lang w:eastAsia="en-US"/>
        </w:rPr>
        <w:t xml:space="preserve">Pursuant to 41A(2)(c) of the Act, </w:t>
      </w:r>
      <w:r w:rsidR="008934B6">
        <w:rPr>
          <w:rFonts w:eastAsia="Calibri" w:cs="Arial"/>
          <w:bCs/>
          <w:sz w:val="24"/>
          <w:szCs w:val="24"/>
          <w:lang w:eastAsia="en-US"/>
        </w:rPr>
        <w:t>the</w:t>
      </w:r>
      <w:r w:rsidR="008934B6" w:rsidRPr="004332C0">
        <w:rPr>
          <w:rFonts w:eastAsia="Calibri" w:cs="Arial"/>
          <w:bCs/>
          <w:sz w:val="24"/>
          <w:szCs w:val="24"/>
          <w:lang w:eastAsia="en-US"/>
        </w:rPr>
        <w:t xml:space="preserve"> CIA </w:t>
      </w:r>
      <w:r w:rsidR="008934B6">
        <w:rPr>
          <w:rFonts w:eastAsia="Calibri" w:cs="Arial"/>
          <w:bCs/>
          <w:sz w:val="24"/>
          <w:szCs w:val="24"/>
          <w:lang w:eastAsia="en-US"/>
        </w:rPr>
        <w:t xml:space="preserve">must provide </w:t>
      </w:r>
      <w:r w:rsidR="008934B6" w:rsidRPr="004332C0">
        <w:rPr>
          <w:rFonts w:eastAsia="Calibri" w:cs="Arial"/>
          <w:bCs/>
          <w:sz w:val="24"/>
          <w:szCs w:val="24"/>
          <w:lang w:eastAsia="en-US"/>
        </w:rPr>
        <w:t xml:space="preserve">details with respect to the proximity of the premises to sensitive areas such as schools, shopping centres, other community congregation facilities, welfare agencies, banks and pawn brokers.  In this case, it is </w:t>
      </w:r>
      <w:r w:rsidR="008934B6">
        <w:rPr>
          <w:rFonts w:eastAsia="Calibri" w:cs="Arial"/>
          <w:bCs/>
          <w:sz w:val="24"/>
          <w:szCs w:val="24"/>
          <w:lang w:eastAsia="en-US"/>
        </w:rPr>
        <w:t xml:space="preserve">submitted by the CIA there </w:t>
      </w:r>
      <w:r w:rsidR="002E34B4">
        <w:rPr>
          <w:rFonts w:eastAsia="Calibri" w:cs="Arial"/>
          <w:bCs/>
          <w:sz w:val="24"/>
          <w:szCs w:val="24"/>
          <w:lang w:eastAsia="en-US"/>
        </w:rPr>
        <w:t>is one such area, that being the Virginia Childcare Centre which is approximate</w:t>
      </w:r>
      <w:r w:rsidR="00936FCB">
        <w:rPr>
          <w:rFonts w:eastAsia="Calibri" w:cs="Arial"/>
          <w:bCs/>
          <w:sz w:val="24"/>
          <w:szCs w:val="24"/>
          <w:lang w:eastAsia="en-US"/>
        </w:rPr>
        <w:t xml:space="preserve">ly 600m south </w:t>
      </w:r>
      <w:r w:rsidR="002E34B4">
        <w:rPr>
          <w:rFonts w:eastAsia="Calibri" w:cs="Arial"/>
          <w:bCs/>
          <w:sz w:val="24"/>
          <w:szCs w:val="24"/>
          <w:lang w:eastAsia="en-US"/>
        </w:rPr>
        <w:t>of the venue.</w:t>
      </w:r>
    </w:p>
    <w:p w:rsidR="008934B6" w:rsidRDefault="00AE2A72"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37</w:t>
      </w:r>
      <w:r w:rsidR="008934B6">
        <w:rPr>
          <w:rFonts w:eastAsia="Calibri" w:cs="Arial"/>
          <w:bCs/>
          <w:sz w:val="24"/>
          <w:szCs w:val="24"/>
          <w:lang w:eastAsia="en-US"/>
        </w:rPr>
        <w:t>.</w:t>
      </w:r>
      <w:r w:rsidR="008934B6">
        <w:rPr>
          <w:rFonts w:eastAsia="Calibri" w:cs="Arial"/>
          <w:bCs/>
          <w:sz w:val="24"/>
          <w:szCs w:val="24"/>
          <w:lang w:eastAsia="en-US"/>
        </w:rPr>
        <w:tab/>
      </w:r>
      <w:r w:rsidR="008934B6" w:rsidRPr="004332C0">
        <w:rPr>
          <w:rFonts w:eastAsia="Calibri" w:cs="Arial"/>
          <w:bCs/>
          <w:sz w:val="24"/>
          <w:szCs w:val="24"/>
          <w:lang w:eastAsia="en-US"/>
        </w:rPr>
        <w:t xml:space="preserve">In the wider LCA </w:t>
      </w:r>
      <w:r w:rsidR="002E34B4">
        <w:rPr>
          <w:rFonts w:eastAsia="Calibri" w:cs="Arial"/>
          <w:bCs/>
          <w:sz w:val="24"/>
          <w:szCs w:val="24"/>
          <w:lang w:eastAsia="en-US"/>
        </w:rPr>
        <w:t>there is a mix of housing and small commercial areas and Caravan Park.  There is no organisation or individual within the LCA that specialises in gambling issues.</w:t>
      </w:r>
    </w:p>
    <w:p w:rsidR="008934B6" w:rsidRDefault="00AE2A72" w:rsidP="002E34B4">
      <w:pPr>
        <w:spacing w:after="240"/>
        <w:ind w:left="567" w:right="283" w:hanging="567"/>
        <w:jc w:val="both"/>
        <w:rPr>
          <w:rFonts w:eastAsia="Calibri" w:cs="Arial"/>
          <w:bCs/>
          <w:sz w:val="24"/>
          <w:szCs w:val="24"/>
          <w:lang w:eastAsia="en-US"/>
        </w:rPr>
      </w:pPr>
      <w:r>
        <w:rPr>
          <w:rFonts w:eastAsia="Calibri" w:cs="Arial"/>
          <w:bCs/>
          <w:sz w:val="24"/>
          <w:szCs w:val="24"/>
          <w:lang w:eastAsia="en-US"/>
        </w:rPr>
        <w:t>38</w:t>
      </w:r>
      <w:r w:rsidR="008934B6">
        <w:rPr>
          <w:rFonts w:eastAsia="Calibri" w:cs="Arial"/>
          <w:bCs/>
          <w:sz w:val="24"/>
          <w:szCs w:val="24"/>
          <w:lang w:eastAsia="en-US"/>
        </w:rPr>
        <w:t>.</w:t>
      </w:r>
      <w:r w:rsidR="008934B6">
        <w:rPr>
          <w:rFonts w:eastAsia="Calibri" w:cs="Arial"/>
          <w:bCs/>
          <w:sz w:val="24"/>
          <w:szCs w:val="24"/>
          <w:lang w:eastAsia="en-US"/>
        </w:rPr>
        <w:tab/>
      </w:r>
      <w:r w:rsidR="008934B6" w:rsidRPr="004332C0">
        <w:rPr>
          <w:rFonts w:eastAsia="Calibri" w:cs="Arial"/>
          <w:bCs/>
          <w:sz w:val="24"/>
          <w:szCs w:val="24"/>
          <w:lang w:eastAsia="en-US"/>
        </w:rPr>
        <w:t xml:space="preserve">It should be noted that the venue has existed on this site for many years without causing any apparent harm to the businesses or locality.  </w:t>
      </w:r>
    </w:p>
    <w:p w:rsidR="008934B6" w:rsidRPr="004332C0" w:rsidRDefault="002E34B4" w:rsidP="008934B6">
      <w:pPr>
        <w:spacing w:after="240"/>
        <w:ind w:left="567" w:right="283" w:hanging="567"/>
        <w:jc w:val="both"/>
        <w:rPr>
          <w:rFonts w:eastAsia="Calibri" w:cs="Arial"/>
          <w:bCs/>
          <w:sz w:val="24"/>
          <w:szCs w:val="24"/>
          <w:lang w:eastAsia="en-US"/>
        </w:rPr>
      </w:pPr>
      <w:r>
        <w:rPr>
          <w:rFonts w:eastAsia="Calibri" w:cs="Arial"/>
          <w:bCs/>
          <w:sz w:val="24"/>
          <w:szCs w:val="24"/>
          <w:lang w:eastAsia="en-US"/>
        </w:rPr>
        <w:t>39</w:t>
      </w:r>
      <w:r w:rsidR="008934B6">
        <w:rPr>
          <w:rFonts w:eastAsia="Calibri" w:cs="Arial"/>
          <w:bCs/>
          <w:sz w:val="24"/>
          <w:szCs w:val="24"/>
          <w:lang w:eastAsia="en-US"/>
        </w:rPr>
        <w:t>.</w:t>
      </w:r>
      <w:r w:rsidR="008934B6">
        <w:rPr>
          <w:rFonts w:eastAsia="Calibri" w:cs="Arial"/>
          <w:bCs/>
          <w:sz w:val="24"/>
          <w:szCs w:val="24"/>
          <w:lang w:eastAsia="en-US"/>
        </w:rPr>
        <w:tab/>
      </w:r>
      <w:r w:rsidR="008934B6" w:rsidRPr="004332C0">
        <w:rPr>
          <w:rFonts w:eastAsia="Calibri" w:cs="Arial"/>
          <w:sz w:val="24"/>
          <w:szCs w:val="24"/>
          <w:lang w:eastAsia="en-US"/>
        </w:rPr>
        <w:t xml:space="preserve">The venue currently holds a gaming machine licence and on the basis of the </w:t>
      </w:r>
      <w:r>
        <w:rPr>
          <w:rFonts w:eastAsia="Calibri" w:cs="Arial"/>
          <w:sz w:val="24"/>
          <w:szCs w:val="24"/>
          <w:lang w:eastAsia="en-US"/>
        </w:rPr>
        <w:t>i</w:t>
      </w:r>
      <w:r w:rsidR="008934B6" w:rsidRPr="004332C0">
        <w:rPr>
          <w:rFonts w:eastAsia="Calibri" w:cs="Arial"/>
          <w:sz w:val="24"/>
          <w:szCs w:val="24"/>
          <w:lang w:eastAsia="en-US"/>
        </w:rPr>
        <w:t xml:space="preserve">nformation available above, I am satisfied that the venue’s location continues to be </w:t>
      </w:r>
      <w:r>
        <w:rPr>
          <w:rFonts w:eastAsia="Calibri" w:cs="Arial"/>
          <w:sz w:val="24"/>
          <w:szCs w:val="24"/>
          <w:lang w:eastAsia="en-US"/>
        </w:rPr>
        <w:t>s</w:t>
      </w:r>
      <w:r w:rsidR="008934B6" w:rsidRPr="004332C0">
        <w:rPr>
          <w:rFonts w:eastAsia="Calibri" w:cs="Arial"/>
          <w:sz w:val="24"/>
          <w:szCs w:val="24"/>
          <w:lang w:eastAsia="en-US"/>
        </w:rPr>
        <w:t xml:space="preserve">uitable for the operation of gaming machines.  </w:t>
      </w:r>
    </w:p>
    <w:p w:rsidR="008934B6" w:rsidRPr="006419C4" w:rsidRDefault="008934B6" w:rsidP="001A677D">
      <w:pPr>
        <w:pStyle w:val="Heading4"/>
        <w:rPr>
          <w:rStyle w:val="Emphasis"/>
          <w:b w:val="0"/>
          <w:i w:val="0"/>
        </w:rPr>
      </w:pPr>
      <w:r w:rsidRPr="006419C4">
        <w:rPr>
          <w:rStyle w:val="Emphasis"/>
          <w:i w:val="0"/>
        </w:rPr>
        <w:t>Appropriateness of problem gambling risk management and responsible gambling strategies</w:t>
      </w:r>
    </w:p>
    <w:p w:rsidR="008934B6" w:rsidRDefault="008934B6" w:rsidP="008934B6">
      <w:pPr>
        <w:spacing w:after="240"/>
        <w:ind w:left="567" w:hanging="567"/>
        <w:jc w:val="both"/>
        <w:rPr>
          <w:rFonts w:cs="Arial"/>
          <w:bCs/>
          <w:szCs w:val="22"/>
        </w:rPr>
      </w:pPr>
      <w:r>
        <w:rPr>
          <w:rFonts w:cs="Arial"/>
          <w:bCs/>
          <w:szCs w:val="22"/>
        </w:rPr>
        <w:t>4</w:t>
      </w:r>
      <w:r w:rsidR="009624A0">
        <w:rPr>
          <w:rFonts w:cs="Arial"/>
          <w:bCs/>
          <w:szCs w:val="22"/>
        </w:rPr>
        <w:t>0</w:t>
      </w:r>
      <w:r>
        <w:rPr>
          <w:rFonts w:cs="Arial"/>
          <w:bCs/>
          <w:szCs w:val="22"/>
        </w:rPr>
        <w:t>.</w:t>
      </w:r>
      <w:r>
        <w:rPr>
          <w:rFonts w:cs="Arial"/>
          <w:bCs/>
          <w:szCs w:val="22"/>
        </w:rPr>
        <w:tab/>
      </w:r>
      <w:r w:rsidRPr="008B3CAB">
        <w:rPr>
          <w:rFonts w:cs="Arial"/>
          <w:bCs/>
          <w:szCs w:val="22"/>
        </w:rPr>
        <w:t xml:space="preserve">The </w:t>
      </w:r>
      <w:r>
        <w:rPr>
          <w:rFonts w:cs="Arial"/>
          <w:bCs/>
          <w:szCs w:val="22"/>
        </w:rPr>
        <w:t xml:space="preserve">CIA quotes the </w:t>
      </w:r>
      <w:r w:rsidRPr="008B3CAB">
        <w:rPr>
          <w:rFonts w:cs="Arial"/>
          <w:bCs/>
          <w:szCs w:val="22"/>
        </w:rPr>
        <w:t>2014 report ‘Gambling Harm in the Northern Territory: An Atlas of Venue Catchments’ which was a report prepared for the Community Benefit Committee through the Department of Business in May 2014, submits that 84% of residents within the Northern Territory present as non-problem gamblers, with the remaining being within the scale of risk.</w:t>
      </w:r>
    </w:p>
    <w:p w:rsidR="008934B6" w:rsidRDefault="008934B6" w:rsidP="008934B6">
      <w:pPr>
        <w:spacing w:after="240"/>
        <w:ind w:left="567" w:hanging="567"/>
        <w:jc w:val="both"/>
        <w:rPr>
          <w:rFonts w:cs="Arial"/>
          <w:bCs/>
          <w:szCs w:val="22"/>
        </w:rPr>
      </w:pPr>
      <w:r>
        <w:rPr>
          <w:rFonts w:cs="Arial"/>
          <w:bCs/>
          <w:szCs w:val="22"/>
        </w:rPr>
        <w:t>4</w:t>
      </w:r>
      <w:r w:rsidR="009624A0">
        <w:rPr>
          <w:rFonts w:cs="Arial"/>
          <w:bCs/>
          <w:szCs w:val="22"/>
        </w:rPr>
        <w:t>2</w:t>
      </w:r>
      <w:r>
        <w:rPr>
          <w:rFonts w:cs="Arial"/>
          <w:bCs/>
          <w:szCs w:val="22"/>
        </w:rPr>
        <w:t>.</w:t>
      </w:r>
      <w:r>
        <w:rPr>
          <w:rFonts w:cs="Arial"/>
          <w:bCs/>
          <w:szCs w:val="22"/>
        </w:rPr>
        <w:tab/>
        <w:t xml:space="preserve">Due to a low response rate of </w:t>
      </w:r>
      <w:r w:rsidR="00243E2D">
        <w:rPr>
          <w:rFonts w:cs="Arial"/>
          <w:bCs/>
          <w:szCs w:val="22"/>
        </w:rPr>
        <w:t>34</w:t>
      </w:r>
      <w:r>
        <w:rPr>
          <w:rFonts w:cs="Arial"/>
          <w:bCs/>
          <w:szCs w:val="22"/>
        </w:rPr>
        <w:t xml:space="preserve"> from a catchment of </w:t>
      </w:r>
      <w:r w:rsidR="00243E2D">
        <w:rPr>
          <w:rFonts w:cs="Arial"/>
          <w:bCs/>
          <w:szCs w:val="22"/>
        </w:rPr>
        <w:t>548</w:t>
      </w:r>
      <w:r>
        <w:rPr>
          <w:rFonts w:cs="Arial"/>
          <w:bCs/>
          <w:szCs w:val="22"/>
        </w:rPr>
        <w:t xml:space="preserve"> respondents, the CIA states specific figures relating to this Applicant are not available.  Whilst this does not assist in the assessment of the application, it is noted a number of previous CIA’s submitted to the Director-General suggest a cautious approach be taken in relying on figures provided due to the low level of respondents.</w:t>
      </w:r>
    </w:p>
    <w:p w:rsidR="008934B6" w:rsidRDefault="008934B6" w:rsidP="008934B6">
      <w:pPr>
        <w:spacing w:after="240"/>
        <w:ind w:left="567" w:hanging="567"/>
        <w:jc w:val="both"/>
        <w:rPr>
          <w:rFonts w:cs="Arial"/>
          <w:bCs/>
          <w:szCs w:val="22"/>
        </w:rPr>
      </w:pPr>
      <w:r>
        <w:rPr>
          <w:rFonts w:cs="Arial"/>
          <w:bCs/>
          <w:szCs w:val="22"/>
        </w:rPr>
        <w:t>4</w:t>
      </w:r>
      <w:r w:rsidR="009624A0">
        <w:rPr>
          <w:rFonts w:cs="Arial"/>
          <w:bCs/>
          <w:szCs w:val="22"/>
        </w:rPr>
        <w:t>3</w:t>
      </w:r>
      <w:r>
        <w:rPr>
          <w:rFonts w:cs="Arial"/>
          <w:bCs/>
          <w:szCs w:val="22"/>
        </w:rPr>
        <w:t>.</w:t>
      </w:r>
      <w:r>
        <w:rPr>
          <w:rFonts w:cs="Arial"/>
          <w:bCs/>
          <w:szCs w:val="22"/>
        </w:rPr>
        <w:tab/>
        <w:t>The CIA also sets out the policy and procedures underpinning the responsible delivery of gaming services relevant to the venue.  Harm minimisation strategies and measures including exclusion provisions, cash limits, restrictions on cheque chasing and the location of the automatic teller machine away from the gaming room are in existence in the premises.  These are also requirements that must be met to ensure the premises comply with gaming machine audits conducted by Licensing NT officers.</w:t>
      </w:r>
    </w:p>
    <w:p w:rsidR="008934B6" w:rsidRDefault="008934B6" w:rsidP="008934B6">
      <w:pPr>
        <w:spacing w:after="240"/>
        <w:ind w:left="567" w:hanging="567"/>
        <w:jc w:val="both"/>
        <w:rPr>
          <w:rFonts w:cs="Arial"/>
          <w:bCs/>
          <w:szCs w:val="22"/>
        </w:rPr>
      </w:pPr>
      <w:r>
        <w:rPr>
          <w:rFonts w:cs="Arial"/>
          <w:bCs/>
          <w:szCs w:val="22"/>
        </w:rPr>
        <w:t>4</w:t>
      </w:r>
      <w:r w:rsidR="009624A0">
        <w:rPr>
          <w:rFonts w:cs="Arial"/>
          <w:bCs/>
          <w:szCs w:val="22"/>
        </w:rPr>
        <w:t>4</w:t>
      </w:r>
      <w:r>
        <w:rPr>
          <w:rFonts w:cs="Arial"/>
          <w:bCs/>
          <w:szCs w:val="22"/>
        </w:rPr>
        <w:t>.</w:t>
      </w:r>
      <w:r>
        <w:rPr>
          <w:rFonts w:cs="Arial"/>
          <w:bCs/>
          <w:szCs w:val="22"/>
        </w:rPr>
        <w:tab/>
      </w:r>
      <w:r w:rsidRPr="008F70BE">
        <w:rPr>
          <w:rFonts w:cs="Arial"/>
          <w:bCs/>
          <w:szCs w:val="22"/>
        </w:rPr>
        <w:t xml:space="preserve">Further information was sought from the Applicant in relation to this application and as a result, a copy of the venue’s Responsible Gambling Incident Register was provided.  </w:t>
      </w:r>
      <w:r>
        <w:rPr>
          <w:rFonts w:cs="Arial"/>
          <w:bCs/>
          <w:szCs w:val="22"/>
        </w:rPr>
        <w:t>There are t</w:t>
      </w:r>
      <w:r w:rsidR="009624A0">
        <w:rPr>
          <w:rFonts w:cs="Arial"/>
          <w:bCs/>
          <w:szCs w:val="22"/>
        </w:rPr>
        <w:t xml:space="preserve">hree </w:t>
      </w:r>
      <w:r>
        <w:rPr>
          <w:rFonts w:cs="Arial"/>
          <w:bCs/>
          <w:szCs w:val="22"/>
        </w:rPr>
        <w:t>pe</w:t>
      </w:r>
      <w:r w:rsidR="009624A0">
        <w:rPr>
          <w:rFonts w:cs="Arial"/>
          <w:bCs/>
          <w:szCs w:val="22"/>
        </w:rPr>
        <w:t>ople</w:t>
      </w:r>
      <w:r>
        <w:rPr>
          <w:rFonts w:cs="Arial"/>
          <w:bCs/>
          <w:szCs w:val="22"/>
        </w:rPr>
        <w:t xml:space="preserve"> recorded as </w:t>
      </w:r>
      <w:r w:rsidR="009624A0">
        <w:rPr>
          <w:rFonts w:cs="Arial"/>
          <w:bCs/>
          <w:szCs w:val="22"/>
        </w:rPr>
        <w:t xml:space="preserve">having </w:t>
      </w:r>
      <w:r>
        <w:rPr>
          <w:rFonts w:cs="Arial"/>
          <w:bCs/>
          <w:szCs w:val="22"/>
        </w:rPr>
        <w:t>self-excluded</w:t>
      </w:r>
      <w:r w:rsidR="009624A0">
        <w:rPr>
          <w:rFonts w:cs="Arial"/>
          <w:bCs/>
          <w:szCs w:val="22"/>
        </w:rPr>
        <w:t>, with one current.  The Applicant states all incidents are recorded however they do not experience many</w:t>
      </w:r>
      <w:r>
        <w:rPr>
          <w:rFonts w:cs="Arial"/>
          <w:bCs/>
          <w:szCs w:val="22"/>
        </w:rPr>
        <w:t>.</w:t>
      </w:r>
    </w:p>
    <w:p w:rsidR="008934B6" w:rsidRDefault="008934B6" w:rsidP="008934B6">
      <w:pPr>
        <w:spacing w:after="240"/>
        <w:ind w:left="567" w:hanging="567"/>
        <w:jc w:val="both"/>
        <w:rPr>
          <w:rFonts w:cs="Arial"/>
          <w:bCs/>
          <w:szCs w:val="22"/>
        </w:rPr>
      </w:pPr>
      <w:r>
        <w:rPr>
          <w:rFonts w:cs="Arial"/>
          <w:bCs/>
          <w:szCs w:val="22"/>
        </w:rPr>
        <w:t>4</w:t>
      </w:r>
      <w:r w:rsidR="009624A0">
        <w:rPr>
          <w:rFonts w:cs="Arial"/>
          <w:bCs/>
          <w:szCs w:val="22"/>
        </w:rPr>
        <w:t>5</w:t>
      </w:r>
      <w:r>
        <w:rPr>
          <w:rFonts w:cs="Arial"/>
          <w:bCs/>
          <w:szCs w:val="22"/>
        </w:rPr>
        <w:t>.</w:t>
      </w:r>
      <w:r>
        <w:rPr>
          <w:rFonts w:cs="Arial"/>
          <w:bCs/>
          <w:szCs w:val="22"/>
        </w:rPr>
        <w:tab/>
        <w:t xml:space="preserve">There are few entries and the lack of </w:t>
      </w:r>
      <w:r w:rsidRPr="008F70BE">
        <w:rPr>
          <w:rFonts w:cs="Arial"/>
          <w:bCs/>
          <w:szCs w:val="22"/>
        </w:rPr>
        <w:t xml:space="preserve">entries </w:t>
      </w:r>
      <w:r>
        <w:rPr>
          <w:rFonts w:cs="Arial"/>
          <w:bCs/>
          <w:szCs w:val="22"/>
        </w:rPr>
        <w:t xml:space="preserve">could </w:t>
      </w:r>
      <w:r w:rsidRPr="008F70BE">
        <w:rPr>
          <w:rFonts w:cs="Arial"/>
          <w:bCs/>
          <w:szCs w:val="22"/>
        </w:rPr>
        <w:t xml:space="preserve">raise concerns </w:t>
      </w:r>
      <w:r>
        <w:rPr>
          <w:rFonts w:cs="Arial"/>
          <w:bCs/>
          <w:szCs w:val="22"/>
        </w:rPr>
        <w:t xml:space="preserve">that incidents are not being properly recorded, alternatively it may simply be that there has been so few incidents to record.  It is submitted </w:t>
      </w:r>
      <w:r w:rsidRPr="008F70BE">
        <w:rPr>
          <w:rFonts w:cs="Arial"/>
          <w:bCs/>
          <w:szCs w:val="22"/>
        </w:rPr>
        <w:t>the management of the business conducted under the Gaming Machine Licence</w:t>
      </w:r>
      <w:r>
        <w:rPr>
          <w:rFonts w:cs="Arial"/>
          <w:bCs/>
          <w:szCs w:val="22"/>
        </w:rPr>
        <w:t xml:space="preserve"> and th</w:t>
      </w:r>
      <w:r w:rsidRPr="008F70BE">
        <w:rPr>
          <w:rFonts w:cs="Arial"/>
          <w:bCs/>
          <w:szCs w:val="22"/>
        </w:rPr>
        <w:t xml:space="preserve">e manner in which the Applicant conducts and manages </w:t>
      </w:r>
      <w:r>
        <w:rPr>
          <w:rFonts w:cs="Arial"/>
          <w:bCs/>
          <w:szCs w:val="22"/>
        </w:rPr>
        <w:t xml:space="preserve">the </w:t>
      </w:r>
      <w:r w:rsidRPr="008F70BE">
        <w:rPr>
          <w:rFonts w:cs="Arial"/>
          <w:bCs/>
          <w:szCs w:val="22"/>
        </w:rPr>
        <w:t>overall business of the premises</w:t>
      </w:r>
      <w:r>
        <w:rPr>
          <w:rFonts w:cs="Arial"/>
          <w:bCs/>
          <w:szCs w:val="22"/>
        </w:rPr>
        <w:t xml:space="preserve"> may cause there to be few, if any incidents or concern in relation to gaming on the premises.</w:t>
      </w:r>
    </w:p>
    <w:p w:rsidR="009624A0" w:rsidRDefault="009624A0" w:rsidP="008934B6">
      <w:pPr>
        <w:spacing w:after="240"/>
        <w:ind w:left="567" w:hanging="567"/>
        <w:jc w:val="both"/>
        <w:rPr>
          <w:rFonts w:cs="Arial"/>
          <w:bCs/>
          <w:szCs w:val="22"/>
        </w:rPr>
      </w:pPr>
    </w:p>
    <w:p w:rsidR="008934B6" w:rsidRDefault="00AE2A72" w:rsidP="008934B6">
      <w:pPr>
        <w:spacing w:after="240"/>
        <w:ind w:left="567" w:hanging="567"/>
        <w:jc w:val="both"/>
        <w:rPr>
          <w:rFonts w:cs="Arial"/>
          <w:bCs/>
          <w:szCs w:val="22"/>
        </w:rPr>
      </w:pPr>
      <w:r>
        <w:rPr>
          <w:rFonts w:cs="Arial"/>
          <w:bCs/>
          <w:szCs w:val="22"/>
        </w:rPr>
        <w:lastRenderedPageBreak/>
        <w:t>4</w:t>
      </w:r>
      <w:r w:rsidR="009624A0">
        <w:rPr>
          <w:rFonts w:cs="Arial"/>
          <w:bCs/>
          <w:szCs w:val="22"/>
        </w:rPr>
        <w:t>6</w:t>
      </w:r>
      <w:r w:rsidR="008934B6">
        <w:rPr>
          <w:rFonts w:cs="Arial"/>
          <w:bCs/>
          <w:szCs w:val="22"/>
        </w:rPr>
        <w:t>.</w:t>
      </w:r>
      <w:r w:rsidR="008934B6">
        <w:rPr>
          <w:rFonts w:cs="Arial"/>
          <w:bCs/>
          <w:szCs w:val="22"/>
        </w:rPr>
        <w:tab/>
      </w:r>
      <w:r w:rsidR="008934B6" w:rsidRPr="008F70BE">
        <w:rPr>
          <w:rFonts w:cs="Arial"/>
          <w:bCs/>
          <w:szCs w:val="22"/>
        </w:rPr>
        <w:t>The policies in place at the</w:t>
      </w:r>
      <w:r w:rsidR="008934B6">
        <w:rPr>
          <w:rFonts w:cs="Arial"/>
          <w:bCs/>
          <w:szCs w:val="22"/>
        </w:rPr>
        <w:t xml:space="preserve"> venue</w:t>
      </w:r>
      <w:r w:rsidR="008934B6" w:rsidRPr="008F70BE">
        <w:rPr>
          <w:rFonts w:cs="Arial"/>
          <w:bCs/>
          <w:szCs w:val="22"/>
        </w:rPr>
        <w:t xml:space="preserve"> at present are compliant with the </w:t>
      </w:r>
      <w:r w:rsidR="008934B6" w:rsidRPr="0037611B">
        <w:rPr>
          <w:rFonts w:cs="Arial"/>
          <w:bCs/>
          <w:i/>
          <w:szCs w:val="22"/>
        </w:rPr>
        <w:t>NT Code of Practice for Responsible Gambling (2016)</w:t>
      </w:r>
      <w:r w:rsidR="008934B6" w:rsidRPr="008F70BE">
        <w:rPr>
          <w:rFonts w:cs="Arial"/>
          <w:bCs/>
          <w:szCs w:val="22"/>
        </w:rPr>
        <w:t xml:space="preserve"> and there is no indication that an </w:t>
      </w:r>
      <w:r w:rsidR="008934B6" w:rsidRPr="008F70BE">
        <w:rPr>
          <w:rFonts w:cs="Arial"/>
          <w:szCs w:val="24"/>
        </w:rPr>
        <w:t>increase</w:t>
      </w:r>
      <w:r w:rsidR="008934B6"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8934B6" w:rsidRDefault="008934B6" w:rsidP="001A677D">
      <w:pPr>
        <w:pStyle w:val="Heading4"/>
        <w:rPr>
          <w:rStyle w:val="Emphasis"/>
          <w:b w:val="0"/>
          <w:i w:val="0"/>
        </w:rPr>
      </w:pPr>
      <w:r w:rsidRPr="00587446">
        <w:rPr>
          <w:rStyle w:val="Emphasis"/>
          <w:i w:val="0"/>
        </w:rPr>
        <w:t>Economic impact - contribution to the com</w:t>
      </w:r>
      <w:r>
        <w:rPr>
          <w:rStyle w:val="Emphasis"/>
          <w:i w:val="0"/>
        </w:rPr>
        <w:t xml:space="preserve">munity, employment creation and </w:t>
      </w:r>
      <w:r w:rsidRPr="00587446">
        <w:rPr>
          <w:rStyle w:val="Emphasis"/>
          <w:i w:val="0"/>
        </w:rPr>
        <w:t>significance/reliance of the venue to or on tourism</w:t>
      </w:r>
    </w:p>
    <w:p w:rsidR="008934B6" w:rsidRDefault="00AE2A72" w:rsidP="008934B6">
      <w:pPr>
        <w:spacing w:after="240"/>
        <w:ind w:left="567" w:hanging="567"/>
        <w:jc w:val="both"/>
        <w:rPr>
          <w:rFonts w:cs="Arial"/>
          <w:bCs/>
          <w:szCs w:val="22"/>
        </w:rPr>
      </w:pPr>
      <w:r>
        <w:rPr>
          <w:rStyle w:val="Emphasis"/>
          <w:i w:val="0"/>
        </w:rPr>
        <w:t>4</w:t>
      </w:r>
      <w:r w:rsidR="009624A0">
        <w:rPr>
          <w:rStyle w:val="Emphasis"/>
          <w:i w:val="0"/>
        </w:rPr>
        <w:t>7</w:t>
      </w:r>
      <w:r w:rsidR="008934B6">
        <w:rPr>
          <w:rStyle w:val="Emphasis"/>
          <w:i w:val="0"/>
        </w:rPr>
        <w:t>.</w:t>
      </w:r>
      <w:r w:rsidR="008934B6">
        <w:rPr>
          <w:rStyle w:val="Emphasis"/>
          <w:i w:val="0"/>
        </w:rPr>
        <w:tab/>
      </w:r>
      <w:r w:rsidR="008934B6">
        <w:rPr>
          <w:rFonts w:cs="Arial"/>
          <w:bCs/>
          <w:szCs w:val="22"/>
        </w:rPr>
        <w:t xml:space="preserve">The CIA states the venue currently employs </w:t>
      </w:r>
      <w:r w:rsidR="009624A0">
        <w:rPr>
          <w:rFonts w:cs="Arial"/>
          <w:bCs/>
          <w:szCs w:val="22"/>
        </w:rPr>
        <w:t>20</w:t>
      </w:r>
      <w:r w:rsidR="008934B6">
        <w:rPr>
          <w:rFonts w:cs="Arial"/>
          <w:bCs/>
          <w:szCs w:val="22"/>
        </w:rPr>
        <w:t xml:space="preserve"> staff, all local residents</w:t>
      </w:r>
      <w:proofErr w:type="gramStart"/>
      <w:r w:rsidR="008934B6">
        <w:rPr>
          <w:rFonts w:cs="Arial"/>
          <w:bCs/>
          <w:szCs w:val="22"/>
        </w:rPr>
        <w:t xml:space="preserve">.  </w:t>
      </w:r>
      <w:proofErr w:type="gramEnd"/>
      <w:r w:rsidR="008934B6">
        <w:rPr>
          <w:rFonts w:cs="Arial"/>
          <w:bCs/>
          <w:szCs w:val="22"/>
        </w:rPr>
        <w:t>It is anticipated the premises will continue to increase their staffing levels in accordance with the increase in revenues and patronage they have been experiencing each year.</w:t>
      </w:r>
      <w:r w:rsidR="009624A0">
        <w:rPr>
          <w:rFonts w:cs="Arial"/>
          <w:bCs/>
          <w:szCs w:val="22"/>
        </w:rPr>
        <w:t xml:space="preserve">  They expect there will be two persons employed specifically in relation to the gaming machines if the licence is approved.</w:t>
      </w:r>
    </w:p>
    <w:p w:rsidR="008934B6" w:rsidRDefault="009624A0" w:rsidP="008934B6">
      <w:pPr>
        <w:spacing w:after="240"/>
        <w:ind w:left="567" w:hanging="567"/>
        <w:jc w:val="both"/>
        <w:rPr>
          <w:rFonts w:cs="Arial"/>
          <w:bCs/>
          <w:szCs w:val="22"/>
        </w:rPr>
      </w:pPr>
      <w:r>
        <w:rPr>
          <w:rFonts w:cs="Arial"/>
          <w:bCs/>
          <w:szCs w:val="22"/>
        </w:rPr>
        <w:t>48</w:t>
      </w:r>
      <w:r w:rsidR="008934B6">
        <w:rPr>
          <w:rFonts w:cs="Arial"/>
          <w:bCs/>
          <w:szCs w:val="22"/>
        </w:rPr>
        <w:t>.</w:t>
      </w:r>
      <w:r w:rsidR="008934B6">
        <w:rPr>
          <w:rFonts w:cs="Arial"/>
          <w:bCs/>
          <w:szCs w:val="22"/>
        </w:rPr>
        <w:tab/>
        <w:t xml:space="preserve">The CIA reports </w:t>
      </w:r>
      <w:r>
        <w:rPr>
          <w:rFonts w:cs="Arial"/>
          <w:bCs/>
          <w:szCs w:val="22"/>
        </w:rPr>
        <w:t>eight</w:t>
      </w:r>
      <w:r w:rsidR="008934B6">
        <w:rPr>
          <w:rFonts w:cs="Arial"/>
          <w:bCs/>
          <w:szCs w:val="22"/>
        </w:rPr>
        <w:t xml:space="preserve"> organisations were contacted to ascertain their views on the potential impact of the application within the LCA.  </w:t>
      </w:r>
      <w:r>
        <w:rPr>
          <w:rFonts w:cs="Arial"/>
          <w:bCs/>
          <w:szCs w:val="22"/>
        </w:rPr>
        <w:t>All e</w:t>
      </w:r>
      <w:r w:rsidR="008934B6">
        <w:rPr>
          <w:rFonts w:cs="Arial"/>
          <w:bCs/>
          <w:szCs w:val="22"/>
        </w:rPr>
        <w:t>ight or</w:t>
      </w:r>
      <w:r>
        <w:rPr>
          <w:rFonts w:cs="Arial"/>
          <w:bCs/>
          <w:szCs w:val="22"/>
        </w:rPr>
        <w:t>ganisations responded with two being supportive, two neutral and four against the increase in gaming machines.</w:t>
      </w:r>
    </w:p>
    <w:p w:rsidR="008934B6" w:rsidRDefault="009624A0" w:rsidP="008934B6">
      <w:pPr>
        <w:spacing w:after="240"/>
        <w:ind w:left="567" w:hanging="567"/>
        <w:jc w:val="both"/>
        <w:rPr>
          <w:rFonts w:cs="Arial"/>
          <w:bCs/>
          <w:szCs w:val="22"/>
        </w:rPr>
      </w:pPr>
      <w:r>
        <w:rPr>
          <w:rFonts w:cs="Arial"/>
          <w:bCs/>
          <w:szCs w:val="22"/>
        </w:rPr>
        <w:t>4</w:t>
      </w:r>
      <w:r w:rsidR="00AE2A72">
        <w:rPr>
          <w:rFonts w:cs="Arial"/>
          <w:bCs/>
          <w:szCs w:val="22"/>
        </w:rPr>
        <w:t>9</w:t>
      </w:r>
      <w:r w:rsidR="008934B6">
        <w:rPr>
          <w:rFonts w:cs="Arial"/>
          <w:bCs/>
          <w:szCs w:val="22"/>
        </w:rPr>
        <w:t xml:space="preserve">. </w:t>
      </w:r>
      <w:r w:rsidR="008934B6">
        <w:rPr>
          <w:rFonts w:cs="Arial"/>
          <w:bCs/>
          <w:szCs w:val="22"/>
        </w:rPr>
        <w:tab/>
        <w:t>The community organisations that did not respond are listed in the CIA.</w:t>
      </w:r>
    </w:p>
    <w:p w:rsidR="008934B6" w:rsidRDefault="009624A0" w:rsidP="008934B6">
      <w:pPr>
        <w:spacing w:after="240"/>
        <w:ind w:left="567" w:hanging="567"/>
        <w:jc w:val="both"/>
        <w:rPr>
          <w:rFonts w:cs="Arial"/>
          <w:bCs/>
          <w:szCs w:val="22"/>
        </w:rPr>
      </w:pPr>
      <w:r>
        <w:rPr>
          <w:rFonts w:cs="Arial"/>
          <w:bCs/>
          <w:szCs w:val="22"/>
        </w:rPr>
        <w:t>50</w:t>
      </w:r>
      <w:r w:rsidR="008934B6">
        <w:rPr>
          <w:rFonts w:cs="Arial"/>
          <w:bCs/>
          <w:szCs w:val="22"/>
        </w:rPr>
        <w:t>.</w:t>
      </w:r>
      <w:r w:rsidR="008934B6">
        <w:rPr>
          <w:rFonts w:cs="Arial"/>
          <w:bCs/>
          <w:szCs w:val="22"/>
        </w:rPr>
        <w:tab/>
      </w:r>
      <w:r w:rsidR="008934B6" w:rsidRPr="00D92E7A">
        <w:rPr>
          <w:rFonts w:cs="Arial"/>
          <w:bCs/>
          <w:szCs w:val="22"/>
        </w:rPr>
        <w:t>Whilst the concerns expressed by those organisations that did complete the Community Representative Feedback survey are noted and taken into account they cannot, in my view be afforded sufficient weight to persuade me to reject the application on these responses alone</w:t>
      </w:r>
      <w:r>
        <w:rPr>
          <w:rFonts w:cs="Arial"/>
          <w:bCs/>
          <w:szCs w:val="22"/>
        </w:rPr>
        <w:t>.</w:t>
      </w:r>
    </w:p>
    <w:p w:rsidR="009624A0" w:rsidRDefault="009624A0" w:rsidP="008934B6">
      <w:pPr>
        <w:spacing w:after="240"/>
        <w:ind w:left="567" w:hanging="567"/>
        <w:jc w:val="both"/>
        <w:rPr>
          <w:rFonts w:cs="Arial"/>
          <w:bCs/>
          <w:szCs w:val="22"/>
        </w:rPr>
      </w:pPr>
      <w:r>
        <w:rPr>
          <w:rFonts w:cs="Arial"/>
          <w:bCs/>
          <w:szCs w:val="22"/>
        </w:rPr>
        <w:t>51.</w:t>
      </w:r>
      <w:r>
        <w:rPr>
          <w:rFonts w:cs="Arial"/>
          <w:bCs/>
          <w:szCs w:val="22"/>
        </w:rPr>
        <w:tab/>
        <w:t>A patron survey was undertaken by the venue with six patrons making comments.  All were supportive of the application.</w:t>
      </w:r>
    </w:p>
    <w:p w:rsidR="008934B6" w:rsidRDefault="008934B6" w:rsidP="001A677D">
      <w:pPr>
        <w:pStyle w:val="Heading4"/>
      </w:pPr>
      <w:r w:rsidRPr="00980A08">
        <w:t>Written submissions in response to the application</w:t>
      </w:r>
    </w:p>
    <w:p w:rsidR="008934B6" w:rsidRDefault="009624A0" w:rsidP="008934B6">
      <w:pPr>
        <w:spacing w:after="240"/>
        <w:ind w:left="567" w:hanging="567"/>
        <w:jc w:val="both"/>
        <w:rPr>
          <w:rFonts w:cs="Arial"/>
          <w:szCs w:val="24"/>
        </w:rPr>
      </w:pPr>
      <w:r>
        <w:rPr>
          <w:rFonts w:cs="Arial"/>
          <w:bCs/>
          <w:szCs w:val="22"/>
        </w:rPr>
        <w:t>52</w:t>
      </w:r>
      <w:r w:rsidR="008934B6">
        <w:rPr>
          <w:rFonts w:cs="Arial"/>
          <w:bCs/>
          <w:szCs w:val="22"/>
        </w:rPr>
        <w:t>.</w:t>
      </w:r>
      <w:r w:rsidR="008934B6">
        <w:rPr>
          <w:rFonts w:cs="Arial"/>
          <w:bCs/>
          <w:szCs w:val="22"/>
        </w:rPr>
        <w:tab/>
      </w:r>
      <w:r w:rsidR="008934B6" w:rsidRPr="00655618">
        <w:rPr>
          <w:rFonts w:cs="Arial"/>
          <w:szCs w:val="24"/>
        </w:rPr>
        <w:t xml:space="preserve">As required by section 41B of the Act, notification of the application was advertised in the Northern Territory News on </w:t>
      </w:r>
      <w:r>
        <w:rPr>
          <w:rFonts w:cs="Arial"/>
          <w:szCs w:val="24"/>
        </w:rPr>
        <w:t>27 May</w:t>
      </w:r>
      <w:r w:rsidR="008934B6">
        <w:rPr>
          <w:rFonts w:cs="Arial"/>
          <w:szCs w:val="24"/>
        </w:rPr>
        <w:t xml:space="preserve"> 2016</w:t>
      </w:r>
      <w:proofErr w:type="gramStart"/>
      <w:r w:rsidR="008934B6" w:rsidRPr="00655618">
        <w:rPr>
          <w:rFonts w:cs="Arial"/>
          <w:szCs w:val="24"/>
        </w:rPr>
        <w:t xml:space="preserve">.  </w:t>
      </w:r>
      <w:proofErr w:type="gramEnd"/>
      <w:r w:rsidR="008934B6" w:rsidRPr="00655618">
        <w:rPr>
          <w:rFonts w:cs="Arial"/>
          <w:szCs w:val="24"/>
        </w:rPr>
        <w:t xml:space="preserve">Pursuant to the Act, a written submission may be made to the Director-General </w:t>
      </w:r>
      <w:r w:rsidR="008934B6" w:rsidRPr="00B3067F">
        <w:rPr>
          <w:rFonts w:cs="Arial"/>
          <w:szCs w:val="24"/>
        </w:rPr>
        <w:t>within 30 days of the notification.</w:t>
      </w:r>
    </w:p>
    <w:p w:rsidR="008934B6" w:rsidRDefault="009624A0" w:rsidP="008934B6">
      <w:pPr>
        <w:spacing w:after="240"/>
        <w:ind w:left="567" w:hanging="567"/>
        <w:jc w:val="both"/>
        <w:rPr>
          <w:rFonts w:cs="Arial"/>
          <w:szCs w:val="24"/>
        </w:rPr>
      </w:pPr>
      <w:r>
        <w:rPr>
          <w:rFonts w:cs="Arial"/>
          <w:szCs w:val="24"/>
        </w:rPr>
        <w:t>53</w:t>
      </w:r>
      <w:r w:rsidR="008934B6">
        <w:rPr>
          <w:rFonts w:cs="Arial"/>
          <w:szCs w:val="24"/>
        </w:rPr>
        <w:t>.</w:t>
      </w:r>
      <w:r w:rsidR="008934B6">
        <w:rPr>
          <w:rFonts w:cs="Arial"/>
          <w:szCs w:val="24"/>
        </w:rPr>
        <w:tab/>
        <w:t xml:space="preserve">No submissions were received as a result of the public advertising.  Despite this the author is aware of a general </w:t>
      </w:r>
      <w:r w:rsidR="008934B6" w:rsidRPr="00B3067F">
        <w:rPr>
          <w:rFonts w:cs="Arial"/>
          <w:szCs w:val="24"/>
        </w:rPr>
        <w:t xml:space="preserve">submission </w:t>
      </w:r>
      <w:r w:rsidR="008934B6">
        <w:rPr>
          <w:rFonts w:cs="Arial"/>
          <w:szCs w:val="24"/>
        </w:rPr>
        <w:t>that has been r</w:t>
      </w:r>
      <w:r w:rsidR="008934B6" w:rsidRPr="00B3067F">
        <w:rPr>
          <w:rFonts w:cs="Arial"/>
          <w:szCs w:val="24"/>
        </w:rPr>
        <w:t>eceived from Amity Community Services Inc (</w:t>
      </w:r>
      <w:r w:rsidR="008934B6">
        <w:rPr>
          <w:rFonts w:cs="Arial"/>
          <w:szCs w:val="24"/>
        </w:rPr>
        <w:t>“</w:t>
      </w:r>
      <w:r w:rsidR="008934B6" w:rsidRPr="00B3067F">
        <w:rPr>
          <w:rFonts w:cs="Arial"/>
          <w:szCs w:val="24"/>
        </w:rPr>
        <w:t>Amity</w:t>
      </w:r>
      <w:r w:rsidR="008934B6">
        <w:rPr>
          <w:rFonts w:cs="Arial"/>
          <w:szCs w:val="24"/>
        </w:rPr>
        <w:t>”</w:t>
      </w:r>
      <w:r w:rsidR="008934B6" w:rsidRPr="00B3067F">
        <w:rPr>
          <w:rFonts w:cs="Arial"/>
          <w:szCs w:val="24"/>
        </w:rPr>
        <w:t>)</w:t>
      </w:r>
      <w:r w:rsidR="008934B6">
        <w:rPr>
          <w:rFonts w:cs="Arial"/>
          <w:szCs w:val="24"/>
        </w:rPr>
        <w:t>, for other applications</w:t>
      </w:r>
      <w:r w:rsidR="008934B6" w:rsidRPr="00B3067F">
        <w:rPr>
          <w:rFonts w:cs="Arial"/>
          <w:szCs w:val="24"/>
        </w:rPr>
        <w:t>.</w:t>
      </w:r>
    </w:p>
    <w:p w:rsidR="008934B6" w:rsidRDefault="009624A0" w:rsidP="008934B6">
      <w:pPr>
        <w:keepNext/>
        <w:spacing w:after="120"/>
        <w:ind w:left="567" w:hanging="567"/>
        <w:jc w:val="both"/>
        <w:rPr>
          <w:rFonts w:cs="Arial"/>
          <w:szCs w:val="24"/>
        </w:rPr>
      </w:pPr>
      <w:r>
        <w:rPr>
          <w:rFonts w:cs="Arial"/>
          <w:szCs w:val="24"/>
        </w:rPr>
        <w:t>54</w:t>
      </w:r>
      <w:r w:rsidR="008934B6">
        <w:rPr>
          <w:rFonts w:cs="Arial"/>
          <w:szCs w:val="24"/>
        </w:rPr>
        <w:t>.</w:t>
      </w:r>
      <w:r w:rsidR="008934B6">
        <w:rPr>
          <w:rFonts w:cs="Arial"/>
          <w:szCs w:val="24"/>
        </w:rPr>
        <w:tab/>
      </w:r>
      <w:r w:rsidR="008934B6" w:rsidRPr="00B3067F">
        <w:rPr>
          <w:rFonts w:cs="Arial"/>
          <w:bCs/>
          <w:szCs w:val="22"/>
        </w:rPr>
        <w:t>Th</w:t>
      </w:r>
      <w:r w:rsidR="008934B6">
        <w:rPr>
          <w:rFonts w:cs="Arial"/>
          <w:bCs/>
          <w:szCs w:val="22"/>
        </w:rPr>
        <w:t>at</w:t>
      </w:r>
      <w:r w:rsidR="008934B6" w:rsidRPr="00B3067F">
        <w:rPr>
          <w:rFonts w:cs="Arial"/>
          <w:bCs/>
          <w:szCs w:val="22"/>
        </w:rPr>
        <w:t xml:space="preserve"> submission states that Amity has been working in the area of gambling for over two decades and</w:t>
      </w:r>
      <w:r w:rsidR="008934B6" w:rsidRPr="00B3067F">
        <w:rPr>
          <w:rFonts w:cs="Arial"/>
          <w:szCs w:val="24"/>
        </w:rPr>
        <w:t xml:space="preserve"> their programs are underpinned by a public health model that considers the impact of gambling on the entire community and on all gamblers, not just ‘problem gamblers’.  The model also focuses on prevention, rather than treatment alone.</w:t>
      </w:r>
    </w:p>
    <w:p w:rsidR="008934B6" w:rsidRDefault="009624A0" w:rsidP="008934B6">
      <w:pPr>
        <w:keepNext/>
        <w:spacing w:after="120"/>
        <w:ind w:left="567" w:hanging="567"/>
        <w:jc w:val="both"/>
        <w:rPr>
          <w:rFonts w:cs="Arial"/>
          <w:szCs w:val="24"/>
        </w:rPr>
      </w:pPr>
      <w:r>
        <w:rPr>
          <w:rFonts w:cs="Arial"/>
          <w:szCs w:val="24"/>
        </w:rPr>
        <w:t>55</w:t>
      </w:r>
      <w:r w:rsidR="008934B6">
        <w:rPr>
          <w:rFonts w:cs="Arial"/>
          <w:szCs w:val="24"/>
        </w:rPr>
        <w:t>.</w:t>
      </w:r>
      <w:r w:rsidR="008934B6">
        <w:rPr>
          <w:rFonts w:cs="Arial"/>
          <w:szCs w:val="24"/>
        </w:rPr>
        <w:tab/>
      </w:r>
      <w:r w:rsidR="008934B6" w:rsidRPr="00B3067F">
        <w:rPr>
          <w:rFonts w:cs="Arial"/>
          <w:szCs w:val="24"/>
        </w:rPr>
        <w:t>Amity works predominately in the areas of prevention of and intervention in problem gambling areas by providing extensive training, education, community liaison and health promotion in consultation with the gambling industry</w:t>
      </w:r>
      <w:proofErr w:type="gramStart"/>
      <w:r w:rsidR="008934B6" w:rsidRPr="00B3067F">
        <w:rPr>
          <w:rFonts w:cs="Arial"/>
          <w:szCs w:val="24"/>
        </w:rPr>
        <w:t xml:space="preserve">. </w:t>
      </w:r>
      <w:r w:rsidR="008934B6">
        <w:rPr>
          <w:rFonts w:cs="Arial"/>
          <w:szCs w:val="24"/>
        </w:rPr>
        <w:t xml:space="preserve"> </w:t>
      </w:r>
      <w:proofErr w:type="gramEnd"/>
      <w:r w:rsidR="008934B6" w:rsidRPr="00B3067F">
        <w:rPr>
          <w:rFonts w:cs="Arial"/>
          <w:szCs w:val="24"/>
        </w:rPr>
        <w:t>Amity provides its services throughout the Northern Territory with the aim of implementing harm minimisation strategies for safer gambling.</w:t>
      </w:r>
    </w:p>
    <w:p w:rsidR="008934B6" w:rsidRDefault="009624A0" w:rsidP="008934B6">
      <w:pPr>
        <w:keepNext/>
        <w:spacing w:after="120"/>
        <w:ind w:left="567" w:hanging="567"/>
        <w:jc w:val="both"/>
        <w:rPr>
          <w:rFonts w:cs="Arial"/>
          <w:szCs w:val="24"/>
        </w:rPr>
      </w:pPr>
      <w:r>
        <w:rPr>
          <w:rFonts w:cs="Arial"/>
          <w:szCs w:val="24"/>
        </w:rPr>
        <w:t>5</w:t>
      </w:r>
      <w:r w:rsidR="008934B6">
        <w:rPr>
          <w:rFonts w:cs="Arial"/>
          <w:szCs w:val="24"/>
        </w:rPr>
        <w:t>6.</w:t>
      </w:r>
      <w:r w:rsidR="008934B6">
        <w:rPr>
          <w:rFonts w:cs="Arial"/>
          <w:szCs w:val="24"/>
        </w:rPr>
        <w:tab/>
        <w:t xml:space="preserve">As there was no specific submission in relation to this application by </w:t>
      </w:r>
      <w:r w:rsidR="008934B6" w:rsidRPr="00B3067F">
        <w:rPr>
          <w:rFonts w:cs="Arial"/>
          <w:szCs w:val="24"/>
        </w:rPr>
        <w:t>Amity</w:t>
      </w:r>
      <w:r w:rsidR="008934B6">
        <w:rPr>
          <w:rFonts w:cs="Arial"/>
          <w:szCs w:val="24"/>
        </w:rPr>
        <w:t>, their opposition to</w:t>
      </w:r>
      <w:r w:rsidR="008934B6" w:rsidRPr="00B3067F">
        <w:rPr>
          <w:rFonts w:cs="Arial"/>
          <w:szCs w:val="24"/>
        </w:rPr>
        <w:t xml:space="preserve"> increas</w:t>
      </w:r>
      <w:r w:rsidR="008934B6">
        <w:rPr>
          <w:rFonts w:cs="Arial"/>
          <w:szCs w:val="24"/>
        </w:rPr>
        <w:t>ing</w:t>
      </w:r>
      <w:r w:rsidR="008934B6" w:rsidRPr="00B3067F">
        <w:rPr>
          <w:rFonts w:cs="Arial"/>
          <w:szCs w:val="24"/>
        </w:rPr>
        <w:t xml:space="preserve"> gaming machines</w:t>
      </w:r>
      <w:r w:rsidR="008934B6">
        <w:rPr>
          <w:rFonts w:cs="Arial"/>
          <w:szCs w:val="24"/>
        </w:rPr>
        <w:t xml:space="preserve"> can only be general in nature and afforded the appropriate weight in consideration of this matter</w:t>
      </w:r>
      <w:r w:rsidR="008934B6" w:rsidRPr="00B3067F">
        <w:rPr>
          <w:rFonts w:cs="Arial"/>
          <w:szCs w:val="24"/>
        </w:rPr>
        <w:t xml:space="preserve">.  Amity </w:t>
      </w:r>
      <w:r w:rsidR="008934B6">
        <w:rPr>
          <w:rFonts w:cs="Arial"/>
          <w:szCs w:val="24"/>
        </w:rPr>
        <w:t>has clearly expressed their view is</w:t>
      </w:r>
      <w:r w:rsidR="008934B6" w:rsidRPr="00B3067F">
        <w:rPr>
          <w:rFonts w:cs="Arial"/>
          <w:szCs w:val="24"/>
        </w:rPr>
        <w:t xml:space="preserve">, that an increase in gaming machines in the </w:t>
      </w:r>
      <w:r w:rsidR="008934B6">
        <w:rPr>
          <w:rFonts w:cs="Arial"/>
          <w:szCs w:val="24"/>
        </w:rPr>
        <w:t>Northern Territory</w:t>
      </w:r>
      <w:r w:rsidR="008934B6" w:rsidRPr="00B3067F">
        <w:rPr>
          <w:rFonts w:cs="Arial"/>
          <w:szCs w:val="24"/>
        </w:rPr>
        <w:t xml:space="preserve"> will have an overall negative effect on the health, social and economic welfare of at least a proportion of the </w:t>
      </w:r>
      <w:r w:rsidR="008934B6">
        <w:rPr>
          <w:rFonts w:cs="Arial"/>
          <w:szCs w:val="24"/>
        </w:rPr>
        <w:t xml:space="preserve">overall </w:t>
      </w:r>
      <w:r w:rsidR="008934B6" w:rsidRPr="00B3067F">
        <w:rPr>
          <w:rFonts w:cs="Arial"/>
          <w:szCs w:val="24"/>
        </w:rPr>
        <w:t>population.</w:t>
      </w:r>
    </w:p>
    <w:p w:rsidR="008934B6" w:rsidRDefault="009624A0" w:rsidP="008934B6">
      <w:pPr>
        <w:keepNext/>
        <w:spacing w:after="120"/>
        <w:ind w:left="567" w:hanging="567"/>
        <w:jc w:val="both"/>
        <w:rPr>
          <w:rFonts w:cs="Arial"/>
          <w:szCs w:val="24"/>
        </w:rPr>
      </w:pPr>
      <w:r>
        <w:rPr>
          <w:rFonts w:cs="Arial"/>
          <w:szCs w:val="24"/>
        </w:rPr>
        <w:t>57</w:t>
      </w:r>
      <w:r w:rsidR="008934B6">
        <w:rPr>
          <w:rFonts w:cs="Arial"/>
          <w:szCs w:val="24"/>
        </w:rPr>
        <w:t>.</w:t>
      </w:r>
      <w:r w:rsidR="008934B6">
        <w:rPr>
          <w:rFonts w:cs="Arial"/>
          <w:szCs w:val="24"/>
        </w:rPr>
        <w:tab/>
      </w:r>
      <w:r w:rsidR="008934B6" w:rsidRPr="00B3067F">
        <w:rPr>
          <w:rFonts w:cs="Arial"/>
          <w:szCs w:val="24"/>
        </w:rPr>
        <w:t xml:space="preserve">Amity submits that there is a plethora of problem gambling research that demonstrates the effects of problem gambling, including adverse effects on physical and mental health and wellbeing, financial stability, relationships, employment and legal issues.  Amity submits that </w:t>
      </w:r>
      <w:r w:rsidR="008934B6" w:rsidRPr="00B3067F">
        <w:rPr>
          <w:rFonts w:cs="Arial"/>
          <w:szCs w:val="24"/>
        </w:rPr>
        <w:lastRenderedPageBreak/>
        <w:t>problem gambling has been linked to risk factors for family violence and elevated levels of suicide including an increase in accessing homelessness services in the Northern Territory.</w:t>
      </w:r>
    </w:p>
    <w:p w:rsidR="008934B6" w:rsidRDefault="009624A0" w:rsidP="008934B6">
      <w:pPr>
        <w:keepNext/>
        <w:spacing w:after="120"/>
        <w:ind w:left="567" w:hanging="567"/>
        <w:jc w:val="both"/>
        <w:rPr>
          <w:rFonts w:cs="Arial"/>
          <w:szCs w:val="24"/>
        </w:rPr>
      </w:pPr>
      <w:r>
        <w:rPr>
          <w:rFonts w:cs="Arial"/>
          <w:szCs w:val="24"/>
        </w:rPr>
        <w:t>58</w:t>
      </w:r>
      <w:r w:rsidR="008934B6">
        <w:rPr>
          <w:rFonts w:cs="Arial"/>
          <w:szCs w:val="24"/>
        </w:rPr>
        <w:t>.</w:t>
      </w:r>
      <w:r w:rsidR="008934B6">
        <w:rPr>
          <w:rFonts w:cs="Arial"/>
          <w:szCs w:val="24"/>
        </w:rPr>
        <w:tab/>
      </w:r>
      <w:r w:rsidR="008934B6" w:rsidRPr="00B3067F">
        <w:rPr>
          <w:rFonts w:cs="Arial"/>
          <w:szCs w:val="24"/>
        </w:rPr>
        <w:t>Amity states that r</w:t>
      </w:r>
      <w:r w:rsidR="008934B6" w:rsidRPr="00F1351E">
        <w:rPr>
          <w:rFonts w:cs="Arial"/>
          <w:szCs w:val="24"/>
        </w:rPr>
        <w:t>esearch further indicates that 27% of the adult population in the Northern Territory participate in the use of gaming machines and problem gamblers spend on average $30</w:t>
      </w:r>
      <w:r w:rsidR="008934B6">
        <w:rPr>
          <w:rFonts w:cs="Arial"/>
          <w:szCs w:val="24"/>
        </w:rPr>
        <w:t> </w:t>
      </w:r>
      <w:r w:rsidR="008934B6" w:rsidRPr="00F1351E">
        <w:rPr>
          <w:rFonts w:cs="Arial"/>
          <w:szCs w:val="24"/>
        </w:rPr>
        <w:t>000 per annum.  During 2012-13</w:t>
      </w:r>
      <w:r w:rsidR="008934B6" w:rsidRPr="008F70BE">
        <w:rPr>
          <w:rFonts w:cs="Arial"/>
          <w:szCs w:val="24"/>
        </w:rPr>
        <w:t>, Amity state that the average net loss by players in community venues (pubs &amp; clubs) in the Northern Territory was $141 per machine, per day equating to approximately $50</w:t>
      </w:r>
      <w:r w:rsidR="008934B6">
        <w:rPr>
          <w:rFonts w:cs="Arial"/>
          <w:szCs w:val="24"/>
        </w:rPr>
        <w:t> </w:t>
      </w:r>
      <w:r w:rsidR="008934B6" w:rsidRPr="008F70BE">
        <w:rPr>
          <w:rFonts w:cs="Arial"/>
          <w:szCs w:val="24"/>
        </w:rPr>
        <w:t>000 per machine per year.</w:t>
      </w:r>
    </w:p>
    <w:p w:rsidR="008934B6" w:rsidRDefault="009624A0" w:rsidP="008934B6">
      <w:pPr>
        <w:keepNext/>
        <w:spacing w:after="120"/>
        <w:ind w:left="567" w:hanging="567"/>
        <w:jc w:val="both"/>
        <w:rPr>
          <w:rFonts w:cs="Arial"/>
          <w:bCs/>
          <w:szCs w:val="22"/>
        </w:rPr>
      </w:pPr>
      <w:r>
        <w:rPr>
          <w:rFonts w:cs="Arial"/>
          <w:szCs w:val="24"/>
        </w:rPr>
        <w:t>59</w:t>
      </w:r>
      <w:r w:rsidR="008934B6">
        <w:rPr>
          <w:rFonts w:cs="Arial"/>
          <w:szCs w:val="24"/>
        </w:rPr>
        <w:t>.</w:t>
      </w:r>
      <w:r w:rsidR="008934B6">
        <w:rPr>
          <w:rFonts w:cs="Arial"/>
          <w:szCs w:val="24"/>
        </w:rPr>
        <w:tab/>
      </w:r>
      <w:r w:rsidR="008934B6" w:rsidRPr="008F70BE">
        <w:rPr>
          <w:rFonts w:cs="Arial"/>
          <w:bCs/>
          <w:szCs w:val="22"/>
        </w:rPr>
        <w:t xml:space="preserve">Amity also advise that as their primary focus is on service delivery, they do not have the resources to analyse client data specifically in relation to the </w:t>
      </w:r>
      <w:r w:rsidR="008934B6">
        <w:rPr>
          <w:rFonts w:cs="Arial"/>
          <w:bCs/>
          <w:szCs w:val="22"/>
        </w:rPr>
        <w:t>venue</w:t>
      </w:r>
      <w:r w:rsidR="008934B6" w:rsidRPr="008F70BE">
        <w:rPr>
          <w:rFonts w:cs="Arial"/>
          <w:bCs/>
          <w:szCs w:val="22"/>
        </w:rPr>
        <w:t xml:space="preserve"> and are therefore unable to comment on the number of individuals that have been counselled by Amity in </w:t>
      </w:r>
      <w:r w:rsidR="008934B6" w:rsidRPr="008F70BE">
        <w:rPr>
          <w:rFonts w:cs="Arial"/>
          <w:szCs w:val="24"/>
        </w:rPr>
        <w:t>relation</w:t>
      </w:r>
      <w:r w:rsidR="008934B6" w:rsidRPr="008F70BE">
        <w:rPr>
          <w:rFonts w:cs="Arial"/>
          <w:bCs/>
          <w:szCs w:val="22"/>
        </w:rPr>
        <w:t xml:space="preserve"> to gambling related issues in the last 12 months.</w:t>
      </w:r>
    </w:p>
    <w:p w:rsidR="008934B6" w:rsidRPr="008F70BE" w:rsidRDefault="00AE2A72" w:rsidP="008934B6">
      <w:pPr>
        <w:keepNext/>
        <w:spacing w:after="120"/>
        <w:ind w:left="567" w:hanging="567"/>
        <w:jc w:val="both"/>
        <w:rPr>
          <w:rFonts w:cs="Arial"/>
          <w:bCs/>
          <w:szCs w:val="22"/>
        </w:rPr>
      </w:pPr>
      <w:r>
        <w:rPr>
          <w:rFonts w:cs="Arial"/>
          <w:bCs/>
          <w:szCs w:val="22"/>
        </w:rPr>
        <w:t>6</w:t>
      </w:r>
      <w:r w:rsidR="009624A0">
        <w:rPr>
          <w:rFonts w:cs="Arial"/>
          <w:bCs/>
          <w:szCs w:val="22"/>
        </w:rPr>
        <w:t>0</w:t>
      </w:r>
      <w:r w:rsidR="008934B6">
        <w:rPr>
          <w:rFonts w:cs="Arial"/>
          <w:bCs/>
          <w:szCs w:val="22"/>
        </w:rPr>
        <w:t>.</w:t>
      </w:r>
      <w:r w:rsidR="008934B6">
        <w:rPr>
          <w:rFonts w:cs="Arial"/>
          <w:bCs/>
          <w:szCs w:val="22"/>
        </w:rPr>
        <w:tab/>
        <w:t xml:space="preserve">Clearly </w:t>
      </w:r>
      <w:r w:rsidR="008934B6" w:rsidRPr="008F70BE">
        <w:rPr>
          <w:rFonts w:cs="Arial"/>
          <w:bCs/>
          <w:szCs w:val="22"/>
        </w:rPr>
        <w:t xml:space="preserve">Amity’s comments are </w:t>
      </w:r>
      <w:r w:rsidR="008934B6">
        <w:rPr>
          <w:rFonts w:cs="Arial"/>
          <w:bCs/>
          <w:szCs w:val="22"/>
        </w:rPr>
        <w:t>g</w:t>
      </w:r>
      <w:r w:rsidR="008934B6" w:rsidRPr="008F70BE">
        <w:rPr>
          <w:rFonts w:cs="Arial"/>
          <w:bCs/>
          <w:szCs w:val="22"/>
        </w:rPr>
        <w:t>eneral</w:t>
      </w:r>
      <w:r w:rsidR="008934B6">
        <w:rPr>
          <w:rFonts w:cs="Arial"/>
          <w:bCs/>
          <w:szCs w:val="22"/>
        </w:rPr>
        <w:t xml:space="preserve"> in</w:t>
      </w:r>
      <w:r w:rsidR="008934B6" w:rsidRPr="008F70BE">
        <w:rPr>
          <w:rFonts w:cs="Arial"/>
          <w:bCs/>
          <w:szCs w:val="22"/>
        </w:rPr>
        <w:t xml:space="preserve"> nature </w:t>
      </w:r>
      <w:r w:rsidR="008934B6">
        <w:rPr>
          <w:rFonts w:cs="Arial"/>
          <w:bCs/>
          <w:szCs w:val="22"/>
        </w:rPr>
        <w:t>with respect</w:t>
      </w:r>
      <w:r w:rsidR="008934B6" w:rsidRPr="008F70BE">
        <w:rPr>
          <w:rFonts w:cs="Arial"/>
          <w:bCs/>
          <w:szCs w:val="22"/>
        </w:rPr>
        <w:t xml:space="preserve"> to their concerns </w:t>
      </w:r>
      <w:r w:rsidR="008934B6">
        <w:rPr>
          <w:rFonts w:cs="Arial"/>
          <w:bCs/>
          <w:szCs w:val="22"/>
        </w:rPr>
        <w:t xml:space="preserve">about </w:t>
      </w:r>
      <w:r w:rsidR="008934B6" w:rsidRPr="008F70BE">
        <w:rPr>
          <w:rFonts w:cs="Arial"/>
          <w:bCs/>
          <w:szCs w:val="22"/>
        </w:rPr>
        <w:t>gambling and its potential negative impacts on a wider community</w:t>
      </w:r>
      <w:r w:rsidR="008934B6">
        <w:rPr>
          <w:rFonts w:cs="Arial"/>
          <w:bCs/>
          <w:szCs w:val="22"/>
        </w:rPr>
        <w:t>.  Further, they have made no specific submissions in relation to this application or the premises.  It may however be accepted</w:t>
      </w:r>
      <w:r w:rsidR="008934B6" w:rsidRPr="008F70BE">
        <w:rPr>
          <w:rFonts w:cs="Arial"/>
          <w:bCs/>
          <w:szCs w:val="22"/>
        </w:rPr>
        <w:t xml:space="preserve"> Amity are unlikely to support any application for an increase in gaming machines, regardless of which venue may apply.  I certainly acknowledge that Amity, like many organisations find allocating resources to submissions such as the one made, difficult however I am also mindful that in taking into account generalised statements in relation to the impact of gaming machines may also be </w:t>
      </w:r>
      <w:r w:rsidR="008934B6" w:rsidRPr="008F70BE">
        <w:rPr>
          <w:rFonts w:cs="Arial"/>
          <w:szCs w:val="24"/>
        </w:rPr>
        <w:t>considered</w:t>
      </w:r>
      <w:r w:rsidR="008934B6" w:rsidRPr="008F70BE">
        <w:rPr>
          <w:rFonts w:cs="Arial"/>
          <w:bCs/>
          <w:szCs w:val="22"/>
        </w:rPr>
        <w:t xml:space="preserve"> by the Applicant as an unjust approach to the assessment of this application. </w:t>
      </w:r>
      <w:r w:rsidR="008934B6">
        <w:rPr>
          <w:rFonts w:cs="Arial"/>
          <w:bCs/>
          <w:szCs w:val="22"/>
        </w:rPr>
        <w:t xml:space="preserve"> </w:t>
      </w:r>
      <w:r w:rsidR="008934B6" w:rsidRPr="008F70BE">
        <w:rPr>
          <w:rFonts w:cs="Arial"/>
          <w:bCs/>
          <w:szCs w:val="22"/>
        </w:rPr>
        <w:t xml:space="preserve">As such, I note the generalised concerns </w:t>
      </w:r>
      <w:proofErr w:type="gramStart"/>
      <w:r w:rsidR="008934B6" w:rsidRPr="008F70BE">
        <w:rPr>
          <w:rFonts w:cs="Arial"/>
          <w:bCs/>
          <w:szCs w:val="22"/>
        </w:rPr>
        <w:t>raised</w:t>
      </w:r>
      <w:proofErr w:type="gramEnd"/>
      <w:r w:rsidR="008934B6" w:rsidRPr="008F70BE">
        <w:rPr>
          <w:rFonts w:cs="Arial"/>
          <w:bCs/>
          <w:szCs w:val="22"/>
        </w:rPr>
        <w:t xml:space="preserve"> by Amity however I am not of the view that these comments alone can be afforded sufficient weight to persuade me to reject the application before me.</w:t>
      </w:r>
    </w:p>
    <w:p w:rsidR="008934B6" w:rsidRPr="00587446" w:rsidRDefault="008934B6" w:rsidP="001A677D">
      <w:pPr>
        <w:pStyle w:val="Heading3"/>
      </w:pPr>
      <w:r w:rsidRPr="00587446">
        <w:t xml:space="preserve">Gross monthly profit of </w:t>
      </w:r>
      <w:r w:rsidRPr="00EF485D">
        <w:t>existing</w:t>
      </w:r>
      <w:r w:rsidRPr="00587446">
        <w:t xml:space="preserve"> gaming machines operated on the premises</w:t>
      </w:r>
    </w:p>
    <w:p w:rsidR="008934B6" w:rsidRDefault="009624A0" w:rsidP="008934B6">
      <w:pPr>
        <w:keepLines/>
        <w:spacing w:after="240"/>
        <w:ind w:left="567" w:hanging="567"/>
        <w:jc w:val="both"/>
        <w:rPr>
          <w:rFonts w:cs="Arial"/>
          <w:szCs w:val="24"/>
        </w:rPr>
      </w:pPr>
      <w:r>
        <w:rPr>
          <w:rFonts w:cs="Arial"/>
          <w:bCs/>
          <w:szCs w:val="22"/>
        </w:rPr>
        <w:t>61</w:t>
      </w:r>
      <w:r w:rsidR="008934B6">
        <w:rPr>
          <w:rFonts w:cs="Arial"/>
          <w:bCs/>
          <w:szCs w:val="22"/>
        </w:rPr>
        <w:t>.</w:t>
      </w:r>
      <w:r w:rsidR="008934B6">
        <w:rPr>
          <w:rFonts w:cs="Arial"/>
          <w:bCs/>
          <w:szCs w:val="22"/>
        </w:rPr>
        <w:tab/>
      </w:r>
      <w:r w:rsidR="008934B6" w:rsidRPr="00673D10">
        <w:rPr>
          <w:rFonts w:cs="Arial"/>
          <w:bCs/>
          <w:szCs w:val="22"/>
        </w:rPr>
        <w:t xml:space="preserve">Statistical information held by Licensing NT indicates that for </w:t>
      </w:r>
      <w:r w:rsidR="008934B6" w:rsidRPr="00673D10">
        <w:rPr>
          <w:rFonts w:cs="Arial"/>
          <w:szCs w:val="24"/>
        </w:rPr>
        <w:t xml:space="preserve">the majority of venues with gaming machines in the Northern Territory for the 2014/15 financial year, the </w:t>
      </w:r>
      <w:r w:rsidR="008934B6" w:rsidRPr="00673D10">
        <w:rPr>
          <w:rFonts w:cs="Arial"/>
          <w:bCs/>
          <w:szCs w:val="22"/>
        </w:rPr>
        <w:t>average gross monthly profit is $5,950 per machine</w:t>
      </w:r>
      <w:proofErr w:type="gramStart"/>
      <w:r w:rsidR="008934B6" w:rsidRPr="00673D10">
        <w:rPr>
          <w:rFonts w:cs="Arial"/>
          <w:bCs/>
          <w:szCs w:val="22"/>
        </w:rPr>
        <w:t xml:space="preserve">.  </w:t>
      </w:r>
      <w:proofErr w:type="gramEnd"/>
      <w:r w:rsidR="008934B6" w:rsidRPr="00673D10">
        <w:rPr>
          <w:rFonts w:cs="Arial"/>
          <w:szCs w:val="24"/>
        </w:rPr>
        <w:t xml:space="preserve">The </w:t>
      </w:r>
      <w:r>
        <w:rPr>
          <w:rFonts w:cs="Arial"/>
          <w:szCs w:val="24"/>
        </w:rPr>
        <w:t xml:space="preserve">Virginia Tavern </w:t>
      </w:r>
      <w:r w:rsidR="008934B6" w:rsidRPr="00673D10">
        <w:rPr>
          <w:rFonts w:cs="Arial"/>
          <w:bCs/>
          <w:szCs w:val="22"/>
        </w:rPr>
        <w:t xml:space="preserve">records that </w:t>
      </w:r>
      <w:r w:rsidR="008934B6" w:rsidRPr="00673D10">
        <w:rPr>
          <w:rFonts w:cs="Arial"/>
          <w:szCs w:val="24"/>
        </w:rPr>
        <w:t>the average gross monthly profit per machine is $</w:t>
      </w:r>
      <w:r>
        <w:rPr>
          <w:rFonts w:cs="Arial"/>
          <w:szCs w:val="24"/>
        </w:rPr>
        <w:t>8,498</w:t>
      </w:r>
      <w:r w:rsidR="008934B6" w:rsidRPr="00673D10">
        <w:rPr>
          <w:rFonts w:cs="Arial"/>
          <w:szCs w:val="24"/>
        </w:rPr>
        <w:t xml:space="preserve">, which is </w:t>
      </w:r>
      <w:r>
        <w:rPr>
          <w:rFonts w:cs="Arial"/>
          <w:szCs w:val="24"/>
        </w:rPr>
        <w:t>above</w:t>
      </w:r>
      <w:r w:rsidR="008934B6" w:rsidRPr="00673D10">
        <w:rPr>
          <w:rFonts w:cs="Arial"/>
          <w:szCs w:val="24"/>
        </w:rPr>
        <w:t xml:space="preserve"> the Northern Territory average of $</w:t>
      </w:r>
      <w:r w:rsidR="008934B6">
        <w:rPr>
          <w:rFonts w:cs="Arial"/>
          <w:szCs w:val="24"/>
        </w:rPr>
        <w:t>6</w:t>
      </w:r>
      <w:r w:rsidR="008934B6" w:rsidRPr="00673D10">
        <w:rPr>
          <w:rFonts w:cs="Arial"/>
          <w:szCs w:val="24"/>
        </w:rPr>
        <w:t>,</w:t>
      </w:r>
      <w:r w:rsidR="008934B6">
        <w:rPr>
          <w:rFonts w:cs="Arial"/>
          <w:szCs w:val="24"/>
        </w:rPr>
        <w:t>467</w:t>
      </w:r>
      <w:r w:rsidR="008934B6" w:rsidRPr="00673D10">
        <w:rPr>
          <w:rFonts w:cs="Arial"/>
          <w:szCs w:val="24"/>
        </w:rPr>
        <w:t xml:space="preserve"> per machine.</w:t>
      </w:r>
    </w:p>
    <w:p w:rsidR="008934B6" w:rsidRDefault="009624A0" w:rsidP="008934B6">
      <w:pPr>
        <w:keepLines/>
        <w:spacing w:after="240"/>
        <w:ind w:left="567" w:hanging="567"/>
        <w:jc w:val="both"/>
        <w:rPr>
          <w:rFonts w:cs="Arial"/>
          <w:szCs w:val="24"/>
        </w:rPr>
      </w:pPr>
      <w:r>
        <w:rPr>
          <w:rFonts w:cs="Arial"/>
          <w:szCs w:val="24"/>
        </w:rPr>
        <w:t>62</w:t>
      </w:r>
      <w:r w:rsidR="008934B6">
        <w:rPr>
          <w:rFonts w:cs="Arial"/>
          <w:szCs w:val="24"/>
        </w:rPr>
        <w:t>.</w:t>
      </w:r>
      <w:r w:rsidR="008934B6">
        <w:rPr>
          <w:rFonts w:cs="Arial"/>
          <w:szCs w:val="24"/>
        </w:rPr>
        <w:tab/>
      </w:r>
      <w:r w:rsidR="008934B6" w:rsidRPr="004B1D98">
        <w:rPr>
          <w:rFonts w:cs="Arial"/>
          <w:szCs w:val="24"/>
        </w:rPr>
        <w:t>I</w:t>
      </w:r>
      <w:r w:rsidR="008934B6">
        <w:rPr>
          <w:rFonts w:cs="Arial"/>
          <w:szCs w:val="24"/>
        </w:rPr>
        <w:t xml:space="preserve">n the event </w:t>
      </w:r>
      <w:r w:rsidR="008934B6" w:rsidRPr="004B1D98">
        <w:rPr>
          <w:rFonts w:cs="Arial"/>
          <w:szCs w:val="24"/>
        </w:rPr>
        <w:t xml:space="preserve">this application is approved, the outer projections for 2016, the year in which the </w:t>
      </w:r>
      <w:r w:rsidR="008934B6">
        <w:rPr>
          <w:rFonts w:cs="Arial"/>
          <w:szCs w:val="24"/>
        </w:rPr>
        <w:t xml:space="preserve">10 </w:t>
      </w:r>
      <w:r w:rsidR="008934B6" w:rsidRPr="004B1D98">
        <w:rPr>
          <w:rFonts w:cs="Arial"/>
          <w:szCs w:val="24"/>
        </w:rPr>
        <w:t>additional gaming machines would be installed</w:t>
      </w:r>
      <w:r w:rsidR="008934B6">
        <w:rPr>
          <w:rFonts w:cs="Arial"/>
          <w:szCs w:val="24"/>
        </w:rPr>
        <w:t>, is the cost to the Applicant of the additional machines will be approximately $</w:t>
      </w:r>
      <w:r>
        <w:rPr>
          <w:rFonts w:cs="Arial"/>
          <w:szCs w:val="24"/>
        </w:rPr>
        <w:t>768K</w:t>
      </w:r>
      <w:r w:rsidR="008934B6">
        <w:rPr>
          <w:rFonts w:cs="Arial"/>
          <w:szCs w:val="24"/>
        </w:rPr>
        <w:t>.</w:t>
      </w:r>
    </w:p>
    <w:p w:rsidR="008934B6" w:rsidRPr="00B3067F" w:rsidRDefault="009624A0" w:rsidP="008934B6">
      <w:pPr>
        <w:keepLines/>
        <w:spacing w:after="240"/>
        <w:ind w:left="567" w:hanging="567"/>
        <w:jc w:val="both"/>
        <w:rPr>
          <w:rFonts w:cs="Arial"/>
          <w:szCs w:val="24"/>
        </w:rPr>
      </w:pPr>
      <w:r>
        <w:rPr>
          <w:rFonts w:cs="Arial"/>
          <w:szCs w:val="24"/>
        </w:rPr>
        <w:t>63</w:t>
      </w:r>
      <w:r w:rsidR="008934B6">
        <w:rPr>
          <w:rFonts w:cs="Arial"/>
          <w:szCs w:val="24"/>
        </w:rPr>
        <w:t>.</w:t>
      </w:r>
      <w:r w:rsidR="008934B6">
        <w:rPr>
          <w:rFonts w:cs="Arial"/>
          <w:szCs w:val="24"/>
        </w:rPr>
        <w:tab/>
        <w:t>The financial analysis provided with the CIA indicates the Applicant is in a strong financial position and is capable of financing the purchase of additional machines.</w:t>
      </w:r>
    </w:p>
    <w:p w:rsidR="008934B6" w:rsidRDefault="008934B6" w:rsidP="001A677D">
      <w:pPr>
        <w:pStyle w:val="Heading3"/>
      </w:pPr>
      <w:r w:rsidRPr="00587446">
        <w:t>Hours and days when the premises are open for the sale of liquor</w:t>
      </w:r>
    </w:p>
    <w:p w:rsidR="008934B6" w:rsidRDefault="009624A0" w:rsidP="00EF485D">
      <w:pPr>
        <w:ind w:left="720" w:hanging="720"/>
      </w:pPr>
      <w:r>
        <w:t>64</w:t>
      </w:r>
      <w:r w:rsidR="008934B6" w:rsidRPr="00D5534C">
        <w:t>.</w:t>
      </w:r>
      <w:r w:rsidR="008934B6">
        <w:tab/>
      </w:r>
      <w:r w:rsidR="008934B6" w:rsidRPr="00D5534C">
        <w:t>The trading hours for the premises are</w:t>
      </w:r>
      <w:r>
        <w:t>10:00hrs to 23:59hrs seven days per week with no trading on Good Friday or Christmas Day.</w:t>
      </w:r>
    </w:p>
    <w:p w:rsidR="008934B6" w:rsidRPr="00D5534C" w:rsidRDefault="008934B6" w:rsidP="008934B6">
      <w:pPr>
        <w:pStyle w:val="NoSpacing"/>
      </w:pPr>
    </w:p>
    <w:p w:rsidR="008934B6" w:rsidRPr="00587446" w:rsidRDefault="008934B6" w:rsidP="001A677D">
      <w:pPr>
        <w:pStyle w:val="Heading3"/>
      </w:pPr>
      <w:r w:rsidRPr="00587446">
        <w:t>Size, layout and facilities of the premises</w:t>
      </w:r>
    </w:p>
    <w:p w:rsidR="008934B6" w:rsidRDefault="009624A0" w:rsidP="008934B6">
      <w:pPr>
        <w:keepLines/>
        <w:spacing w:after="240"/>
        <w:ind w:left="567" w:hanging="567"/>
        <w:jc w:val="both"/>
        <w:rPr>
          <w:rFonts w:cs="Arial"/>
          <w:bCs/>
          <w:szCs w:val="22"/>
        </w:rPr>
      </w:pPr>
      <w:r>
        <w:rPr>
          <w:rFonts w:cs="Arial"/>
          <w:bCs/>
          <w:szCs w:val="22"/>
        </w:rPr>
        <w:t>65</w:t>
      </w:r>
      <w:r w:rsidR="008934B6">
        <w:rPr>
          <w:rFonts w:cs="Arial"/>
          <w:bCs/>
          <w:szCs w:val="22"/>
        </w:rPr>
        <w:t>.</w:t>
      </w:r>
      <w:r w:rsidR="008934B6">
        <w:rPr>
          <w:rFonts w:cs="Arial"/>
          <w:bCs/>
          <w:szCs w:val="22"/>
        </w:rPr>
        <w:tab/>
        <w:t xml:space="preserve">The </w:t>
      </w:r>
      <w:r w:rsidR="00DE025E">
        <w:rPr>
          <w:rFonts w:cs="Arial"/>
          <w:bCs/>
          <w:szCs w:val="22"/>
        </w:rPr>
        <w:t>venue</w:t>
      </w:r>
      <w:r w:rsidR="008934B6">
        <w:rPr>
          <w:rFonts w:cs="Arial"/>
          <w:bCs/>
          <w:szCs w:val="22"/>
        </w:rPr>
        <w:t xml:space="preserve"> </w:t>
      </w:r>
      <w:r w:rsidR="00DE025E">
        <w:rPr>
          <w:rFonts w:cs="Arial"/>
          <w:bCs/>
          <w:szCs w:val="22"/>
        </w:rPr>
        <w:t>is leasing the adjacent tenancy to expand the overall footprint of the licensed premises and it is in this area that the gaming machines will all be moved, including the existing ten machines</w:t>
      </w:r>
      <w:proofErr w:type="gramStart"/>
      <w:r w:rsidR="00DE025E">
        <w:rPr>
          <w:rFonts w:cs="Arial"/>
          <w:bCs/>
          <w:szCs w:val="22"/>
        </w:rPr>
        <w:t xml:space="preserve">.  </w:t>
      </w:r>
      <w:proofErr w:type="gramEnd"/>
      <w:r w:rsidR="00DE025E">
        <w:rPr>
          <w:rFonts w:cs="Arial"/>
          <w:bCs/>
          <w:szCs w:val="22"/>
        </w:rPr>
        <w:t>This area will be separate room with its own entry and exit.</w:t>
      </w:r>
    </w:p>
    <w:p w:rsidR="008934B6" w:rsidRPr="00587446" w:rsidRDefault="008934B6" w:rsidP="008934B6">
      <w:pPr>
        <w:pStyle w:val="Heading3"/>
      </w:pPr>
      <w:r w:rsidRPr="00587446">
        <w:t>Other matters the Director-General considers relevant</w:t>
      </w:r>
    </w:p>
    <w:p w:rsidR="008934B6" w:rsidRDefault="009624A0" w:rsidP="008934B6">
      <w:pPr>
        <w:spacing w:after="240"/>
        <w:ind w:left="567" w:hanging="567"/>
        <w:jc w:val="both"/>
        <w:rPr>
          <w:rFonts w:cs="Arial"/>
          <w:bCs/>
          <w:szCs w:val="22"/>
        </w:rPr>
      </w:pPr>
      <w:r>
        <w:rPr>
          <w:rFonts w:cs="Arial"/>
          <w:bCs/>
          <w:szCs w:val="22"/>
        </w:rPr>
        <w:t>6</w:t>
      </w:r>
      <w:r w:rsidR="008934B6">
        <w:rPr>
          <w:rFonts w:cs="Arial"/>
          <w:bCs/>
          <w:szCs w:val="22"/>
        </w:rPr>
        <w:t>7.</w:t>
      </w:r>
      <w:r w:rsidR="008934B6">
        <w:rPr>
          <w:rFonts w:cs="Arial"/>
          <w:bCs/>
          <w:szCs w:val="22"/>
        </w:rPr>
        <w:tab/>
      </w:r>
      <w:r w:rsidR="008934B6" w:rsidRPr="00F03788">
        <w:rPr>
          <w:rFonts w:cs="Arial"/>
          <w:bCs/>
          <w:szCs w:val="22"/>
        </w:rPr>
        <w:t xml:space="preserve">The Gaming and Liquor Amendment Bill of 2015 amended the Act to effectively lift the previously imposed cap on authorisations of gaming machines in licensed hotels, taverns and clubs in the Northern Territory.  As well as lifting the overall cap, the amendments also provided for an increase of the number of gaming machines for </w:t>
      </w:r>
      <w:r w:rsidR="00DE025E">
        <w:rPr>
          <w:rFonts w:cs="Arial"/>
          <w:bCs/>
          <w:szCs w:val="22"/>
        </w:rPr>
        <w:t>hotels and taverns</w:t>
      </w:r>
      <w:r w:rsidR="008934B6" w:rsidRPr="00F03788">
        <w:rPr>
          <w:rFonts w:cs="Arial"/>
          <w:bCs/>
          <w:szCs w:val="22"/>
        </w:rPr>
        <w:t xml:space="preserve"> with </w:t>
      </w:r>
      <w:r w:rsidR="008934B6" w:rsidRPr="00F03788">
        <w:rPr>
          <w:rFonts w:cs="Arial"/>
          <w:bCs/>
          <w:szCs w:val="22"/>
        </w:rPr>
        <w:lastRenderedPageBreak/>
        <w:t xml:space="preserve">existing </w:t>
      </w:r>
      <w:r w:rsidR="008934B6" w:rsidRPr="00F03788">
        <w:rPr>
          <w:rFonts w:cs="Arial"/>
          <w:szCs w:val="24"/>
        </w:rPr>
        <w:t>gaming</w:t>
      </w:r>
      <w:r w:rsidR="008934B6" w:rsidRPr="00F03788">
        <w:rPr>
          <w:rFonts w:cs="Arial"/>
          <w:bCs/>
          <w:szCs w:val="22"/>
        </w:rPr>
        <w:t xml:space="preserve"> machines from </w:t>
      </w:r>
      <w:r w:rsidR="00DE025E">
        <w:rPr>
          <w:rFonts w:cs="Arial"/>
          <w:bCs/>
          <w:szCs w:val="22"/>
        </w:rPr>
        <w:t>10</w:t>
      </w:r>
      <w:r w:rsidR="008934B6" w:rsidRPr="00F03788">
        <w:rPr>
          <w:rFonts w:cs="Arial"/>
          <w:bCs/>
          <w:szCs w:val="22"/>
        </w:rPr>
        <w:t xml:space="preserve"> to a maximum of </w:t>
      </w:r>
      <w:r w:rsidR="00DE025E">
        <w:rPr>
          <w:rFonts w:cs="Arial"/>
          <w:bCs/>
          <w:szCs w:val="22"/>
        </w:rPr>
        <w:t>20</w:t>
      </w:r>
      <w:r w:rsidR="008934B6" w:rsidRPr="00F03788">
        <w:rPr>
          <w:rFonts w:cs="Arial"/>
          <w:bCs/>
          <w:szCs w:val="22"/>
        </w:rPr>
        <w:t xml:space="preserve"> gaming machines.  At the time of introducing the amendments, the Minister for Racing, Gaming and Licensing noted that the arbitrary Territory-wide cap was abolished in favour of a rigorous community impact assessment process for new applications and for applications seeking additional gaming machines.</w:t>
      </w:r>
    </w:p>
    <w:p w:rsidR="008934B6" w:rsidRDefault="009624A0" w:rsidP="008934B6">
      <w:pPr>
        <w:spacing w:after="240"/>
        <w:ind w:left="567" w:hanging="567"/>
        <w:jc w:val="both"/>
        <w:rPr>
          <w:rFonts w:cs="Arial"/>
          <w:bCs/>
          <w:szCs w:val="22"/>
        </w:rPr>
      </w:pPr>
      <w:r>
        <w:rPr>
          <w:rFonts w:cs="Arial"/>
          <w:bCs/>
          <w:szCs w:val="22"/>
        </w:rPr>
        <w:t>68</w:t>
      </w:r>
      <w:r w:rsidR="008934B6">
        <w:rPr>
          <w:rFonts w:cs="Arial"/>
          <w:bCs/>
          <w:szCs w:val="22"/>
        </w:rPr>
        <w:t>.</w:t>
      </w:r>
      <w:r w:rsidR="008934B6">
        <w:rPr>
          <w:rFonts w:cs="Arial"/>
          <w:bCs/>
          <w:szCs w:val="22"/>
        </w:rPr>
        <w:tab/>
      </w:r>
      <w:r w:rsidR="008934B6"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008934B6" w:rsidRPr="00B3067F">
        <w:rPr>
          <w:rFonts w:cs="Arial"/>
          <w:szCs w:val="24"/>
        </w:rPr>
        <w:t>requirements</w:t>
      </w:r>
      <w:r w:rsidR="008934B6" w:rsidRPr="00B3067F">
        <w:rPr>
          <w:rFonts w:cs="Arial"/>
          <w:bCs/>
          <w:szCs w:val="22"/>
        </w:rPr>
        <w:t xml:space="preserve"> of the Act in relation to an increase in the authorised number of gaming machines.</w:t>
      </w:r>
    </w:p>
    <w:p w:rsidR="008934B6" w:rsidRDefault="009624A0" w:rsidP="008934B6">
      <w:pPr>
        <w:spacing w:after="240"/>
        <w:ind w:left="567" w:hanging="567"/>
        <w:jc w:val="both"/>
        <w:rPr>
          <w:rFonts w:cs="Arial"/>
          <w:bCs/>
          <w:szCs w:val="22"/>
        </w:rPr>
      </w:pPr>
      <w:r>
        <w:rPr>
          <w:rFonts w:cs="Arial"/>
          <w:bCs/>
          <w:szCs w:val="22"/>
        </w:rPr>
        <w:t>69</w:t>
      </w:r>
      <w:r w:rsidR="008934B6">
        <w:rPr>
          <w:rFonts w:cs="Arial"/>
          <w:bCs/>
          <w:szCs w:val="22"/>
        </w:rPr>
        <w:t>.</w:t>
      </w:r>
      <w:r w:rsidR="008934B6">
        <w:rPr>
          <w:rFonts w:cs="Arial"/>
          <w:bCs/>
          <w:szCs w:val="22"/>
        </w:rPr>
        <w:tab/>
        <w:t>The comprehensive CIA prepared for the purpose of this application has been analysed in considerable detail and no issues arise which would preclude the approval of this application.</w:t>
      </w:r>
    </w:p>
    <w:p w:rsidR="008934B6" w:rsidRDefault="00AE2A72" w:rsidP="008934B6">
      <w:pPr>
        <w:spacing w:after="240"/>
        <w:ind w:left="567" w:hanging="567"/>
        <w:jc w:val="both"/>
        <w:rPr>
          <w:rFonts w:cs="Arial"/>
          <w:bCs/>
          <w:szCs w:val="22"/>
        </w:rPr>
      </w:pPr>
      <w:r>
        <w:rPr>
          <w:rFonts w:cs="Arial"/>
          <w:bCs/>
          <w:szCs w:val="22"/>
        </w:rPr>
        <w:t>7</w:t>
      </w:r>
      <w:r w:rsidR="009624A0">
        <w:rPr>
          <w:rFonts w:cs="Arial"/>
          <w:bCs/>
          <w:szCs w:val="22"/>
        </w:rPr>
        <w:t>0</w:t>
      </w:r>
      <w:r w:rsidR="008934B6">
        <w:rPr>
          <w:rFonts w:cs="Arial"/>
          <w:bCs/>
          <w:szCs w:val="22"/>
        </w:rPr>
        <w:t>.</w:t>
      </w:r>
      <w:r w:rsidR="008934B6">
        <w:rPr>
          <w:rFonts w:cs="Arial"/>
          <w:bCs/>
          <w:szCs w:val="22"/>
        </w:rPr>
        <w:tab/>
      </w:r>
      <w:r w:rsidR="008934B6" w:rsidRPr="00F03788">
        <w:rPr>
          <w:rFonts w:cs="Arial"/>
          <w:bCs/>
          <w:szCs w:val="22"/>
        </w:rPr>
        <w:t xml:space="preserve">The harms associated with gaming machines and problem gambling are well documented and well known within the general community.  I am satisfied that the Applicant in this instance has in place policies and procedures that will have the effect of minimising the harms </w:t>
      </w:r>
      <w:r w:rsidR="008934B6" w:rsidRPr="00F03788">
        <w:rPr>
          <w:rFonts w:cs="Arial"/>
          <w:szCs w:val="24"/>
        </w:rPr>
        <w:t>associated</w:t>
      </w:r>
      <w:r w:rsidR="008934B6" w:rsidRPr="00F03788">
        <w:rPr>
          <w:rFonts w:cs="Arial"/>
          <w:bCs/>
          <w:szCs w:val="22"/>
        </w:rPr>
        <w:t xml:space="preserve"> with gambling generally and the use of gaming machines specifically at the venue under consideration.</w:t>
      </w:r>
    </w:p>
    <w:p w:rsidR="008934B6" w:rsidRDefault="009624A0" w:rsidP="008934B6">
      <w:pPr>
        <w:spacing w:after="240"/>
        <w:ind w:left="567" w:hanging="567"/>
        <w:jc w:val="both"/>
        <w:rPr>
          <w:rFonts w:cs="Arial"/>
          <w:bCs/>
          <w:szCs w:val="22"/>
        </w:rPr>
      </w:pPr>
      <w:r>
        <w:rPr>
          <w:rFonts w:cs="Arial"/>
          <w:bCs/>
          <w:szCs w:val="22"/>
        </w:rPr>
        <w:t>71</w:t>
      </w:r>
      <w:r w:rsidR="008934B6">
        <w:rPr>
          <w:rFonts w:cs="Arial"/>
          <w:bCs/>
          <w:szCs w:val="22"/>
        </w:rPr>
        <w:t>.</w:t>
      </w:r>
      <w:r w:rsidR="008934B6">
        <w:rPr>
          <w:rFonts w:cs="Arial"/>
          <w:bCs/>
          <w:szCs w:val="22"/>
        </w:rPr>
        <w:tab/>
      </w:r>
      <w:r w:rsidR="008934B6" w:rsidRPr="00F03788">
        <w:rPr>
          <w:rFonts w:cs="Arial"/>
          <w:bCs/>
          <w:szCs w:val="22"/>
        </w:rPr>
        <w:t>Whilst noting no specific objections w</w:t>
      </w:r>
      <w:r w:rsidR="008934B6">
        <w:rPr>
          <w:rFonts w:cs="Arial"/>
          <w:bCs/>
          <w:szCs w:val="22"/>
        </w:rPr>
        <w:t>ere</w:t>
      </w:r>
      <w:r w:rsidR="008934B6" w:rsidRPr="00F03788">
        <w:rPr>
          <w:rFonts w:cs="Arial"/>
          <w:bCs/>
          <w:szCs w:val="22"/>
        </w:rPr>
        <w:t xml:space="preserve"> lodged Amity has submitted previously a well-researched and evidence based position paper.  Amity clearly does not support any applications, suggesting the Northern Territory is not underserved with gaming machines at </w:t>
      </w:r>
      <w:r w:rsidR="008934B6" w:rsidRPr="00F03788">
        <w:rPr>
          <w:rFonts w:cs="Arial"/>
          <w:szCs w:val="24"/>
        </w:rPr>
        <w:t>present</w:t>
      </w:r>
      <w:r w:rsidR="008934B6" w:rsidRPr="00F03788">
        <w:rPr>
          <w:rFonts w:cs="Arial"/>
          <w:bCs/>
          <w:szCs w:val="22"/>
        </w:rPr>
        <w:t xml:space="preserve"> and an increase in the number of gaming machines is a reflection of increasing gaming revenue which will, in Amity’s submission, have an overall negative health, social and economic impact on the community and the Northern Territory as a whole.</w:t>
      </w:r>
    </w:p>
    <w:p w:rsidR="008934B6" w:rsidRDefault="009624A0" w:rsidP="008934B6">
      <w:pPr>
        <w:spacing w:after="240"/>
        <w:ind w:left="567" w:hanging="567"/>
        <w:jc w:val="both"/>
        <w:rPr>
          <w:rFonts w:cs="Arial"/>
          <w:bCs/>
          <w:szCs w:val="22"/>
        </w:rPr>
      </w:pPr>
      <w:r>
        <w:rPr>
          <w:rFonts w:cs="Arial"/>
          <w:bCs/>
          <w:szCs w:val="22"/>
        </w:rPr>
        <w:t>72</w:t>
      </w:r>
      <w:r w:rsidR="008934B6">
        <w:rPr>
          <w:rFonts w:cs="Arial"/>
          <w:bCs/>
          <w:szCs w:val="22"/>
        </w:rPr>
        <w:t>.</w:t>
      </w:r>
      <w:r w:rsidR="008934B6">
        <w:rPr>
          <w:rFonts w:cs="Arial"/>
          <w:bCs/>
          <w:szCs w:val="22"/>
        </w:rPr>
        <w:tab/>
        <w:t>The Applicant has evidenced their previous adherence to gaming laws and regulation, suggesting an adherence to the requirements.</w:t>
      </w:r>
    </w:p>
    <w:p w:rsidR="00DE025E" w:rsidRDefault="009624A0" w:rsidP="00DE025E">
      <w:pPr>
        <w:spacing w:after="240"/>
        <w:ind w:left="567" w:hanging="567"/>
        <w:jc w:val="both"/>
        <w:rPr>
          <w:rFonts w:cs="Arial"/>
          <w:bCs/>
          <w:szCs w:val="22"/>
        </w:rPr>
      </w:pPr>
      <w:r>
        <w:rPr>
          <w:rFonts w:cs="Arial"/>
          <w:bCs/>
          <w:szCs w:val="22"/>
        </w:rPr>
        <w:t>73</w:t>
      </w:r>
      <w:r w:rsidR="008934B6">
        <w:rPr>
          <w:rFonts w:cs="Arial"/>
          <w:bCs/>
          <w:szCs w:val="22"/>
        </w:rPr>
        <w:t>.</w:t>
      </w:r>
      <w:r w:rsidR="008934B6">
        <w:rPr>
          <w:rFonts w:cs="Arial"/>
          <w:bCs/>
          <w:szCs w:val="22"/>
        </w:rPr>
        <w:tab/>
        <w:t>There has been no adverse comments or reports received from Licensing NT departmental personnel in relation to the operation of these premises.</w:t>
      </w:r>
    </w:p>
    <w:p w:rsidR="00DE025E" w:rsidRDefault="00DD7F4C" w:rsidP="001A677D">
      <w:pPr>
        <w:pStyle w:val="Heading2"/>
      </w:pPr>
      <w:r w:rsidRPr="00DE025E">
        <w:t>Decision</w:t>
      </w:r>
    </w:p>
    <w:p w:rsidR="00936FCB" w:rsidRDefault="009624A0" w:rsidP="00936FCB">
      <w:pPr>
        <w:spacing w:after="240"/>
        <w:ind w:left="567" w:hanging="567"/>
        <w:jc w:val="both"/>
        <w:rPr>
          <w:rFonts w:cs="Arial"/>
          <w:szCs w:val="22"/>
        </w:rPr>
      </w:pPr>
      <w:r w:rsidRPr="00DE025E">
        <w:rPr>
          <w:szCs w:val="22"/>
        </w:rPr>
        <w:t>74</w:t>
      </w:r>
      <w:r w:rsidR="001E1216" w:rsidRPr="00DE025E">
        <w:rPr>
          <w:szCs w:val="22"/>
        </w:rPr>
        <w:t>.</w:t>
      </w:r>
      <w:r w:rsidR="001E1216" w:rsidRPr="001E1216">
        <w:rPr>
          <w:szCs w:val="22"/>
        </w:rPr>
        <w:tab/>
      </w:r>
      <w:r w:rsidR="00DD7F4C" w:rsidRPr="001E1216">
        <w:rPr>
          <w:rFonts w:cs="Arial"/>
          <w:szCs w:val="22"/>
        </w:rPr>
        <w:t xml:space="preserve">For the reasons set out above, and in accordance with section 41(3) of the Act I have determined to grant the application lodged </w:t>
      </w:r>
      <w:r w:rsidR="00DE025E">
        <w:rPr>
          <w:rFonts w:cs="Arial"/>
          <w:szCs w:val="22"/>
        </w:rPr>
        <w:t>OMAD (NT) Pty Ltd</w:t>
      </w:r>
      <w:r w:rsidR="00DD7F4C" w:rsidRPr="001E1216">
        <w:rPr>
          <w:rFonts w:cs="Arial"/>
          <w:szCs w:val="22"/>
        </w:rPr>
        <w:t xml:space="preserve"> and authorise the increase of the number of </w:t>
      </w:r>
      <w:r w:rsidR="00AA16B6" w:rsidRPr="001E1216">
        <w:rPr>
          <w:rFonts w:cs="Arial"/>
          <w:szCs w:val="22"/>
        </w:rPr>
        <w:t xml:space="preserve">gaming machines </w:t>
      </w:r>
      <w:r w:rsidR="00DD7F4C" w:rsidRPr="001E1216">
        <w:rPr>
          <w:rFonts w:cs="Arial"/>
          <w:szCs w:val="22"/>
        </w:rPr>
        <w:t>located at</w:t>
      </w:r>
      <w:r w:rsidR="002E37F1">
        <w:rPr>
          <w:rFonts w:cs="Arial"/>
          <w:szCs w:val="22"/>
        </w:rPr>
        <w:t xml:space="preserve"> the </w:t>
      </w:r>
      <w:r w:rsidR="00DE025E">
        <w:rPr>
          <w:rFonts w:cs="Arial"/>
          <w:szCs w:val="22"/>
        </w:rPr>
        <w:t>Virginia Tavern</w:t>
      </w:r>
      <w:r w:rsidR="002E37F1">
        <w:rPr>
          <w:rFonts w:cs="Arial"/>
          <w:szCs w:val="22"/>
        </w:rPr>
        <w:t xml:space="preserve"> </w:t>
      </w:r>
      <w:r w:rsidR="00DD7F4C" w:rsidRPr="001E1216">
        <w:rPr>
          <w:rFonts w:cs="Arial"/>
          <w:szCs w:val="22"/>
        </w:rPr>
        <w:t xml:space="preserve">from the current limit of </w:t>
      </w:r>
      <w:r w:rsidR="00DE025E">
        <w:rPr>
          <w:rFonts w:cs="Arial"/>
          <w:szCs w:val="22"/>
        </w:rPr>
        <w:t>ten</w:t>
      </w:r>
      <w:r w:rsidR="00DD7F4C" w:rsidRPr="001E1216">
        <w:rPr>
          <w:rFonts w:cs="Arial"/>
          <w:szCs w:val="22"/>
        </w:rPr>
        <w:t xml:space="preserve"> </w:t>
      </w:r>
      <w:r w:rsidR="00AA16B6" w:rsidRPr="001E1216">
        <w:rPr>
          <w:rFonts w:cs="Arial"/>
          <w:szCs w:val="22"/>
        </w:rPr>
        <w:t xml:space="preserve">gaming machines </w:t>
      </w:r>
      <w:r w:rsidR="00DD7F4C" w:rsidRPr="001E1216">
        <w:rPr>
          <w:rFonts w:cs="Arial"/>
          <w:szCs w:val="22"/>
        </w:rPr>
        <w:t xml:space="preserve">to </w:t>
      </w:r>
      <w:r w:rsidR="00DE025E">
        <w:rPr>
          <w:rFonts w:cs="Arial"/>
          <w:szCs w:val="22"/>
        </w:rPr>
        <w:t>20</w:t>
      </w:r>
      <w:r w:rsidR="002E37F1">
        <w:rPr>
          <w:rFonts w:cs="Arial"/>
          <w:szCs w:val="22"/>
        </w:rPr>
        <w:t xml:space="preserve"> </w:t>
      </w:r>
      <w:r w:rsidR="00AA16B6" w:rsidRPr="001E1216">
        <w:rPr>
          <w:rFonts w:cs="Arial"/>
          <w:szCs w:val="22"/>
        </w:rPr>
        <w:t>machines</w:t>
      </w:r>
      <w:proofErr w:type="gramStart"/>
      <w:r w:rsidR="00DD7F4C" w:rsidRPr="001E1216">
        <w:rPr>
          <w:rFonts w:cs="Arial"/>
          <w:szCs w:val="22"/>
        </w:rPr>
        <w:t>.</w:t>
      </w:r>
      <w:r w:rsidR="002E37F1">
        <w:rPr>
          <w:rFonts w:cs="Arial"/>
          <w:szCs w:val="22"/>
        </w:rPr>
        <w:t xml:space="preserve">  </w:t>
      </w:r>
      <w:proofErr w:type="gramEnd"/>
      <w:r w:rsidR="002E37F1">
        <w:rPr>
          <w:rFonts w:cs="Arial"/>
          <w:szCs w:val="22"/>
        </w:rPr>
        <w:t xml:space="preserve">This will not take the Applicant over the statutory limit of </w:t>
      </w:r>
      <w:r w:rsidR="00DE025E">
        <w:rPr>
          <w:rFonts w:cs="Arial"/>
          <w:szCs w:val="22"/>
        </w:rPr>
        <w:t>20</w:t>
      </w:r>
      <w:r w:rsidR="002E37F1">
        <w:rPr>
          <w:rFonts w:cs="Arial"/>
          <w:szCs w:val="22"/>
        </w:rPr>
        <w:t xml:space="preserve"> machines for a </w:t>
      </w:r>
      <w:r w:rsidR="00DE025E">
        <w:rPr>
          <w:rFonts w:cs="Arial"/>
          <w:szCs w:val="22"/>
        </w:rPr>
        <w:t>hotel</w:t>
      </w:r>
      <w:r w:rsidR="002E37F1">
        <w:rPr>
          <w:rFonts w:cs="Arial"/>
          <w:szCs w:val="22"/>
        </w:rPr>
        <w:t xml:space="preserve"> liquor </w:t>
      </w:r>
      <w:proofErr w:type="spellStart"/>
      <w:r w:rsidR="002E37F1">
        <w:rPr>
          <w:rFonts w:cs="Arial"/>
          <w:szCs w:val="22"/>
        </w:rPr>
        <w:t>licensee</w:t>
      </w:r>
      <w:proofErr w:type="spellEnd"/>
      <w:r w:rsidR="002E37F1">
        <w:rPr>
          <w:rFonts w:cs="Arial"/>
          <w:szCs w:val="22"/>
        </w:rPr>
        <w:t>.</w:t>
      </w:r>
    </w:p>
    <w:p w:rsidR="003C234E" w:rsidRDefault="009624A0" w:rsidP="00936FCB">
      <w:pPr>
        <w:spacing w:after="240"/>
        <w:ind w:left="567" w:hanging="567"/>
        <w:jc w:val="both"/>
      </w:pPr>
      <w:r>
        <w:rPr>
          <w:rFonts w:cs="Arial"/>
          <w:szCs w:val="22"/>
        </w:rPr>
        <w:t>75</w:t>
      </w:r>
      <w:r w:rsidR="001E1216">
        <w:rPr>
          <w:rFonts w:cs="Arial"/>
          <w:szCs w:val="22"/>
        </w:rPr>
        <w:t>.</w:t>
      </w:r>
      <w:r w:rsidR="001E1216">
        <w:rPr>
          <w:rFonts w:cs="Arial"/>
          <w:szCs w:val="22"/>
        </w:rPr>
        <w:tab/>
      </w:r>
      <w:r w:rsidR="003C234E" w:rsidRPr="001E1216">
        <w:rPr>
          <w:szCs w:val="22"/>
        </w:rPr>
        <w:t xml:space="preserve">The </w:t>
      </w:r>
      <w:r w:rsidR="003C234E" w:rsidRPr="001E1216">
        <w:rPr>
          <w:rFonts w:cs="Arial"/>
          <w:szCs w:val="22"/>
        </w:rPr>
        <w:t>additional</w:t>
      </w:r>
      <w:r w:rsidR="003C234E" w:rsidRPr="001E1216">
        <w:rPr>
          <w:szCs w:val="22"/>
        </w:rPr>
        <w:t xml:space="preserve"> approved ten gaming machines are required to be included in the schedule attached to the current licence in which each individual gaming machine is identified and authorised for use.  The schedule will be updated upon submission by the Applicant of the details pertaining to the additional ten gaming machines</w:t>
      </w:r>
      <w:r w:rsidR="003C234E">
        <w:t>.</w:t>
      </w:r>
    </w:p>
    <w:p w:rsidR="00936FCB" w:rsidRDefault="00936FCB">
      <w:pPr>
        <w:spacing w:after="0"/>
        <w:rPr>
          <w:rFonts w:eastAsiaTheme="majorEastAsia" w:cstheme="majorBidi"/>
          <w:b/>
          <w:bCs/>
          <w:iCs/>
          <w:sz w:val="28"/>
          <w:szCs w:val="28"/>
        </w:rPr>
      </w:pPr>
      <w:r>
        <w:br w:type="page"/>
      </w:r>
    </w:p>
    <w:p w:rsidR="001E1216" w:rsidRDefault="00DD7F4C" w:rsidP="001A677D">
      <w:pPr>
        <w:pStyle w:val="Heading2"/>
      </w:pPr>
      <w:r w:rsidRPr="00F1351E">
        <w:lastRenderedPageBreak/>
        <w:t>Review of Decision</w:t>
      </w:r>
    </w:p>
    <w:p w:rsidR="00DD7F4C" w:rsidRDefault="009624A0" w:rsidP="00EF485D">
      <w:pPr>
        <w:ind w:left="720" w:hanging="720"/>
        <w:rPr>
          <w:b/>
        </w:rPr>
      </w:pPr>
      <w:r>
        <w:t>76</w:t>
      </w:r>
      <w:r w:rsidR="001E1216" w:rsidRPr="001E1216">
        <w:t>.</w:t>
      </w:r>
      <w:r w:rsidR="001E1216" w:rsidRPr="001E1216">
        <w:tab/>
      </w:r>
      <w:r w:rsidR="002E37F1" w:rsidRPr="002E37F1">
        <w:t xml:space="preserve">Section 8 of the </w:t>
      </w:r>
      <w:r w:rsidR="002E37F1" w:rsidRPr="002E37F1">
        <w:rPr>
          <w:i/>
        </w:rPr>
        <w:t>Licensing (Director-General) Act</w:t>
      </w:r>
      <w:r w:rsidR="002E37F1" w:rsidRPr="002E37F1">
        <w:t xml:space="preserve"> prescribes a delegate decision is a decision, under any Act, of the Director-General that is made by a delegate of the Director-General</w:t>
      </w:r>
      <w:proofErr w:type="gramStart"/>
      <w:r w:rsidR="002E37F1" w:rsidRPr="002E37F1">
        <w:t xml:space="preserve">.  </w:t>
      </w:r>
      <w:proofErr w:type="gramEnd"/>
      <w:r w:rsidR="002E37F1" w:rsidRPr="002E37F1">
        <w:t xml:space="preserve">The Director-General delegated the determination of applications made under Section 41 of the </w:t>
      </w:r>
      <w:r w:rsidR="002E37F1" w:rsidRPr="002E37F1">
        <w:rPr>
          <w:i/>
        </w:rPr>
        <w:t>Gaming Machine Act</w:t>
      </w:r>
      <w:r w:rsidR="002E37F1" w:rsidRPr="002E37F1">
        <w:t xml:space="preserve"> by instrument to the person from time to time holding, acting in or performing the duties of the position in the Department of Business specified in Schedule 2 of that instrument.  This decision was made by a person referred to in that schedule.  Section 10 of the </w:t>
      </w:r>
      <w:r w:rsidR="002E37F1" w:rsidRPr="002E37F1">
        <w:rPr>
          <w:i/>
        </w:rPr>
        <w:t>Licensing (Director-General) Act</w:t>
      </w:r>
      <w:r w:rsidR="002E37F1" w:rsidRPr="002E37F1">
        <w:t xml:space="preserve"> provides that an affected person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002E37F1" w:rsidRPr="002E37F1">
        <w:rPr>
          <w:i/>
        </w:rPr>
        <w:t>Licensing (Director-General) Act</w:t>
      </w:r>
      <w:r w:rsidR="002E37F1" w:rsidRPr="002E37F1">
        <w:t xml:space="preserve"> prescribes an affected person for a delegate decision to be the applicant for the increase in gaming machines and a person who made a submission, complaint or objection (however described) during the process that resulted in the decision being made.</w:t>
      </w:r>
    </w:p>
    <w:p w:rsidR="002E37F1" w:rsidRPr="002E37F1" w:rsidRDefault="009624A0" w:rsidP="002E37F1">
      <w:pPr>
        <w:ind w:left="720" w:hanging="720"/>
      </w:pPr>
      <w:r>
        <w:t>77</w:t>
      </w:r>
      <w:r w:rsidR="002E37F1">
        <w:t>.</w:t>
      </w:r>
      <w:r w:rsidR="002E37F1">
        <w:tab/>
      </w:r>
      <w:r w:rsidR="002E37F1" w:rsidRPr="002E37F1">
        <w:t xml:space="preserve">Accordingly the affected persons in relation to this matter are </w:t>
      </w:r>
      <w:r w:rsidR="00DE025E">
        <w:t>OMAD (NT) Pty Ltd</w:t>
      </w:r>
      <w:r w:rsidR="002E37F1" w:rsidRPr="002E37F1">
        <w:t xml:space="preserve"> and Amity Community Services Incorporated.</w:t>
      </w:r>
    </w:p>
    <w:p w:rsidR="00DD7F4C" w:rsidRPr="00B3067F" w:rsidRDefault="002E37F1" w:rsidP="00512F0E">
      <w:pPr>
        <w:pStyle w:val="Signature"/>
        <w:spacing w:before="1320" w:after="0"/>
        <w:rPr>
          <w:rFonts w:cs="Arial"/>
          <w:sz w:val="24"/>
          <w:szCs w:val="24"/>
        </w:rPr>
      </w:pPr>
      <w:r>
        <w:rPr>
          <w:rFonts w:cs="Arial"/>
          <w:sz w:val="24"/>
          <w:szCs w:val="24"/>
        </w:rPr>
        <w:t>Mark Wood</w:t>
      </w:r>
    </w:p>
    <w:p w:rsidR="00DD7F4C" w:rsidRPr="00B3067F" w:rsidRDefault="002E37F1" w:rsidP="00DD7F4C">
      <w:pPr>
        <w:pStyle w:val="Signature"/>
        <w:spacing w:before="0"/>
        <w:rPr>
          <w:rFonts w:cs="Arial"/>
          <w:sz w:val="24"/>
          <w:szCs w:val="24"/>
        </w:rPr>
      </w:pPr>
      <w:r>
        <w:rPr>
          <w:rFonts w:cs="Arial"/>
          <w:sz w:val="24"/>
          <w:szCs w:val="24"/>
        </w:rPr>
        <w:t xml:space="preserve">A/Deputy </w:t>
      </w:r>
      <w:r w:rsidR="00DD7F4C" w:rsidRPr="00B3067F">
        <w:rPr>
          <w:rFonts w:cs="Arial"/>
          <w:sz w:val="24"/>
          <w:szCs w:val="24"/>
        </w:rPr>
        <w:t xml:space="preserve">Director-General </w:t>
      </w:r>
      <w:r>
        <w:rPr>
          <w:rFonts w:cs="Arial"/>
          <w:sz w:val="24"/>
          <w:szCs w:val="24"/>
        </w:rPr>
        <w:t>(Operations)</w:t>
      </w:r>
    </w:p>
    <w:p w:rsidR="006038D3" w:rsidRPr="00655618" w:rsidRDefault="006641ED" w:rsidP="006038D3">
      <w:pPr>
        <w:spacing w:after="120"/>
        <w:jc w:val="both"/>
        <w:rPr>
          <w:rFonts w:cs="Arial"/>
          <w:bCs/>
          <w:szCs w:val="22"/>
        </w:rPr>
      </w:pPr>
      <w:r>
        <w:rPr>
          <w:rFonts w:cs="Arial"/>
          <w:sz w:val="24"/>
          <w:szCs w:val="24"/>
        </w:rPr>
        <w:t>23</w:t>
      </w:r>
      <w:r w:rsidR="000251D6">
        <w:rPr>
          <w:rFonts w:cs="Arial"/>
          <w:sz w:val="24"/>
          <w:szCs w:val="24"/>
        </w:rPr>
        <w:t xml:space="preserve"> </w:t>
      </w:r>
      <w:r w:rsidR="002E37F1">
        <w:rPr>
          <w:rFonts w:cs="Arial"/>
          <w:sz w:val="24"/>
          <w:szCs w:val="24"/>
        </w:rPr>
        <w:t>August 2016</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4AD" w:rsidRDefault="00A244AD" w:rsidP="00293A72">
      <w:r>
        <w:separator/>
      </w:r>
    </w:p>
  </w:endnote>
  <w:endnote w:type="continuationSeparator" w:id="0">
    <w:p w:rsidR="00A244AD" w:rsidRDefault="00A244AD"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increase in Gaming Machines – </w:t>
        </w:r>
        <w:r w:rsidR="007F4907">
          <w:rPr>
            <w:color w:val="A6A6A6" w:themeColor="background1" w:themeShade="A6"/>
            <w:sz w:val="16"/>
            <w:szCs w:val="20"/>
          </w:rPr>
          <w:t>Virginia Tavern</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373383606"/>
        <w:placeholder>
          <w:docPart w:val="DefaultPlaceholder_1082065158"/>
        </w:placeholder>
      </w:sdtPr>
      <w:sdtEndPr/>
      <w:sdtContent>
        <w:r w:rsidR="0092794F">
          <w:rPr>
            <w:color w:val="A6A6A6" w:themeColor="background1" w:themeShade="A6"/>
            <w:sz w:val="16"/>
            <w:szCs w:val="20"/>
          </w:rPr>
          <w:t>23</w:t>
        </w:r>
        <w:r w:rsidR="000251D6">
          <w:rPr>
            <w:color w:val="A6A6A6" w:themeColor="background1" w:themeShade="A6"/>
            <w:sz w:val="16"/>
            <w:szCs w:val="20"/>
          </w:rPr>
          <w:t xml:space="preserve"> </w:t>
        </w:r>
        <w:r w:rsidR="00AB2049">
          <w:rPr>
            <w:color w:val="A6A6A6" w:themeColor="background1" w:themeShade="A6"/>
            <w:sz w:val="16"/>
            <w:szCs w:val="20"/>
          </w:rPr>
          <w:t>August 2016</w:t>
        </w:r>
      </w:sdtContent>
    </w:sdt>
  </w:p>
  <w:p w:rsidR="006770F2" w:rsidRDefault="002E6443" w:rsidP="002E6443">
    <w:pPr>
      <w:pStyle w:val="Footer"/>
      <w:tabs>
        <w:tab w:val="clear" w:pos="9639"/>
        <w:tab w:val="right" w:pos="9923"/>
      </w:tabs>
      <w:ind w:right="-285"/>
      <w:jc w:val="right"/>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Pr>
            <w:color w:val="A6A6A6" w:themeColor="background1" w:themeShade="A6"/>
            <w:sz w:val="16"/>
            <w:szCs w:val="20"/>
          </w:rPr>
          <w:t>DOB2015/</w:t>
        </w:r>
        <w:r w:rsidR="007F4907">
          <w:rPr>
            <w:color w:val="A6A6A6" w:themeColor="background1" w:themeShade="A6"/>
            <w:sz w:val="16"/>
            <w:szCs w:val="20"/>
          </w:rPr>
          <w:t>00325</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1A677D">
          <w:rPr>
            <w:noProof/>
          </w:rPr>
          <w:t>2</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increase in Gaming Machines – </w:t>
        </w:r>
        <w:r w:rsidR="007F4907">
          <w:rPr>
            <w:color w:val="A6A6A6" w:themeColor="background1" w:themeShade="A6"/>
            <w:sz w:val="16"/>
            <w:szCs w:val="20"/>
          </w:rPr>
          <w:t>Virginia Tavern</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sdtContent>
        <w:r w:rsidR="0092794F">
          <w:rPr>
            <w:color w:val="A6A6A6" w:themeColor="background1" w:themeShade="A6"/>
            <w:sz w:val="16"/>
            <w:szCs w:val="20"/>
          </w:rPr>
          <w:t>23</w:t>
        </w:r>
        <w:r>
          <w:rPr>
            <w:color w:val="A6A6A6" w:themeColor="background1" w:themeShade="A6"/>
            <w:sz w:val="16"/>
            <w:szCs w:val="20"/>
          </w:rPr>
          <w:t xml:space="preserve"> </w:t>
        </w:r>
        <w:r w:rsidR="00AB2049">
          <w:rPr>
            <w:color w:val="A6A6A6" w:themeColor="background1" w:themeShade="A6"/>
            <w:sz w:val="16"/>
            <w:szCs w:val="20"/>
          </w:rPr>
          <w:t>August 2016</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w:t>
        </w:r>
        <w:r w:rsidR="007F4907">
          <w:rPr>
            <w:color w:val="A6A6A6" w:themeColor="background1" w:themeShade="A6"/>
            <w:sz w:val="16"/>
            <w:szCs w:val="20"/>
          </w:rPr>
          <w:t>00325</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1A677D">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4AD" w:rsidRDefault="00A244AD" w:rsidP="00293A72">
      <w:r>
        <w:separator/>
      </w:r>
    </w:p>
  </w:footnote>
  <w:footnote w:type="continuationSeparator" w:id="0">
    <w:p w:rsidR="00A244AD" w:rsidRDefault="00A244AD"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AB2049" w:rsidP="006770F2">
    <w:pPr>
      <w:pStyle w:val="Header"/>
      <w:tabs>
        <w:tab w:val="clear" w:pos="9026"/>
      </w:tabs>
      <w:ind w:right="-285"/>
      <w:rPr>
        <w:noProof/>
      </w:rPr>
    </w:pPr>
    <w:r>
      <w:rPr>
        <w:noProof/>
      </w:rPr>
      <w:t xml:space="preserve">A/Deputy </w:t>
    </w:r>
    <w:r w:rsidR="002E6443">
      <w:rPr>
        <w:noProof/>
      </w:rPr>
      <w:t xml:space="preserve">Director-General </w:t>
    </w:r>
    <w:r>
      <w:rPr>
        <w:noProof/>
      </w:rPr>
      <w:t>(Operations)</w:t>
    </w:r>
    <w:r w:rsidR="002E6443">
      <w:rPr>
        <w:noProof/>
      </w:rPr>
      <w:t xml:space="preserve">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3F789F41" wp14:editId="118245A0">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AB2049" w:rsidP="00AB2049">
          <w:pPr>
            <w:pStyle w:val="DecisionName"/>
            <w:jc w:val="center"/>
          </w:pPr>
          <w:r>
            <w:t xml:space="preserve">A/ Deputy </w:t>
          </w:r>
          <w:r w:rsidR="006770F2">
            <w:t>Direct</w:t>
          </w:r>
          <w:r w:rsidR="002E6443">
            <w:t>or</w:t>
          </w:r>
          <w:r w:rsidR="006770F2">
            <w:t xml:space="preserve">-General </w:t>
          </w:r>
          <w:r>
            <w:t>(Operations)</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597E17"/>
    <w:multiLevelType w:val="hybridMultilevel"/>
    <w:tmpl w:val="823CB1A6"/>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FB20B4"/>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5">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6">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1">
    <w:nsid w:val="2D02642D"/>
    <w:multiLevelType w:val="hybridMultilevel"/>
    <w:tmpl w:val="B26C8A2A"/>
    <w:lvl w:ilvl="0" w:tplc="0C09000F">
      <w:start w:val="4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8A92E09"/>
    <w:multiLevelType w:val="hybridMultilevel"/>
    <w:tmpl w:val="F4120A0E"/>
    <w:lvl w:ilvl="0" w:tplc="0C09000F">
      <w:start w:val="4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6">
    <w:nsid w:val="51945265"/>
    <w:multiLevelType w:val="hybridMultilevel"/>
    <w:tmpl w:val="8E5AB622"/>
    <w:lvl w:ilvl="0" w:tplc="0C09000F">
      <w:start w:val="40"/>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7">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nsid w:val="668B246C"/>
    <w:multiLevelType w:val="hybridMultilevel"/>
    <w:tmpl w:val="8AF2F46C"/>
    <w:lvl w:ilvl="0" w:tplc="0C09000F">
      <w:start w:val="40"/>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nsid w:val="6E6616CE"/>
    <w:multiLevelType w:val="hybridMultilevel"/>
    <w:tmpl w:val="ECE6CF08"/>
    <w:lvl w:ilvl="0" w:tplc="0C09000F">
      <w:start w:val="86"/>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nsid w:val="708B59FF"/>
    <w:multiLevelType w:val="hybridMultilevel"/>
    <w:tmpl w:val="4C4A1FB6"/>
    <w:lvl w:ilvl="0" w:tplc="0C09000F">
      <w:start w:val="8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4">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51F6636"/>
    <w:multiLevelType w:val="hybridMultilevel"/>
    <w:tmpl w:val="B0367E9A"/>
    <w:lvl w:ilvl="0" w:tplc="0C09000F">
      <w:start w:val="1"/>
      <w:numFmt w:val="decimal"/>
      <w:lvlText w:val="%1."/>
      <w:lvlJc w:val="left"/>
      <w:pPr>
        <w:ind w:left="928"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7">
    <w:nsid w:val="7DBA2AAA"/>
    <w:multiLevelType w:val="hybridMultilevel"/>
    <w:tmpl w:val="B0367E9A"/>
    <w:lvl w:ilvl="0" w:tplc="0C09000F">
      <w:start w:val="1"/>
      <w:numFmt w:val="decimal"/>
      <w:lvlText w:val="%1."/>
      <w:lvlJc w:val="left"/>
      <w:pPr>
        <w:ind w:left="3054"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10"/>
  </w:num>
  <w:num w:numId="2">
    <w:abstractNumId w:val="10"/>
  </w:num>
  <w:num w:numId="3">
    <w:abstractNumId w:val="10"/>
  </w:num>
  <w:num w:numId="4">
    <w:abstractNumId w:val="10"/>
  </w:num>
  <w:num w:numId="5">
    <w:abstractNumId w:val="0"/>
  </w:num>
  <w:num w:numId="6">
    <w:abstractNumId w:val="5"/>
  </w:num>
  <w:num w:numId="7">
    <w:abstractNumId w:val="6"/>
  </w:num>
  <w:num w:numId="8">
    <w:abstractNumId w:val="8"/>
  </w:num>
  <w:num w:numId="9">
    <w:abstractNumId w:val="24"/>
  </w:num>
  <w:num w:numId="10">
    <w:abstractNumId w:val="9"/>
  </w:num>
  <w:num w:numId="11">
    <w:abstractNumId w:val="22"/>
  </w:num>
  <w:num w:numId="12">
    <w:abstractNumId w:val="4"/>
  </w:num>
  <w:num w:numId="13">
    <w:abstractNumId w:val="19"/>
  </w:num>
  <w:num w:numId="14">
    <w:abstractNumId w:val="7"/>
  </w:num>
  <w:num w:numId="15">
    <w:abstractNumId w:val="15"/>
  </w:num>
  <w:num w:numId="16">
    <w:abstractNumId w:val="2"/>
  </w:num>
  <w:num w:numId="17">
    <w:abstractNumId w:val="12"/>
  </w:num>
  <w:num w:numId="18">
    <w:abstractNumId w:val="23"/>
  </w:num>
  <w:num w:numId="19">
    <w:abstractNumId w:val="14"/>
  </w:num>
  <w:num w:numId="20">
    <w:abstractNumId w:val="26"/>
  </w:num>
  <w:num w:numId="21">
    <w:abstractNumId w:val="17"/>
  </w:num>
  <w:num w:numId="22">
    <w:abstractNumId w:val="1"/>
  </w:num>
  <w:num w:numId="23">
    <w:abstractNumId w:val="27"/>
  </w:num>
  <w:num w:numId="24">
    <w:abstractNumId w:val="3"/>
  </w:num>
  <w:num w:numId="25">
    <w:abstractNumId w:val="18"/>
  </w:num>
  <w:num w:numId="26">
    <w:abstractNumId w:val="16"/>
  </w:num>
  <w:num w:numId="27">
    <w:abstractNumId w:val="13"/>
  </w:num>
  <w:num w:numId="28">
    <w:abstractNumId w:val="11"/>
  </w:num>
  <w:num w:numId="29">
    <w:abstractNumId w:val="25"/>
  </w:num>
  <w:num w:numId="30">
    <w:abstractNumId w:val="2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7217"/>
    <w:rsid w:val="000501B5"/>
    <w:rsid w:val="000519A2"/>
    <w:rsid w:val="00065C4C"/>
    <w:rsid w:val="0007259C"/>
    <w:rsid w:val="0007569C"/>
    <w:rsid w:val="00084D63"/>
    <w:rsid w:val="00090245"/>
    <w:rsid w:val="000A5093"/>
    <w:rsid w:val="000A50F1"/>
    <w:rsid w:val="000B090B"/>
    <w:rsid w:val="000B5975"/>
    <w:rsid w:val="000C07CC"/>
    <w:rsid w:val="000D0C27"/>
    <w:rsid w:val="000D2696"/>
    <w:rsid w:val="000D331C"/>
    <w:rsid w:val="000F0431"/>
    <w:rsid w:val="000F40A9"/>
    <w:rsid w:val="000F4207"/>
    <w:rsid w:val="001041C0"/>
    <w:rsid w:val="00107C87"/>
    <w:rsid w:val="001167CD"/>
    <w:rsid w:val="00117743"/>
    <w:rsid w:val="00117F5B"/>
    <w:rsid w:val="001250E7"/>
    <w:rsid w:val="00127D50"/>
    <w:rsid w:val="00140FDD"/>
    <w:rsid w:val="00141560"/>
    <w:rsid w:val="0014385B"/>
    <w:rsid w:val="001505FB"/>
    <w:rsid w:val="001552A6"/>
    <w:rsid w:val="001620E9"/>
    <w:rsid w:val="00170AE4"/>
    <w:rsid w:val="0017294F"/>
    <w:rsid w:val="00175621"/>
    <w:rsid w:val="00184EFE"/>
    <w:rsid w:val="00194D7F"/>
    <w:rsid w:val="001A2B7F"/>
    <w:rsid w:val="001A3DEE"/>
    <w:rsid w:val="001A677D"/>
    <w:rsid w:val="001C5037"/>
    <w:rsid w:val="001D7DAB"/>
    <w:rsid w:val="001E0F80"/>
    <w:rsid w:val="001E1216"/>
    <w:rsid w:val="001F5FA9"/>
    <w:rsid w:val="001F76BC"/>
    <w:rsid w:val="00206E08"/>
    <w:rsid w:val="002073A4"/>
    <w:rsid w:val="00210093"/>
    <w:rsid w:val="0021413A"/>
    <w:rsid w:val="00220937"/>
    <w:rsid w:val="00243E2D"/>
    <w:rsid w:val="00244FF0"/>
    <w:rsid w:val="00245650"/>
    <w:rsid w:val="00284A86"/>
    <w:rsid w:val="002935BE"/>
    <w:rsid w:val="00293A72"/>
    <w:rsid w:val="002A548A"/>
    <w:rsid w:val="002B0DEC"/>
    <w:rsid w:val="002B1C31"/>
    <w:rsid w:val="002B7D23"/>
    <w:rsid w:val="002D203F"/>
    <w:rsid w:val="002E34B4"/>
    <w:rsid w:val="002E37F1"/>
    <w:rsid w:val="002E6443"/>
    <w:rsid w:val="002F2885"/>
    <w:rsid w:val="002F60ED"/>
    <w:rsid w:val="0030703F"/>
    <w:rsid w:val="00315827"/>
    <w:rsid w:val="00322F46"/>
    <w:rsid w:val="00323ACA"/>
    <w:rsid w:val="00342283"/>
    <w:rsid w:val="00347B47"/>
    <w:rsid w:val="003630C7"/>
    <w:rsid w:val="0037611B"/>
    <w:rsid w:val="0038496D"/>
    <w:rsid w:val="00394AAF"/>
    <w:rsid w:val="0039677B"/>
    <w:rsid w:val="003A21D9"/>
    <w:rsid w:val="003A5D36"/>
    <w:rsid w:val="003B7A67"/>
    <w:rsid w:val="003C2211"/>
    <w:rsid w:val="003C234E"/>
    <w:rsid w:val="003C7905"/>
    <w:rsid w:val="003D2157"/>
    <w:rsid w:val="003E045C"/>
    <w:rsid w:val="003E7505"/>
    <w:rsid w:val="003F790A"/>
    <w:rsid w:val="0040222A"/>
    <w:rsid w:val="0040316A"/>
    <w:rsid w:val="004047BC"/>
    <w:rsid w:val="00411E9B"/>
    <w:rsid w:val="00416535"/>
    <w:rsid w:val="00426E25"/>
    <w:rsid w:val="0042790A"/>
    <w:rsid w:val="004423E6"/>
    <w:rsid w:val="00455983"/>
    <w:rsid w:val="0046387B"/>
    <w:rsid w:val="004732FE"/>
    <w:rsid w:val="004873C6"/>
    <w:rsid w:val="004A37BA"/>
    <w:rsid w:val="004A601B"/>
    <w:rsid w:val="004B1D98"/>
    <w:rsid w:val="004E2627"/>
    <w:rsid w:val="004F2CD2"/>
    <w:rsid w:val="004F4447"/>
    <w:rsid w:val="00503996"/>
    <w:rsid w:val="00512F0E"/>
    <w:rsid w:val="005257EC"/>
    <w:rsid w:val="005303FC"/>
    <w:rsid w:val="00530A50"/>
    <w:rsid w:val="00532F5C"/>
    <w:rsid w:val="00543A1E"/>
    <w:rsid w:val="00547D05"/>
    <w:rsid w:val="00554FD1"/>
    <w:rsid w:val="005654B8"/>
    <w:rsid w:val="005704CB"/>
    <w:rsid w:val="00570BC3"/>
    <w:rsid w:val="005726D2"/>
    <w:rsid w:val="00587446"/>
    <w:rsid w:val="00591B49"/>
    <w:rsid w:val="00593589"/>
    <w:rsid w:val="005A6D6D"/>
    <w:rsid w:val="005B5AC2"/>
    <w:rsid w:val="005C47C1"/>
    <w:rsid w:val="005D0DC5"/>
    <w:rsid w:val="005D1EE0"/>
    <w:rsid w:val="005D72CE"/>
    <w:rsid w:val="005D786F"/>
    <w:rsid w:val="005E24DC"/>
    <w:rsid w:val="005E3BA5"/>
    <w:rsid w:val="005E4072"/>
    <w:rsid w:val="005E4681"/>
    <w:rsid w:val="006038D3"/>
    <w:rsid w:val="006163AB"/>
    <w:rsid w:val="00630155"/>
    <w:rsid w:val="006400D3"/>
    <w:rsid w:val="006419C4"/>
    <w:rsid w:val="00650F5B"/>
    <w:rsid w:val="006538C0"/>
    <w:rsid w:val="00655618"/>
    <w:rsid w:val="006627E4"/>
    <w:rsid w:val="00662DAD"/>
    <w:rsid w:val="006641ED"/>
    <w:rsid w:val="006719EA"/>
    <w:rsid w:val="00674E97"/>
    <w:rsid w:val="006770F2"/>
    <w:rsid w:val="00681CE0"/>
    <w:rsid w:val="0068683B"/>
    <w:rsid w:val="00692285"/>
    <w:rsid w:val="006A2598"/>
    <w:rsid w:val="006A2710"/>
    <w:rsid w:val="006A44E3"/>
    <w:rsid w:val="006B4310"/>
    <w:rsid w:val="006C07A1"/>
    <w:rsid w:val="006C668D"/>
    <w:rsid w:val="006D5246"/>
    <w:rsid w:val="007023AB"/>
    <w:rsid w:val="00722DDB"/>
    <w:rsid w:val="007408F5"/>
    <w:rsid w:val="00770807"/>
    <w:rsid w:val="00787D74"/>
    <w:rsid w:val="007B6A96"/>
    <w:rsid w:val="007E01C6"/>
    <w:rsid w:val="007E31FB"/>
    <w:rsid w:val="007F096D"/>
    <w:rsid w:val="007F4907"/>
    <w:rsid w:val="0080624F"/>
    <w:rsid w:val="00817AF1"/>
    <w:rsid w:val="008313C4"/>
    <w:rsid w:val="008516CC"/>
    <w:rsid w:val="0085544C"/>
    <w:rsid w:val="0086109D"/>
    <w:rsid w:val="00861DC3"/>
    <w:rsid w:val="0086745F"/>
    <w:rsid w:val="0087091E"/>
    <w:rsid w:val="00872BC9"/>
    <w:rsid w:val="00873CDE"/>
    <w:rsid w:val="00881E1B"/>
    <w:rsid w:val="0088588D"/>
    <w:rsid w:val="008934B6"/>
    <w:rsid w:val="008A27E4"/>
    <w:rsid w:val="008A32EB"/>
    <w:rsid w:val="008E22F8"/>
    <w:rsid w:val="008E47CE"/>
    <w:rsid w:val="008E5B10"/>
    <w:rsid w:val="008E63B1"/>
    <w:rsid w:val="008F70BE"/>
    <w:rsid w:val="0092794F"/>
    <w:rsid w:val="00930D60"/>
    <w:rsid w:val="00936A77"/>
    <w:rsid w:val="00936FCB"/>
    <w:rsid w:val="009616DF"/>
    <w:rsid w:val="009624A0"/>
    <w:rsid w:val="009641E3"/>
    <w:rsid w:val="0098759C"/>
    <w:rsid w:val="00993745"/>
    <w:rsid w:val="009A73E5"/>
    <w:rsid w:val="009B5150"/>
    <w:rsid w:val="009D153B"/>
    <w:rsid w:val="009D65D7"/>
    <w:rsid w:val="00A04BDC"/>
    <w:rsid w:val="00A234B1"/>
    <w:rsid w:val="00A244AD"/>
    <w:rsid w:val="00A24D7D"/>
    <w:rsid w:val="00A31F5D"/>
    <w:rsid w:val="00A37DDA"/>
    <w:rsid w:val="00A704E6"/>
    <w:rsid w:val="00A845C6"/>
    <w:rsid w:val="00AA16B6"/>
    <w:rsid w:val="00AA7967"/>
    <w:rsid w:val="00AB2049"/>
    <w:rsid w:val="00AD06A3"/>
    <w:rsid w:val="00AD0B03"/>
    <w:rsid w:val="00AE2A72"/>
    <w:rsid w:val="00AE7B5D"/>
    <w:rsid w:val="00B0580F"/>
    <w:rsid w:val="00B12589"/>
    <w:rsid w:val="00B3067F"/>
    <w:rsid w:val="00B44012"/>
    <w:rsid w:val="00B61B26"/>
    <w:rsid w:val="00B8518A"/>
    <w:rsid w:val="00B924D3"/>
    <w:rsid w:val="00B96BD8"/>
    <w:rsid w:val="00BA75DE"/>
    <w:rsid w:val="00BB0A00"/>
    <w:rsid w:val="00BB4846"/>
    <w:rsid w:val="00BC1372"/>
    <w:rsid w:val="00BC1846"/>
    <w:rsid w:val="00BC4320"/>
    <w:rsid w:val="00BC7928"/>
    <w:rsid w:val="00BE75A5"/>
    <w:rsid w:val="00BF158B"/>
    <w:rsid w:val="00BF25E6"/>
    <w:rsid w:val="00C00907"/>
    <w:rsid w:val="00C04D9C"/>
    <w:rsid w:val="00C1505C"/>
    <w:rsid w:val="00C26CCD"/>
    <w:rsid w:val="00C36B82"/>
    <w:rsid w:val="00C4163B"/>
    <w:rsid w:val="00C579D3"/>
    <w:rsid w:val="00C62099"/>
    <w:rsid w:val="00C72999"/>
    <w:rsid w:val="00C73E75"/>
    <w:rsid w:val="00C75E81"/>
    <w:rsid w:val="00C816B9"/>
    <w:rsid w:val="00C81E12"/>
    <w:rsid w:val="00C82D5A"/>
    <w:rsid w:val="00C9363A"/>
    <w:rsid w:val="00C96786"/>
    <w:rsid w:val="00CA6DDE"/>
    <w:rsid w:val="00CB7DC0"/>
    <w:rsid w:val="00CC3330"/>
    <w:rsid w:val="00CC5AF5"/>
    <w:rsid w:val="00CC768C"/>
    <w:rsid w:val="00CD1BE0"/>
    <w:rsid w:val="00CD451C"/>
    <w:rsid w:val="00CE1281"/>
    <w:rsid w:val="00CE5E50"/>
    <w:rsid w:val="00D00BE2"/>
    <w:rsid w:val="00D02AA7"/>
    <w:rsid w:val="00D044AA"/>
    <w:rsid w:val="00D157D9"/>
    <w:rsid w:val="00D17A30"/>
    <w:rsid w:val="00D25638"/>
    <w:rsid w:val="00D265AE"/>
    <w:rsid w:val="00D27945"/>
    <w:rsid w:val="00D33764"/>
    <w:rsid w:val="00D40076"/>
    <w:rsid w:val="00D42C89"/>
    <w:rsid w:val="00D46F15"/>
    <w:rsid w:val="00D470F0"/>
    <w:rsid w:val="00D55BBF"/>
    <w:rsid w:val="00D80A15"/>
    <w:rsid w:val="00D829E9"/>
    <w:rsid w:val="00D840DD"/>
    <w:rsid w:val="00D92D3F"/>
    <w:rsid w:val="00D975C0"/>
    <w:rsid w:val="00DB0EEC"/>
    <w:rsid w:val="00DC5DD9"/>
    <w:rsid w:val="00DD0C69"/>
    <w:rsid w:val="00DD5638"/>
    <w:rsid w:val="00DD7F4C"/>
    <w:rsid w:val="00DE025E"/>
    <w:rsid w:val="00DE7143"/>
    <w:rsid w:val="00DE71E4"/>
    <w:rsid w:val="00DF0487"/>
    <w:rsid w:val="00E07444"/>
    <w:rsid w:val="00E1681A"/>
    <w:rsid w:val="00E2023F"/>
    <w:rsid w:val="00E30907"/>
    <w:rsid w:val="00E30AA3"/>
    <w:rsid w:val="00E34E0A"/>
    <w:rsid w:val="00E357FE"/>
    <w:rsid w:val="00E41C2A"/>
    <w:rsid w:val="00E619FF"/>
    <w:rsid w:val="00E62781"/>
    <w:rsid w:val="00E6625A"/>
    <w:rsid w:val="00E71A10"/>
    <w:rsid w:val="00E76967"/>
    <w:rsid w:val="00E81309"/>
    <w:rsid w:val="00E823AF"/>
    <w:rsid w:val="00E85526"/>
    <w:rsid w:val="00E85A3E"/>
    <w:rsid w:val="00EA1A20"/>
    <w:rsid w:val="00EE7F0E"/>
    <w:rsid w:val="00EF485D"/>
    <w:rsid w:val="00F1351E"/>
    <w:rsid w:val="00F15C61"/>
    <w:rsid w:val="00F15ED0"/>
    <w:rsid w:val="00F30D71"/>
    <w:rsid w:val="00F31EE1"/>
    <w:rsid w:val="00F35F28"/>
    <w:rsid w:val="00F37CFA"/>
    <w:rsid w:val="00F41832"/>
    <w:rsid w:val="00F51BDB"/>
    <w:rsid w:val="00F534F3"/>
    <w:rsid w:val="00F54FC0"/>
    <w:rsid w:val="00F60C05"/>
    <w:rsid w:val="00F6779E"/>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1A677D"/>
    <w:pPr>
      <w:keepNext/>
      <w:spacing w:after="120"/>
      <w:outlineLvl w:val="2"/>
    </w:pPr>
    <w:rPr>
      <w:rFonts w:cs="Arial"/>
      <w:b/>
      <w:bCs/>
      <w:sz w:val="28"/>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1A677D"/>
    <w:rPr>
      <w:rFonts w:ascii="Arial" w:eastAsia="Times New Roman" w:hAnsi="Arial" w:cs="Arial"/>
      <w:b/>
      <w:bCs/>
      <w:sz w:val="28"/>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autoRedefine/>
    <w:qFormat/>
    <w:rsid w:val="001A677D"/>
    <w:pPr>
      <w:keepNext/>
      <w:spacing w:after="120"/>
      <w:outlineLvl w:val="2"/>
    </w:pPr>
    <w:rPr>
      <w:rFonts w:cs="Arial"/>
      <w:b/>
      <w:bCs/>
      <w:sz w:val="28"/>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1A677D"/>
    <w:rPr>
      <w:rFonts w:ascii="Arial" w:eastAsia="Times New Roman" w:hAnsi="Arial" w:cs="Arial"/>
      <w:b/>
      <w:bCs/>
      <w:sz w:val="28"/>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0C59BD"/>
    <w:rsid w:val="002C6384"/>
    <w:rsid w:val="002D4C43"/>
    <w:rsid w:val="003558A2"/>
    <w:rsid w:val="007B5ADD"/>
    <w:rsid w:val="00941C01"/>
    <w:rsid w:val="00AC5B8F"/>
    <w:rsid w:val="00CA7098"/>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2.xml><?xml version="1.0" encoding="utf-8"?>
<ds:datastoreItem xmlns:ds="http://schemas.openxmlformats.org/officeDocument/2006/customXml" ds:itemID="{4460F915-2B12-4D32-A74F-B283A1BE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C7404AF0-5E9C-4487-98DB-2031FB41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3799</Words>
  <Characters>21655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Decision Notice for Shenannigans Irish Pub - Application for Increase in Gaming Machines</vt:lpstr>
    </vt:vector>
  </TitlesOfParts>
  <Company>Northern Territory Government</Company>
  <LinksUpToDate>false</LinksUpToDate>
  <CharactersWithSpaces>25404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Tavern - Application for increase in Gaming Machines</dc:title>
  <dc:creator>Cindy Bravos</dc:creator>
  <cp:lastModifiedBy>Marlene Woods</cp:lastModifiedBy>
  <cp:revision>21</cp:revision>
  <cp:lastPrinted>2015-11-23T03:15:00Z</cp:lastPrinted>
  <dcterms:created xsi:type="dcterms:W3CDTF">2015-11-23T03:15:00Z</dcterms:created>
  <dcterms:modified xsi:type="dcterms:W3CDTF">2016-10-11T05:43:00Z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0x01010088580A8767A4CA49A3747FBE42D6EA6A</vt:lpwstr>
  </property>
</Properties>
</file>