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Application for Increase in Gaming Machines</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217F3E">
        <w:rPr>
          <w:rFonts w:cs="Arial"/>
        </w:rPr>
        <w:t>Nightcliff Sports</w:t>
      </w:r>
      <w:r w:rsidR="00EE048B">
        <w:rPr>
          <w:rFonts w:cs="Arial"/>
        </w:rPr>
        <w:t xml:space="preserve"> Club</w:t>
      </w:r>
    </w:p>
    <w:p w:rsidR="009B5150" w:rsidRDefault="00AB2049" w:rsidP="00D33764">
      <w:pPr>
        <w:pStyle w:val="Tabformatting"/>
        <w:spacing w:after="0"/>
        <w:rPr>
          <w:rFonts w:cs="Arial"/>
        </w:rPr>
      </w:pPr>
      <w:r>
        <w:rPr>
          <w:rFonts w:cs="Arial"/>
        </w:rPr>
        <w:tab/>
      </w:r>
      <w:r w:rsidR="00217F3E">
        <w:rPr>
          <w:rFonts w:cs="Arial"/>
        </w:rPr>
        <w:t>11 Camphor Street</w:t>
      </w:r>
    </w:p>
    <w:p w:rsidR="00D33764" w:rsidRPr="00655618" w:rsidRDefault="00D33764" w:rsidP="001620E9">
      <w:pPr>
        <w:pStyle w:val="Tabformatting"/>
        <w:rPr>
          <w:rFonts w:cs="Arial"/>
        </w:rPr>
      </w:pPr>
      <w:r w:rsidRPr="00655618">
        <w:rPr>
          <w:rFonts w:cs="Arial"/>
        </w:rPr>
        <w:tab/>
      </w:r>
      <w:proofErr w:type="gramStart"/>
      <w:r w:rsidR="00217F3E">
        <w:rPr>
          <w:rFonts w:cs="Arial"/>
        </w:rPr>
        <w:t>Nightcliff  NT</w:t>
      </w:r>
      <w:proofErr w:type="gramEnd"/>
      <w:r w:rsidR="00217F3E">
        <w:rPr>
          <w:rFonts w:cs="Arial"/>
        </w:rPr>
        <w:t xml:space="preserve">  0810</w:t>
      </w:r>
    </w:p>
    <w:p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r w:rsidR="00217F3E">
        <w:rPr>
          <w:rFonts w:cs="Arial"/>
        </w:rPr>
        <w:t>Nightcliff Sports</w:t>
      </w:r>
      <w:r w:rsidR="00AB2049">
        <w:rPr>
          <w:rFonts w:cs="Arial"/>
        </w:rPr>
        <w:t xml:space="preserve"> Club Inc.</w:t>
      </w:r>
    </w:p>
    <w:p w:rsidR="00CC3330" w:rsidRPr="00655618" w:rsidRDefault="00CC3330" w:rsidP="001620E9">
      <w:pPr>
        <w:pStyle w:val="Tabformatting"/>
        <w:rPr>
          <w:rFonts w:cs="Arial"/>
        </w:rPr>
      </w:pPr>
      <w:r w:rsidRPr="00655618">
        <w:rPr>
          <w:rFonts w:cs="Arial"/>
          <w:b/>
        </w:rPr>
        <w:t>Nominee</w:t>
      </w:r>
      <w:r w:rsidRPr="00655618">
        <w:rPr>
          <w:rFonts w:cs="Arial"/>
        </w:rPr>
        <w:t>:</w:t>
      </w:r>
      <w:r w:rsidRPr="00655618">
        <w:rPr>
          <w:rFonts w:cs="Arial"/>
        </w:rPr>
        <w:tab/>
      </w:r>
      <w:r w:rsidR="00D33764" w:rsidRPr="00655618">
        <w:rPr>
          <w:rFonts w:cs="Arial"/>
        </w:rPr>
        <w:t xml:space="preserve">Mr </w:t>
      </w:r>
      <w:r w:rsidR="00217F3E">
        <w:rPr>
          <w:rFonts w:cs="Arial"/>
        </w:rPr>
        <w:t>Daniel Clarkson</w:t>
      </w:r>
    </w:p>
    <w:p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Pr="00655618">
        <w:rPr>
          <w:rFonts w:cs="Arial"/>
        </w:rPr>
        <w:t>Amity Community Services Incorporated</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41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AB2049">
        <w:rPr>
          <w:rFonts w:cs="Arial"/>
        </w:rPr>
        <w:t xml:space="preserve">A/Deputy </w:t>
      </w:r>
      <w:r w:rsidR="006770F2" w:rsidRPr="00655618">
        <w:rPr>
          <w:rFonts w:cs="Arial"/>
        </w:rPr>
        <w:t xml:space="preserve">Director-General </w:t>
      </w:r>
      <w:r w:rsidR="00AB2049">
        <w:rPr>
          <w:rFonts w:cs="Arial"/>
        </w:rPr>
        <w:t>(Operations)</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170AE4">
        <w:rPr>
          <w:rFonts w:cs="Arial"/>
        </w:rPr>
        <w:t>2</w:t>
      </w:r>
      <w:r w:rsidR="00217F3E">
        <w:rPr>
          <w:rFonts w:cs="Arial"/>
        </w:rPr>
        <w:t>4</w:t>
      </w:r>
      <w:r w:rsidR="00AB2049">
        <w:rPr>
          <w:rFonts w:cs="Arial"/>
        </w:rPr>
        <w:t xml:space="preserve"> August 2016</w:t>
      </w:r>
    </w:p>
    <w:p w:rsidR="001620E9" w:rsidRPr="00655618" w:rsidRDefault="001620E9" w:rsidP="001620E9">
      <w:pPr>
        <w:pStyle w:val="BottomLine"/>
        <w:rPr>
          <w:rFonts w:cs="Arial"/>
        </w:rPr>
      </w:pPr>
    </w:p>
    <w:p w:rsidR="00D33764" w:rsidRPr="00655618" w:rsidRDefault="00C36B82" w:rsidP="00E30AA3">
      <w:pPr>
        <w:pStyle w:val="Heading2"/>
        <w:spacing w:before="0"/>
        <w:rPr>
          <w:rFonts w:cs="Arial"/>
        </w:rPr>
      </w:pPr>
      <w:r w:rsidRPr="00655618">
        <w:rPr>
          <w:rFonts w:cs="Arial"/>
        </w:rPr>
        <w:t>Background</w:t>
      </w:r>
    </w:p>
    <w:p w:rsidR="00D33764" w:rsidRPr="00655618" w:rsidRDefault="00F92910" w:rsidP="000F40A9">
      <w:pPr>
        <w:pStyle w:val="ListParagraph"/>
        <w:numPr>
          <w:ilvl w:val="0"/>
          <w:numId w:val="12"/>
        </w:numPr>
        <w:spacing w:after="240"/>
        <w:ind w:left="567" w:hanging="425"/>
        <w:jc w:val="both"/>
        <w:rPr>
          <w:rFonts w:cs="Arial"/>
          <w:szCs w:val="24"/>
        </w:rPr>
      </w:pPr>
      <w:r w:rsidRPr="00655618">
        <w:rPr>
          <w:rFonts w:cs="Arial"/>
          <w:szCs w:val="24"/>
        </w:rPr>
        <w:t xml:space="preserve">On </w:t>
      </w:r>
      <w:r w:rsidR="00EE048B">
        <w:rPr>
          <w:rFonts w:cs="Arial"/>
          <w:szCs w:val="24"/>
        </w:rPr>
        <w:t>3 June</w:t>
      </w:r>
      <w:r w:rsidR="00AB2049">
        <w:rPr>
          <w:rFonts w:cs="Arial"/>
          <w:szCs w:val="24"/>
        </w:rPr>
        <w:t xml:space="preserve"> 2016</w:t>
      </w:r>
      <w:r w:rsidRPr="00655618">
        <w:rPr>
          <w:rFonts w:cs="Arial"/>
          <w:szCs w:val="24"/>
        </w:rPr>
        <w:t>,</w:t>
      </w:r>
      <w:r w:rsidR="00D33764" w:rsidRPr="00655618">
        <w:rPr>
          <w:rFonts w:cs="Arial"/>
          <w:szCs w:val="24"/>
        </w:rPr>
        <w:t xml:space="preserve"> Mr </w:t>
      </w:r>
      <w:r w:rsidR="00217F3E">
        <w:rPr>
          <w:rFonts w:cs="Arial"/>
          <w:szCs w:val="24"/>
        </w:rPr>
        <w:t>Daniel Clarkson and Mr Brian Thomas</w:t>
      </w:r>
      <w:r w:rsidR="00EE048B">
        <w:rPr>
          <w:rFonts w:cs="Arial"/>
          <w:szCs w:val="24"/>
        </w:rPr>
        <w:t>, Authorised Ex</w:t>
      </w:r>
      <w:r w:rsidR="00AB2049">
        <w:rPr>
          <w:rFonts w:cs="Arial"/>
          <w:szCs w:val="24"/>
        </w:rPr>
        <w:t xml:space="preserve">ecutive Officers of </w:t>
      </w:r>
      <w:r w:rsidR="00217F3E">
        <w:rPr>
          <w:rFonts w:cs="Arial"/>
          <w:szCs w:val="24"/>
        </w:rPr>
        <w:t xml:space="preserve">Nightcliff Sports Club </w:t>
      </w:r>
      <w:r w:rsidR="00AB2049">
        <w:rPr>
          <w:rFonts w:cs="Arial"/>
          <w:szCs w:val="24"/>
        </w:rPr>
        <w:t>Inc</w:t>
      </w:r>
      <w:r w:rsidR="00217F3E">
        <w:rPr>
          <w:rFonts w:cs="Arial"/>
          <w:szCs w:val="24"/>
        </w:rPr>
        <w:t>.</w:t>
      </w:r>
      <w:r w:rsidR="00170AE4">
        <w:rPr>
          <w:rFonts w:cs="Arial"/>
          <w:szCs w:val="24"/>
        </w:rPr>
        <w:t xml:space="preserve"> </w:t>
      </w:r>
      <w:r w:rsidR="00D33764" w:rsidRPr="00655618">
        <w:rPr>
          <w:rFonts w:cs="Arial"/>
          <w:szCs w:val="24"/>
        </w:rPr>
        <w:t>(“the Applicant</w:t>
      </w:r>
      <w:r w:rsidRPr="00655618">
        <w:rPr>
          <w:rFonts w:cs="Arial"/>
          <w:szCs w:val="24"/>
        </w:rPr>
        <w:t>”</w:t>
      </w:r>
      <w:r w:rsidR="00D33764" w:rsidRPr="00655618">
        <w:rPr>
          <w:rFonts w:cs="Arial"/>
          <w:szCs w:val="24"/>
        </w:rPr>
        <w:t xml:space="preserve">) applied for an increase in the number of </w:t>
      </w:r>
      <w:r w:rsidR="000F40A9" w:rsidRPr="00655618">
        <w:rPr>
          <w:rFonts w:cs="Arial"/>
          <w:szCs w:val="24"/>
        </w:rPr>
        <w:t xml:space="preserve">gaming machines </w:t>
      </w:r>
      <w:r w:rsidR="00D33764" w:rsidRPr="00655618">
        <w:rPr>
          <w:rFonts w:cs="Arial"/>
          <w:szCs w:val="24"/>
        </w:rPr>
        <w:t xml:space="preserve">authorised for use at </w:t>
      </w:r>
      <w:r w:rsidR="00EE048B">
        <w:rPr>
          <w:rFonts w:cs="Arial"/>
          <w:szCs w:val="24"/>
        </w:rPr>
        <w:t xml:space="preserve">the </w:t>
      </w:r>
      <w:r w:rsidR="00217F3E">
        <w:rPr>
          <w:rFonts w:cs="Arial"/>
          <w:szCs w:val="24"/>
        </w:rPr>
        <w:t xml:space="preserve">Nightcliff Sports </w:t>
      </w:r>
      <w:r w:rsidR="00EE048B">
        <w:rPr>
          <w:rFonts w:cs="Arial"/>
          <w:szCs w:val="24"/>
        </w:rPr>
        <w:t>Club (“t</w:t>
      </w:r>
      <w:r w:rsidR="00322F46" w:rsidRPr="00655618">
        <w:rPr>
          <w:rFonts w:cs="Arial"/>
          <w:szCs w:val="24"/>
        </w:rPr>
        <w:t xml:space="preserve">he </w:t>
      </w:r>
      <w:r w:rsidR="00EE048B">
        <w:rPr>
          <w:rFonts w:cs="Arial"/>
          <w:szCs w:val="24"/>
        </w:rPr>
        <w:t>venue</w:t>
      </w:r>
      <w:r w:rsidR="00322F46" w:rsidRPr="00655618">
        <w:rPr>
          <w:rFonts w:cs="Arial"/>
          <w:szCs w:val="24"/>
        </w:rPr>
        <w:t xml:space="preserve">”) </w:t>
      </w:r>
      <w:r w:rsidR="00D33764" w:rsidRPr="00655618">
        <w:rPr>
          <w:rFonts w:cs="Arial"/>
          <w:szCs w:val="24"/>
        </w:rPr>
        <w:t xml:space="preserve">pursuant to section 41 of the </w:t>
      </w:r>
      <w:r w:rsidR="00D33764" w:rsidRPr="00655618">
        <w:rPr>
          <w:rFonts w:cs="Arial"/>
          <w:i/>
          <w:szCs w:val="24"/>
        </w:rPr>
        <w:t>Gaming Machine Act</w:t>
      </w:r>
      <w:r w:rsidR="00D33764" w:rsidRPr="00655618">
        <w:rPr>
          <w:rFonts w:cs="Arial"/>
          <w:szCs w:val="24"/>
        </w:rPr>
        <w:t xml:space="preserve"> (“the Act”).  </w:t>
      </w:r>
    </w:p>
    <w:p w:rsidR="00770807" w:rsidRPr="00655618" w:rsidRDefault="00770807" w:rsidP="000F40A9">
      <w:pPr>
        <w:pStyle w:val="ListParagraph"/>
        <w:numPr>
          <w:ilvl w:val="0"/>
          <w:numId w:val="12"/>
        </w:numPr>
        <w:spacing w:after="240"/>
        <w:ind w:left="567" w:hanging="425"/>
        <w:jc w:val="both"/>
        <w:rPr>
          <w:rFonts w:cs="Arial"/>
          <w:szCs w:val="24"/>
        </w:rPr>
      </w:pPr>
      <w:r w:rsidRPr="00655618">
        <w:rPr>
          <w:rFonts w:cs="Arial"/>
          <w:szCs w:val="24"/>
        </w:rPr>
        <w:t>Regulation 3(</w:t>
      </w:r>
      <w:r w:rsidR="00AB2049">
        <w:rPr>
          <w:rFonts w:cs="Arial"/>
          <w:szCs w:val="24"/>
        </w:rPr>
        <w:t>b</w:t>
      </w:r>
      <w:r w:rsidRPr="00655618">
        <w:rPr>
          <w:rFonts w:cs="Arial"/>
          <w:szCs w:val="24"/>
        </w:rPr>
        <w:t>) of the Gaming Machine Regulations (</w:t>
      </w:r>
      <w:r w:rsidR="00532F5C">
        <w:rPr>
          <w:rFonts w:cs="Arial"/>
          <w:szCs w:val="24"/>
        </w:rPr>
        <w:t>“</w:t>
      </w:r>
      <w:r w:rsidRPr="00655618">
        <w:rPr>
          <w:rFonts w:cs="Arial"/>
          <w:szCs w:val="24"/>
        </w:rPr>
        <w:t xml:space="preserve">the Regulations”) sets the maximum number of gaming machines that may be authorised for Category </w:t>
      </w:r>
      <w:r w:rsidR="00AB2049">
        <w:rPr>
          <w:rFonts w:cs="Arial"/>
          <w:szCs w:val="24"/>
        </w:rPr>
        <w:t>2</w:t>
      </w:r>
      <w:r w:rsidRPr="00655618">
        <w:rPr>
          <w:rFonts w:cs="Arial"/>
          <w:szCs w:val="24"/>
        </w:rPr>
        <w:t xml:space="preserve"> licensed premise</w:t>
      </w:r>
      <w:r w:rsidR="00783D2C">
        <w:rPr>
          <w:rFonts w:cs="Arial"/>
          <w:szCs w:val="24"/>
        </w:rPr>
        <w:t>s</w:t>
      </w:r>
      <w:r w:rsidRPr="00655618">
        <w:rPr>
          <w:rFonts w:cs="Arial"/>
          <w:szCs w:val="24"/>
        </w:rPr>
        <w:t xml:space="preserve"> under section 41 of the Act.</w:t>
      </w:r>
    </w:p>
    <w:p w:rsidR="00770807" w:rsidRPr="00B3067F" w:rsidRDefault="00770807" w:rsidP="000F40A9">
      <w:pPr>
        <w:pStyle w:val="ListParagraph"/>
        <w:numPr>
          <w:ilvl w:val="0"/>
          <w:numId w:val="12"/>
        </w:numPr>
        <w:spacing w:after="240"/>
        <w:ind w:left="567" w:hanging="425"/>
        <w:jc w:val="both"/>
        <w:rPr>
          <w:rFonts w:cs="Arial"/>
          <w:szCs w:val="24"/>
        </w:rPr>
      </w:pPr>
      <w:r w:rsidRPr="00B3067F">
        <w:rPr>
          <w:rFonts w:cs="Arial"/>
          <w:szCs w:val="24"/>
        </w:rPr>
        <w:t>Regulation 2(2)(</w:t>
      </w:r>
      <w:r w:rsidR="00AB2049">
        <w:rPr>
          <w:rFonts w:cs="Arial"/>
          <w:szCs w:val="24"/>
        </w:rPr>
        <w:t>b</w:t>
      </w:r>
      <w:r w:rsidRPr="00B3067F">
        <w:rPr>
          <w:rFonts w:cs="Arial"/>
          <w:szCs w:val="24"/>
        </w:rPr>
        <w:t xml:space="preserve">) of the Regulations defines Category </w:t>
      </w:r>
      <w:r w:rsidR="00AB2049">
        <w:rPr>
          <w:rFonts w:cs="Arial"/>
          <w:szCs w:val="24"/>
        </w:rPr>
        <w:t>2</w:t>
      </w:r>
      <w:r w:rsidRPr="00B3067F">
        <w:rPr>
          <w:rFonts w:cs="Arial"/>
          <w:szCs w:val="24"/>
        </w:rPr>
        <w:t xml:space="preserve"> licensed premise</w:t>
      </w:r>
      <w:r w:rsidR="00783D2C">
        <w:rPr>
          <w:rFonts w:cs="Arial"/>
          <w:szCs w:val="24"/>
        </w:rPr>
        <w:t>s</w:t>
      </w:r>
      <w:r w:rsidRPr="00B3067F">
        <w:rPr>
          <w:rFonts w:cs="Arial"/>
          <w:szCs w:val="24"/>
        </w:rPr>
        <w:t xml:space="preserve"> </w:t>
      </w:r>
      <w:r w:rsidR="0040316A" w:rsidRPr="00B3067F">
        <w:rPr>
          <w:rFonts w:cs="Arial"/>
          <w:szCs w:val="24"/>
        </w:rPr>
        <w:t>as premise</w:t>
      </w:r>
      <w:r w:rsidR="00783D2C">
        <w:rPr>
          <w:rFonts w:cs="Arial"/>
          <w:szCs w:val="24"/>
        </w:rPr>
        <w:t>s</w:t>
      </w:r>
      <w:r w:rsidR="0040316A" w:rsidRPr="00B3067F">
        <w:rPr>
          <w:rFonts w:cs="Arial"/>
          <w:szCs w:val="24"/>
        </w:rPr>
        <w:t xml:space="preserve"> for which a </w:t>
      </w:r>
      <w:r w:rsidR="00AB2049">
        <w:rPr>
          <w:rFonts w:cs="Arial"/>
          <w:szCs w:val="24"/>
        </w:rPr>
        <w:t>club</w:t>
      </w:r>
      <w:r w:rsidR="0040316A" w:rsidRPr="00B3067F">
        <w:rPr>
          <w:rFonts w:cs="Arial"/>
          <w:szCs w:val="24"/>
        </w:rPr>
        <w:t xml:space="preserve"> liquor licence is in force at any particular time.</w:t>
      </w:r>
    </w:p>
    <w:p w:rsidR="0040316A" w:rsidRPr="00B3067F" w:rsidRDefault="0040316A" w:rsidP="000F40A9">
      <w:pPr>
        <w:pStyle w:val="ListParagraph"/>
        <w:numPr>
          <w:ilvl w:val="0"/>
          <w:numId w:val="12"/>
        </w:numPr>
        <w:spacing w:after="240"/>
        <w:ind w:left="567" w:hanging="425"/>
        <w:jc w:val="both"/>
        <w:rPr>
          <w:rFonts w:cs="Arial"/>
          <w:szCs w:val="24"/>
        </w:rPr>
      </w:pPr>
      <w:r w:rsidRPr="00B3067F">
        <w:rPr>
          <w:rFonts w:cs="Arial"/>
          <w:szCs w:val="24"/>
        </w:rPr>
        <w:t>Under section 41(1) of the Act, a licensee may apply to have the number of gaming machines authorised for use under the license increased.  The Director-General</w:t>
      </w:r>
      <w:r w:rsidR="00F6779E">
        <w:rPr>
          <w:rFonts w:cs="Arial"/>
          <w:szCs w:val="24"/>
        </w:rPr>
        <w:t xml:space="preserve"> of Licensing (“Director-General”)</w:t>
      </w:r>
      <w:r w:rsidRPr="00655618">
        <w:rPr>
          <w:rFonts w:cs="Arial"/>
          <w:szCs w:val="24"/>
        </w:rPr>
        <w:t xml:space="preserve"> may grant or refuse such an application a</w:t>
      </w:r>
      <w:r w:rsidRPr="00B3067F">
        <w:rPr>
          <w:rFonts w:cs="Arial"/>
          <w:szCs w:val="24"/>
        </w:rPr>
        <w:t>nd in determining the application shall have regard to Part 3, Division</w:t>
      </w:r>
      <w:r w:rsidR="000B5975" w:rsidRPr="00B3067F">
        <w:rPr>
          <w:rFonts w:cs="Arial"/>
          <w:szCs w:val="24"/>
        </w:rPr>
        <w:t xml:space="preserve"> 5 of the Act.</w:t>
      </w:r>
    </w:p>
    <w:p w:rsidR="0087091E" w:rsidRPr="00B3067F" w:rsidRDefault="0087091E" w:rsidP="0087091E">
      <w:pPr>
        <w:pStyle w:val="ListParagraph"/>
        <w:numPr>
          <w:ilvl w:val="0"/>
          <w:numId w:val="12"/>
        </w:numPr>
        <w:spacing w:after="240"/>
        <w:ind w:left="567" w:hanging="425"/>
        <w:jc w:val="both"/>
        <w:rPr>
          <w:rFonts w:cs="Arial"/>
          <w:szCs w:val="24"/>
        </w:rPr>
      </w:pPr>
      <w:r w:rsidRPr="00B3067F">
        <w:rPr>
          <w:rFonts w:cs="Arial"/>
          <w:szCs w:val="24"/>
        </w:rPr>
        <w:t xml:space="preserve">The Applicant is the holder of a licence issued under the </w:t>
      </w:r>
      <w:r w:rsidRPr="00B3067F">
        <w:rPr>
          <w:rFonts w:cs="Arial"/>
          <w:i/>
          <w:szCs w:val="24"/>
        </w:rPr>
        <w:t>Liquor Act</w:t>
      </w:r>
      <w:r w:rsidRPr="00B3067F">
        <w:rPr>
          <w:rFonts w:cs="Arial"/>
          <w:szCs w:val="24"/>
        </w:rPr>
        <w:t xml:space="preserve"> endorsed AUTHORITY – </w:t>
      </w:r>
      <w:r w:rsidR="00AB2049">
        <w:rPr>
          <w:rFonts w:cs="Arial"/>
          <w:szCs w:val="24"/>
        </w:rPr>
        <w:t>CLUB (INCORPORATED)</w:t>
      </w:r>
      <w:r w:rsidRPr="00B3067F">
        <w:rPr>
          <w:rFonts w:cs="Arial"/>
          <w:szCs w:val="24"/>
        </w:rPr>
        <w:t xml:space="preserve"> (number 8</w:t>
      </w:r>
      <w:r w:rsidR="00AB2049">
        <w:rPr>
          <w:rFonts w:cs="Arial"/>
          <w:szCs w:val="24"/>
        </w:rPr>
        <w:t>140</w:t>
      </w:r>
      <w:r w:rsidR="00217F3E">
        <w:rPr>
          <w:rFonts w:cs="Arial"/>
          <w:szCs w:val="24"/>
        </w:rPr>
        <w:t>1342</w:t>
      </w:r>
      <w:r w:rsidRPr="00B3067F">
        <w:rPr>
          <w:rFonts w:cs="Arial"/>
          <w:szCs w:val="24"/>
        </w:rPr>
        <w:t xml:space="preserve">), which is defined under section 3 of the Act as a </w:t>
      </w:r>
      <w:r w:rsidR="00AB2049">
        <w:rPr>
          <w:rFonts w:cs="Arial"/>
          <w:szCs w:val="24"/>
        </w:rPr>
        <w:t>club</w:t>
      </w:r>
      <w:r w:rsidRPr="00B3067F">
        <w:rPr>
          <w:rFonts w:cs="Arial"/>
          <w:szCs w:val="24"/>
        </w:rPr>
        <w:t xml:space="preserve"> liquor licence.</w:t>
      </w:r>
      <w:r w:rsidR="00170AE4" w:rsidRPr="00170AE4">
        <w:rPr>
          <w:rFonts w:cs="Arial"/>
          <w:b/>
          <w:bCs/>
          <w:sz w:val="20"/>
        </w:rPr>
        <w:t xml:space="preserve"> </w:t>
      </w:r>
    </w:p>
    <w:p w:rsidR="00217F3E" w:rsidRPr="00217F3E" w:rsidRDefault="0087091E" w:rsidP="008A32EB">
      <w:pPr>
        <w:pStyle w:val="ListParagraph"/>
        <w:numPr>
          <w:ilvl w:val="0"/>
          <w:numId w:val="12"/>
        </w:numPr>
        <w:spacing w:after="240"/>
        <w:ind w:left="567" w:hanging="425"/>
        <w:jc w:val="both"/>
        <w:rPr>
          <w:rFonts w:cs="Arial"/>
          <w:szCs w:val="24"/>
        </w:rPr>
      </w:pPr>
      <w:r w:rsidRPr="00217F3E">
        <w:rPr>
          <w:rFonts w:cs="Arial"/>
          <w:szCs w:val="24"/>
        </w:rPr>
        <w:t xml:space="preserve">The Applicant currently holds </w:t>
      </w:r>
      <w:r w:rsidR="0017294F" w:rsidRPr="00217F3E">
        <w:rPr>
          <w:rFonts w:cs="Arial"/>
          <w:szCs w:val="24"/>
        </w:rPr>
        <w:t>Gaming Machine Licence N</w:t>
      </w:r>
      <w:r w:rsidRPr="00217F3E">
        <w:rPr>
          <w:rFonts w:cs="Arial"/>
          <w:szCs w:val="24"/>
        </w:rPr>
        <w:t xml:space="preserve">o. </w:t>
      </w:r>
      <w:r w:rsidR="0017294F" w:rsidRPr="00217F3E">
        <w:rPr>
          <w:rFonts w:cs="Arial"/>
          <w:szCs w:val="24"/>
        </w:rPr>
        <w:t>GM</w:t>
      </w:r>
      <w:r w:rsidR="00AB2049" w:rsidRPr="00217F3E">
        <w:rPr>
          <w:rFonts w:cs="Arial"/>
          <w:szCs w:val="24"/>
        </w:rPr>
        <w:t>1</w:t>
      </w:r>
      <w:r w:rsidR="00217F3E" w:rsidRPr="00217F3E">
        <w:rPr>
          <w:rFonts w:cs="Arial"/>
          <w:szCs w:val="24"/>
        </w:rPr>
        <w:t>01</w:t>
      </w:r>
      <w:r w:rsidR="0017294F" w:rsidRPr="00217F3E">
        <w:rPr>
          <w:rFonts w:cs="Arial"/>
          <w:szCs w:val="24"/>
        </w:rPr>
        <w:t xml:space="preserve"> and is </w:t>
      </w:r>
      <w:r w:rsidR="003B7A67" w:rsidRPr="00217F3E">
        <w:rPr>
          <w:rFonts w:cs="Arial"/>
          <w:szCs w:val="24"/>
        </w:rPr>
        <w:t xml:space="preserve">seeking to </w:t>
      </w:r>
      <w:r w:rsidR="003B7A67" w:rsidRPr="00217F3E">
        <w:rPr>
          <w:rFonts w:cs="Arial"/>
          <w:szCs w:val="22"/>
        </w:rPr>
        <w:t>increase the number of gaming machines from its current level of</w:t>
      </w:r>
      <w:r w:rsidR="00AB2049" w:rsidRPr="00217F3E">
        <w:rPr>
          <w:rFonts w:cs="Arial"/>
          <w:szCs w:val="22"/>
        </w:rPr>
        <w:t xml:space="preserve"> </w:t>
      </w:r>
      <w:r w:rsidR="00217F3E" w:rsidRPr="00217F3E">
        <w:rPr>
          <w:rFonts w:cs="Arial"/>
          <w:szCs w:val="22"/>
        </w:rPr>
        <w:t>22</w:t>
      </w:r>
      <w:r w:rsidR="003B7A67" w:rsidRPr="00217F3E">
        <w:rPr>
          <w:rFonts w:cs="Arial"/>
          <w:szCs w:val="22"/>
        </w:rPr>
        <w:t xml:space="preserve"> to a proposed new number of </w:t>
      </w:r>
      <w:r w:rsidR="00217F3E" w:rsidRPr="00217F3E">
        <w:rPr>
          <w:rFonts w:cs="Arial"/>
          <w:szCs w:val="22"/>
        </w:rPr>
        <w:t>4</w:t>
      </w:r>
      <w:r w:rsidR="00EE048B" w:rsidRPr="00217F3E">
        <w:rPr>
          <w:rFonts w:cs="Arial"/>
          <w:szCs w:val="22"/>
        </w:rPr>
        <w:t>5</w:t>
      </w:r>
      <w:r w:rsidR="003B7A67" w:rsidRPr="00217F3E">
        <w:rPr>
          <w:rFonts w:cs="Arial"/>
          <w:szCs w:val="22"/>
        </w:rPr>
        <w:t xml:space="preserve"> gaming machines.</w:t>
      </w:r>
    </w:p>
    <w:p w:rsidR="008A32EB" w:rsidRPr="00217F3E" w:rsidRDefault="008A32EB" w:rsidP="008A32EB">
      <w:pPr>
        <w:pStyle w:val="ListParagraph"/>
        <w:numPr>
          <w:ilvl w:val="0"/>
          <w:numId w:val="12"/>
        </w:numPr>
        <w:spacing w:after="240"/>
        <w:ind w:left="567" w:hanging="425"/>
        <w:jc w:val="both"/>
        <w:rPr>
          <w:rFonts w:cs="Arial"/>
          <w:szCs w:val="24"/>
        </w:rPr>
      </w:pPr>
      <w:r w:rsidRPr="00217F3E">
        <w:rPr>
          <w:rFonts w:cs="Arial"/>
          <w:szCs w:val="24"/>
        </w:rPr>
        <w:t xml:space="preserve">The application was accompanied by the prescribed application fee </w:t>
      </w:r>
      <w:r w:rsidR="00EE048B" w:rsidRPr="00217F3E">
        <w:rPr>
          <w:rFonts w:cs="Arial"/>
          <w:szCs w:val="24"/>
        </w:rPr>
        <w:t xml:space="preserve">and </w:t>
      </w:r>
      <w:r w:rsidR="00217F3E">
        <w:rPr>
          <w:rFonts w:cs="Arial"/>
          <w:szCs w:val="24"/>
        </w:rPr>
        <w:t xml:space="preserve">no </w:t>
      </w:r>
      <w:r w:rsidR="00EE048B" w:rsidRPr="00217F3E">
        <w:rPr>
          <w:rFonts w:cs="Arial"/>
          <w:szCs w:val="24"/>
        </w:rPr>
        <w:t xml:space="preserve">levy </w:t>
      </w:r>
      <w:r w:rsidR="00217F3E">
        <w:rPr>
          <w:rFonts w:cs="Arial"/>
          <w:szCs w:val="24"/>
        </w:rPr>
        <w:t>is payable.</w:t>
      </w:r>
    </w:p>
    <w:p w:rsidR="008A32EB" w:rsidRDefault="00D33764"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application was </w:t>
      </w:r>
      <w:r w:rsidR="008A32EB" w:rsidRPr="00B3067F">
        <w:rPr>
          <w:rFonts w:cs="Arial"/>
          <w:szCs w:val="24"/>
        </w:rPr>
        <w:t xml:space="preserve">also accompanied by the </w:t>
      </w:r>
      <w:r w:rsidR="008A27E4" w:rsidRPr="00B3067F">
        <w:rPr>
          <w:rFonts w:cs="Arial"/>
          <w:szCs w:val="24"/>
        </w:rPr>
        <w:t>required</w:t>
      </w:r>
      <w:r w:rsidR="008A32EB" w:rsidRPr="00B3067F">
        <w:rPr>
          <w:rFonts w:cs="Arial"/>
          <w:szCs w:val="24"/>
        </w:rPr>
        <w:t xml:space="preserve"> </w:t>
      </w:r>
      <w:r w:rsidRPr="00B3067F">
        <w:rPr>
          <w:rFonts w:cs="Arial"/>
          <w:szCs w:val="24"/>
        </w:rPr>
        <w:t>Community Impact Analysis (“CIA”) prepared by DWS Hospitality Specialist</w:t>
      </w:r>
      <w:r w:rsidR="00CB7DC0" w:rsidRPr="00B3067F">
        <w:rPr>
          <w:rFonts w:cs="Arial"/>
          <w:szCs w:val="24"/>
        </w:rPr>
        <w:t>s</w:t>
      </w:r>
      <w:r w:rsidRPr="00B3067F">
        <w:rPr>
          <w:rFonts w:cs="Arial"/>
          <w:szCs w:val="24"/>
        </w:rPr>
        <w:t xml:space="preserve">.  </w:t>
      </w:r>
    </w:p>
    <w:p w:rsidR="00D55BBF" w:rsidRPr="00B3067F" w:rsidRDefault="00F6779E" w:rsidP="00D55BBF">
      <w:pPr>
        <w:pStyle w:val="Heading2"/>
        <w:rPr>
          <w:rFonts w:cs="Arial"/>
        </w:rPr>
      </w:pPr>
      <w:r>
        <w:rPr>
          <w:rFonts w:cs="Arial"/>
        </w:rPr>
        <w:lastRenderedPageBreak/>
        <w:t>Consideration</w:t>
      </w:r>
      <w:r w:rsidRPr="00B3067F">
        <w:rPr>
          <w:rFonts w:cs="Arial"/>
        </w:rPr>
        <w:t xml:space="preserve"> </w:t>
      </w:r>
      <w:r w:rsidR="00E07444" w:rsidRPr="00B3067F">
        <w:rPr>
          <w:rFonts w:cs="Arial"/>
        </w:rPr>
        <w:t>and Reasons</w:t>
      </w:r>
    </w:p>
    <w:p w:rsidR="00E07444" w:rsidRPr="00B3067F" w:rsidRDefault="00E07444" w:rsidP="00D55BBF">
      <w:pPr>
        <w:pStyle w:val="ListParagraph"/>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if</w:t>
      </w:r>
      <w:proofErr w:type="gramEnd"/>
      <w:r w:rsidRPr="00587446">
        <w:rPr>
          <w:rFonts w:ascii="Arial" w:hAnsi="Arial" w:cs="Arial"/>
          <w:i/>
          <w:sz w:val="22"/>
        </w:rPr>
        <w:t xml:space="preserve">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w:t>
      </w:r>
      <w:proofErr w:type="spellStart"/>
      <w:proofErr w:type="gramStart"/>
      <w:r w:rsidRPr="00587446">
        <w:rPr>
          <w:rFonts w:ascii="Arial" w:hAnsi="Arial" w:cs="Arial"/>
          <w:i/>
          <w:sz w:val="22"/>
        </w:rPr>
        <w:t>ba</w:t>
      </w:r>
      <w:proofErr w:type="spellEnd"/>
      <w:proofErr w:type="gramEnd"/>
      <w:r w:rsidRPr="00587446">
        <w:rPr>
          <w:rFonts w:ascii="Arial" w:hAnsi="Arial" w:cs="Arial"/>
          <w:i/>
          <w:sz w:val="22"/>
        </w:rPr>
        <w:t>)</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r>
      <w:proofErr w:type="gramStart"/>
      <w:r w:rsidRPr="00587446">
        <w:rPr>
          <w:rFonts w:ascii="Arial" w:hAnsi="Arial" w:cs="Arial"/>
          <w:i/>
          <w:sz w:val="22"/>
        </w:rPr>
        <w:t>such</w:t>
      </w:r>
      <w:proofErr w:type="gramEnd"/>
      <w:r w:rsidRPr="00587446">
        <w:rPr>
          <w:rFonts w:ascii="Arial" w:hAnsi="Arial" w:cs="Arial"/>
          <w:i/>
          <w:sz w:val="22"/>
        </w:rPr>
        <w:t xml:space="preserve"> other matters as the Director-General considers are relevant.</w:t>
      </w:r>
    </w:p>
    <w:p w:rsidR="00F31EE1" w:rsidRPr="00F1351E" w:rsidRDefault="00F31EE1" w:rsidP="00587446">
      <w:pPr>
        <w:pStyle w:val="Heading3"/>
      </w:pPr>
      <w:r w:rsidRPr="00F1351E">
        <w:t>Increased number of gaming machines</w:t>
      </w:r>
    </w:p>
    <w:p w:rsidR="00F76467" w:rsidRPr="00B3067F" w:rsidRDefault="003B7A67" w:rsidP="00E30AA3">
      <w:pPr>
        <w:pStyle w:val="ListParagraph"/>
        <w:numPr>
          <w:ilvl w:val="0"/>
          <w:numId w:val="12"/>
        </w:numPr>
        <w:spacing w:after="240"/>
        <w:ind w:left="567" w:hanging="425"/>
        <w:jc w:val="both"/>
        <w:rPr>
          <w:rFonts w:cs="Arial"/>
          <w:szCs w:val="22"/>
        </w:rPr>
      </w:pPr>
      <w:r w:rsidRPr="00655618">
        <w:rPr>
          <w:rFonts w:cs="Arial"/>
          <w:szCs w:val="22"/>
        </w:rPr>
        <w:t>T</w:t>
      </w:r>
      <w:r w:rsidR="00F76467" w:rsidRPr="00655618">
        <w:rPr>
          <w:rFonts w:cs="Arial"/>
          <w:szCs w:val="22"/>
        </w:rPr>
        <w:t xml:space="preserve">he Applicant seeks to increase the number of gaming machines from its current level of </w:t>
      </w:r>
      <w:r w:rsidR="00217F3E">
        <w:rPr>
          <w:rFonts w:cs="Arial"/>
          <w:szCs w:val="22"/>
        </w:rPr>
        <w:t>22</w:t>
      </w:r>
      <w:r w:rsidR="00F76467" w:rsidRPr="00655618">
        <w:rPr>
          <w:rFonts w:cs="Arial"/>
          <w:szCs w:val="22"/>
        </w:rPr>
        <w:t xml:space="preserve"> to a proposed new number of </w:t>
      </w:r>
      <w:r w:rsidR="00217F3E">
        <w:rPr>
          <w:rFonts w:cs="Arial"/>
          <w:szCs w:val="22"/>
        </w:rPr>
        <w:t>4</w:t>
      </w:r>
      <w:r w:rsidR="00A31F5D">
        <w:rPr>
          <w:rFonts w:cs="Arial"/>
          <w:szCs w:val="22"/>
        </w:rPr>
        <w:t>5</w:t>
      </w:r>
      <w:r w:rsidR="00F76467" w:rsidRPr="00655618">
        <w:rPr>
          <w:rFonts w:cs="Arial"/>
          <w:szCs w:val="22"/>
        </w:rPr>
        <w:t xml:space="preserve"> gaming machines, an increase of </w:t>
      </w:r>
      <w:r w:rsidR="00217F3E">
        <w:rPr>
          <w:rFonts w:cs="Arial"/>
          <w:szCs w:val="22"/>
        </w:rPr>
        <w:t>23</w:t>
      </w:r>
      <w:r w:rsidR="00F76467" w:rsidRPr="00B3067F">
        <w:rPr>
          <w:rFonts w:cs="Arial"/>
          <w:szCs w:val="22"/>
        </w:rPr>
        <w:t xml:space="preserve"> machines.</w:t>
      </w:r>
      <w:r w:rsidR="00C816B9">
        <w:rPr>
          <w:rFonts w:cs="Arial"/>
          <w:szCs w:val="22"/>
        </w:rPr>
        <w:t xml:space="preserve">  </w:t>
      </w:r>
      <w:r w:rsidR="00A31F5D">
        <w:rPr>
          <w:rFonts w:cs="Arial"/>
          <w:szCs w:val="22"/>
        </w:rPr>
        <w:t>The current maximum allowable for this Applicant is 55 machines.</w:t>
      </w:r>
    </w:p>
    <w:p w:rsidR="00F76467" w:rsidRPr="00B3067F" w:rsidRDefault="00F76467" w:rsidP="00E30AA3">
      <w:pPr>
        <w:pStyle w:val="ListParagraph"/>
        <w:numPr>
          <w:ilvl w:val="0"/>
          <w:numId w:val="12"/>
        </w:numPr>
        <w:spacing w:after="240"/>
        <w:ind w:left="567" w:hanging="425"/>
        <w:jc w:val="both"/>
        <w:rPr>
          <w:rFonts w:cs="Arial"/>
          <w:szCs w:val="22"/>
        </w:rPr>
      </w:pPr>
      <w:r w:rsidRPr="00B3067F">
        <w:rPr>
          <w:rFonts w:cs="Arial"/>
          <w:szCs w:val="22"/>
        </w:rPr>
        <w:t xml:space="preserve">The Applicant currently holds </w:t>
      </w:r>
      <w:r w:rsidRPr="00E30AA3">
        <w:rPr>
          <w:rFonts w:cs="Arial"/>
          <w:szCs w:val="22"/>
        </w:rPr>
        <w:t>Gaming Machine Licence No. GM</w:t>
      </w:r>
      <w:r w:rsidR="00A31F5D">
        <w:rPr>
          <w:rFonts w:cs="Arial"/>
          <w:szCs w:val="22"/>
        </w:rPr>
        <w:t>1</w:t>
      </w:r>
      <w:r w:rsidR="00217F3E">
        <w:rPr>
          <w:rFonts w:cs="Arial"/>
          <w:szCs w:val="22"/>
        </w:rPr>
        <w:t>01</w:t>
      </w:r>
      <w:r w:rsidRPr="00B3067F">
        <w:rPr>
          <w:rFonts w:cs="Arial"/>
          <w:szCs w:val="22"/>
        </w:rPr>
        <w:t>.</w:t>
      </w:r>
    </w:p>
    <w:p w:rsidR="0086745F" w:rsidRPr="00B3067F" w:rsidRDefault="003B7A67" w:rsidP="00090245">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090245" w:rsidRPr="00B3067F">
        <w:rPr>
          <w:rFonts w:cs="Arial"/>
          <w:szCs w:val="22"/>
        </w:rPr>
        <w:t xml:space="preserve">for a Category </w:t>
      </w:r>
      <w:r w:rsidR="00A31F5D">
        <w:rPr>
          <w:rFonts w:cs="Arial"/>
          <w:szCs w:val="22"/>
        </w:rPr>
        <w:t>2</w:t>
      </w:r>
      <w:r w:rsidR="00090245" w:rsidRPr="00B3067F">
        <w:rPr>
          <w:rFonts w:cs="Arial"/>
          <w:szCs w:val="22"/>
        </w:rPr>
        <w:t xml:space="preserve"> licensed premise </w:t>
      </w:r>
      <w:r w:rsidRPr="00B3067F">
        <w:rPr>
          <w:rFonts w:cs="Arial"/>
          <w:szCs w:val="22"/>
        </w:rPr>
        <w:t xml:space="preserve">at </w:t>
      </w:r>
      <w:r w:rsidR="00A31F5D">
        <w:rPr>
          <w:rFonts w:cs="Arial"/>
          <w:szCs w:val="22"/>
        </w:rPr>
        <w:t>55</w:t>
      </w:r>
      <w:r w:rsidR="00090245" w:rsidRPr="00B3067F">
        <w:rPr>
          <w:rFonts w:cs="Arial"/>
          <w:szCs w:val="22"/>
        </w:rPr>
        <w:t xml:space="preserve">.  As the Applicant </w:t>
      </w:r>
      <w:r w:rsidR="00090245" w:rsidRPr="00B3067F">
        <w:rPr>
          <w:rFonts w:cs="Arial"/>
          <w:szCs w:val="24"/>
        </w:rPr>
        <w:t xml:space="preserve">is the holder of a licence issued under the </w:t>
      </w:r>
      <w:r w:rsidR="00090245" w:rsidRPr="00B3067F">
        <w:rPr>
          <w:rFonts w:cs="Arial"/>
          <w:i/>
          <w:szCs w:val="24"/>
        </w:rPr>
        <w:t>Liquor Act</w:t>
      </w:r>
      <w:r w:rsidR="00090245" w:rsidRPr="00B3067F">
        <w:rPr>
          <w:rFonts w:cs="Arial"/>
          <w:szCs w:val="24"/>
        </w:rPr>
        <w:t xml:space="preserve"> endorsed AUTHORITY – </w:t>
      </w:r>
      <w:r w:rsidR="00A31F5D">
        <w:rPr>
          <w:rFonts w:cs="Arial"/>
          <w:szCs w:val="24"/>
        </w:rPr>
        <w:t>CLUB (INCORPORATED)</w:t>
      </w:r>
      <w:r w:rsidR="00090245" w:rsidRPr="00B3067F">
        <w:rPr>
          <w:rFonts w:cs="Arial"/>
          <w:szCs w:val="24"/>
        </w:rPr>
        <w:t xml:space="preserve">, which is defined under section 3 of the Act as a </w:t>
      </w:r>
      <w:r w:rsidR="00A31F5D">
        <w:rPr>
          <w:rFonts w:cs="Arial"/>
          <w:szCs w:val="24"/>
        </w:rPr>
        <w:t>club</w:t>
      </w:r>
      <w:r w:rsidR="00090245" w:rsidRPr="00B3067F">
        <w:rPr>
          <w:rFonts w:cs="Arial"/>
          <w:szCs w:val="24"/>
        </w:rPr>
        <w:t xml:space="preserve"> li</w:t>
      </w:r>
      <w:r w:rsidR="0086745F" w:rsidRPr="00B3067F">
        <w:rPr>
          <w:rFonts w:cs="Arial"/>
          <w:szCs w:val="24"/>
        </w:rPr>
        <w:t xml:space="preserve">quor licence, the premises are considered to be a Category </w:t>
      </w:r>
      <w:r w:rsidR="00A31F5D">
        <w:rPr>
          <w:rFonts w:cs="Arial"/>
          <w:szCs w:val="24"/>
        </w:rPr>
        <w:t>2</w:t>
      </w:r>
      <w:r w:rsidR="0086745F" w:rsidRPr="00B3067F">
        <w:rPr>
          <w:rFonts w:cs="Arial"/>
          <w:szCs w:val="24"/>
        </w:rPr>
        <w:t>1 licensed premise pursuant to 2</w:t>
      </w:r>
      <w:r w:rsidR="00E30AA3">
        <w:rPr>
          <w:rFonts w:cs="Arial"/>
          <w:szCs w:val="24"/>
        </w:rPr>
        <w:t>(2)</w:t>
      </w:r>
      <w:r w:rsidR="0086745F" w:rsidRPr="00B3067F">
        <w:rPr>
          <w:rFonts w:cs="Arial"/>
          <w:szCs w:val="24"/>
        </w:rPr>
        <w:t>(</w:t>
      </w:r>
      <w:r w:rsidR="00A31F5D">
        <w:rPr>
          <w:rFonts w:cs="Arial"/>
          <w:szCs w:val="24"/>
        </w:rPr>
        <w:t>b</w:t>
      </w:r>
      <w:r w:rsidR="0086745F" w:rsidRPr="00B3067F">
        <w:rPr>
          <w:rFonts w:cs="Arial"/>
          <w:szCs w:val="24"/>
        </w:rPr>
        <w:t>) of the Regulations.</w:t>
      </w:r>
    </w:p>
    <w:p w:rsidR="00090245" w:rsidRPr="00B3067F" w:rsidRDefault="0086745F" w:rsidP="003B7A67">
      <w:pPr>
        <w:pStyle w:val="ListParagraph"/>
        <w:numPr>
          <w:ilvl w:val="0"/>
          <w:numId w:val="12"/>
        </w:numPr>
        <w:spacing w:after="120"/>
        <w:ind w:left="567" w:hanging="425"/>
        <w:jc w:val="both"/>
        <w:rPr>
          <w:rFonts w:cs="Arial"/>
          <w:szCs w:val="22"/>
        </w:rPr>
      </w:pPr>
      <w:r w:rsidRPr="00B3067F">
        <w:rPr>
          <w:rFonts w:cs="Arial"/>
          <w:szCs w:val="22"/>
        </w:rPr>
        <w:t xml:space="preserve">As such, the Applicant is able to apply for an increase of </w:t>
      </w:r>
      <w:r w:rsidR="00783D2C">
        <w:rPr>
          <w:rFonts w:cs="Arial"/>
          <w:szCs w:val="22"/>
        </w:rPr>
        <w:t>23</w:t>
      </w:r>
      <w:r w:rsidRPr="00B3067F">
        <w:rPr>
          <w:rFonts w:cs="Arial"/>
          <w:szCs w:val="22"/>
        </w:rPr>
        <w:t xml:space="preserve"> gaming machines and if granted, </w:t>
      </w:r>
      <w:r w:rsidR="006B4310" w:rsidRPr="00B3067F">
        <w:rPr>
          <w:rFonts w:cs="Arial"/>
          <w:szCs w:val="22"/>
        </w:rPr>
        <w:t xml:space="preserve">I am satisfied that </w:t>
      </w:r>
      <w:r w:rsidRPr="00B3067F">
        <w:rPr>
          <w:rFonts w:cs="Arial"/>
          <w:szCs w:val="22"/>
        </w:rPr>
        <w:t xml:space="preserve">the number of gaming machines on the premises would be within the statutory limit of </w:t>
      </w:r>
      <w:r w:rsidR="00A31F5D">
        <w:rPr>
          <w:rFonts w:cs="Arial"/>
          <w:szCs w:val="22"/>
        </w:rPr>
        <w:t>55</w:t>
      </w:r>
      <w:r w:rsidRPr="00B3067F">
        <w:rPr>
          <w:rFonts w:cs="Arial"/>
          <w:szCs w:val="22"/>
        </w:rPr>
        <w:t xml:space="preserve"> gaming machines.</w:t>
      </w:r>
    </w:p>
    <w:p w:rsidR="00F31EE1" w:rsidRPr="00587446" w:rsidRDefault="00F31EE1" w:rsidP="00587446">
      <w:pPr>
        <w:pStyle w:val="Heading3"/>
      </w:pPr>
      <w:r w:rsidRPr="00587446">
        <w:lastRenderedPageBreak/>
        <w:t>Community Impact Analysis</w:t>
      </w:r>
    </w:p>
    <w:p w:rsidR="006400D3" w:rsidRPr="00655618" w:rsidRDefault="006400D3" w:rsidP="00587446">
      <w:pPr>
        <w:pStyle w:val="ListParagraph"/>
        <w:keepNext/>
        <w:numPr>
          <w:ilvl w:val="0"/>
          <w:numId w:val="12"/>
        </w:numPr>
        <w:spacing w:after="120"/>
        <w:ind w:left="567" w:hanging="425"/>
        <w:jc w:val="both"/>
        <w:rPr>
          <w:rFonts w:cs="Arial"/>
          <w:szCs w:val="22"/>
        </w:rPr>
      </w:pPr>
      <w:r w:rsidRPr="00655618">
        <w:rPr>
          <w:rFonts w:cs="Arial"/>
          <w:szCs w:val="22"/>
        </w:rPr>
        <w:t>Pursuant to section 41A(2) of the Act, the CIA must provide details pertaining to:</w:t>
      </w:r>
    </w:p>
    <w:p w:rsidR="006400D3" w:rsidRPr="00655618" w:rsidRDefault="006400D3" w:rsidP="00587446">
      <w:pPr>
        <w:pStyle w:val="ListParagraph"/>
        <w:keepNext/>
        <w:spacing w:after="120"/>
        <w:ind w:left="992" w:hanging="425"/>
        <w:jc w:val="both"/>
        <w:rPr>
          <w:rFonts w:cs="Arial"/>
          <w:i/>
          <w:szCs w:val="24"/>
        </w:rPr>
      </w:pPr>
      <w:r w:rsidRPr="00655618">
        <w:rPr>
          <w:rFonts w:cs="Arial"/>
          <w:szCs w:val="24"/>
        </w:rPr>
        <w:t>(a)</w:t>
      </w:r>
      <w:r w:rsidRPr="00655618">
        <w:rPr>
          <w:rFonts w:cs="Arial"/>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size, layout and facilities of the premises; </w:t>
      </w:r>
    </w:p>
    <w:p w:rsidR="006400D3" w:rsidRPr="00655618" w:rsidRDefault="006400D3" w:rsidP="00587446">
      <w:pPr>
        <w:pStyle w:val="ListParagraph"/>
        <w:spacing w:after="120"/>
        <w:ind w:left="993" w:hanging="426"/>
        <w:jc w:val="both"/>
        <w:rPr>
          <w:rFonts w:cs="Arial"/>
          <w:i/>
          <w:szCs w:val="24"/>
        </w:rPr>
      </w:pPr>
      <w:r w:rsidRPr="00655618">
        <w:rPr>
          <w:rFonts w:cs="Arial"/>
          <w:i/>
          <w:szCs w:val="24"/>
        </w:rPr>
        <w:t>(b)</w:t>
      </w:r>
      <w:r w:rsidRPr="00655618">
        <w:rPr>
          <w:rFonts w:cs="Arial"/>
          <w:i/>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primary activity conducted at the premises;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(d)</w:t>
      </w:r>
      <w:r w:rsidRPr="00B3067F">
        <w:rPr>
          <w:rFonts w:cs="Arial"/>
          <w:i/>
          <w:szCs w:val="24"/>
        </w:rPr>
        <w:tab/>
      </w:r>
      <w:proofErr w:type="gramStart"/>
      <w:r w:rsidRPr="00B3067F">
        <w:rPr>
          <w:rFonts w:cs="Arial"/>
          <w:i/>
          <w:szCs w:val="24"/>
        </w:rPr>
        <w:t>the</w:t>
      </w:r>
      <w:proofErr w:type="gramEnd"/>
      <w:r w:rsidRPr="00B3067F">
        <w:rPr>
          <w:rFonts w:cs="Arial"/>
          <w:i/>
          <w:szCs w:val="24"/>
        </w:rPr>
        <w:t xml:space="preserve"> appropriateness of problem gambling risk management and responsible gambling strategies;</w:t>
      </w:r>
    </w:p>
    <w:p w:rsidR="006400D3" w:rsidRPr="00B3067F" w:rsidRDefault="006400D3" w:rsidP="006400D3">
      <w:pPr>
        <w:pStyle w:val="ListParagraph"/>
        <w:spacing w:after="240"/>
        <w:ind w:left="993" w:hanging="426"/>
        <w:jc w:val="both"/>
        <w:rPr>
          <w:rFonts w:cs="Arial"/>
          <w:i/>
          <w:szCs w:val="24"/>
        </w:rPr>
      </w:pPr>
      <w:r w:rsidRPr="00B3067F">
        <w:rPr>
          <w:rFonts w:cs="Arial"/>
          <w:i/>
          <w:szCs w:val="24"/>
        </w:rPr>
        <w:t>(e)</w:t>
      </w:r>
      <w:r w:rsidRPr="00B3067F">
        <w:rPr>
          <w:rFonts w:cs="Arial"/>
          <w:i/>
          <w:szCs w:val="24"/>
        </w:rPr>
        <w:tab/>
      </w:r>
      <w:proofErr w:type="gramStart"/>
      <w:r w:rsidRPr="00B3067F">
        <w:rPr>
          <w:rFonts w:cs="Arial"/>
          <w:i/>
          <w:szCs w:val="24"/>
        </w:rPr>
        <w:t>economic</w:t>
      </w:r>
      <w:proofErr w:type="gramEnd"/>
      <w:r w:rsidRPr="00B3067F">
        <w:rPr>
          <w:rFonts w:cs="Arial"/>
          <w:i/>
          <w:szCs w:val="24"/>
        </w:rPr>
        <w:t xml:space="preserve"> impact of the proposal including contribution to the community, employment creation and significance or reliance of the venue to or on tourism.</w:t>
      </w:r>
    </w:p>
    <w:p w:rsidR="006B4310" w:rsidRPr="00587446" w:rsidRDefault="006B4310" w:rsidP="006F6EFC">
      <w:pPr>
        <w:pStyle w:val="Heading4"/>
        <w:rPr>
          <w:rStyle w:val="Emphasis"/>
          <w:b w:val="0"/>
          <w:i w:val="0"/>
          <w:szCs w:val="24"/>
        </w:rPr>
      </w:pPr>
      <w:r w:rsidRPr="00587446">
        <w:rPr>
          <w:rStyle w:val="Emphasis"/>
          <w:i w:val="0"/>
          <w:szCs w:val="24"/>
        </w:rPr>
        <w:t>Suitability of Premises</w:t>
      </w:r>
      <w:r w:rsidR="004732FE" w:rsidRPr="00587446">
        <w:rPr>
          <w:rStyle w:val="Emphasis"/>
          <w:i w:val="0"/>
          <w:szCs w:val="24"/>
        </w:rPr>
        <w:t xml:space="preserve"> – size, layout and facilities</w:t>
      </w:r>
    </w:p>
    <w:p w:rsidR="006B4310" w:rsidRDefault="006B4310" w:rsidP="00F657FA">
      <w:pPr>
        <w:pStyle w:val="ListParagraph"/>
        <w:numPr>
          <w:ilvl w:val="0"/>
          <w:numId w:val="12"/>
        </w:numPr>
        <w:spacing w:after="240"/>
        <w:ind w:left="567" w:hanging="567"/>
        <w:jc w:val="both"/>
        <w:rPr>
          <w:rFonts w:cs="Arial"/>
          <w:szCs w:val="22"/>
        </w:rPr>
      </w:pPr>
      <w:r w:rsidRPr="00655618">
        <w:rPr>
          <w:rFonts w:cs="Arial"/>
          <w:szCs w:val="22"/>
        </w:rPr>
        <w:t xml:space="preserve">Information contained </w:t>
      </w:r>
      <w:r w:rsidR="00170AE4">
        <w:rPr>
          <w:rFonts w:cs="Arial"/>
          <w:szCs w:val="22"/>
        </w:rPr>
        <w:t xml:space="preserve">within </w:t>
      </w:r>
      <w:r w:rsidRPr="00655618">
        <w:rPr>
          <w:rFonts w:cs="Arial"/>
          <w:szCs w:val="22"/>
        </w:rPr>
        <w:t xml:space="preserve">the CIA indicates that the current </w:t>
      </w:r>
      <w:r w:rsidR="00323ACA">
        <w:rPr>
          <w:rFonts w:cs="Arial"/>
          <w:szCs w:val="22"/>
        </w:rPr>
        <w:t xml:space="preserve">gaming area occupies </w:t>
      </w:r>
      <w:r w:rsidR="00217F3E">
        <w:rPr>
          <w:rFonts w:cs="Arial"/>
          <w:szCs w:val="22"/>
        </w:rPr>
        <w:t>5</w:t>
      </w:r>
      <w:r w:rsidR="00323ACA">
        <w:rPr>
          <w:rFonts w:cs="Arial"/>
          <w:szCs w:val="22"/>
        </w:rPr>
        <w:t>% of the total floor space</w:t>
      </w:r>
      <w:proofErr w:type="gramStart"/>
      <w:r w:rsidRPr="00655618">
        <w:rPr>
          <w:rFonts w:cs="Arial"/>
          <w:szCs w:val="22"/>
        </w:rPr>
        <w:t xml:space="preserve">.  </w:t>
      </w:r>
      <w:proofErr w:type="gramEnd"/>
      <w:r w:rsidRPr="00655618">
        <w:rPr>
          <w:rFonts w:cs="Arial"/>
          <w:szCs w:val="22"/>
        </w:rPr>
        <w:t xml:space="preserve">The CIA states that </w:t>
      </w:r>
      <w:r w:rsidR="00217F3E">
        <w:rPr>
          <w:rFonts w:cs="Arial"/>
          <w:szCs w:val="22"/>
        </w:rPr>
        <w:t>if approved there will only be a 2% increase in the floor space dedicated to gaming</w:t>
      </w:r>
      <w:r w:rsidR="00323ACA">
        <w:rPr>
          <w:rFonts w:cs="Arial"/>
          <w:szCs w:val="22"/>
        </w:rPr>
        <w:t>.</w:t>
      </w:r>
    </w:p>
    <w:p w:rsidR="00217F3E" w:rsidRDefault="00217F3E" w:rsidP="00F657FA">
      <w:pPr>
        <w:pStyle w:val="ListParagraph"/>
        <w:numPr>
          <w:ilvl w:val="0"/>
          <w:numId w:val="12"/>
        </w:numPr>
        <w:spacing w:after="240"/>
        <w:ind w:left="567" w:hanging="567"/>
        <w:jc w:val="both"/>
        <w:rPr>
          <w:rFonts w:cs="Arial"/>
          <w:szCs w:val="22"/>
        </w:rPr>
      </w:pPr>
      <w:r>
        <w:rPr>
          <w:rFonts w:cs="Arial"/>
          <w:szCs w:val="22"/>
        </w:rPr>
        <w:t>The proposed changes are minor in nature.</w:t>
      </w:r>
    </w:p>
    <w:p w:rsidR="004732FE" w:rsidRPr="00587446" w:rsidRDefault="004732FE" w:rsidP="006F6EFC">
      <w:pPr>
        <w:pStyle w:val="Heading4"/>
        <w:rPr>
          <w:rStyle w:val="Emphasis"/>
          <w:b w:val="0"/>
          <w:i w:val="0"/>
        </w:rPr>
      </w:pPr>
      <w:r w:rsidRPr="00587446">
        <w:rPr>
          <w:rStyle w:val="Emphasis"/>
          <w:i w:val="0"/>
        </w:rPr>
        <w:t>Suitability of Premises – primary activity</w:t>
      </w:r>
    </w:p>
    <w:p w:rsidR="00714A95" w:rsidRPr="00714A95" w:rsidRDefault="00714A95" w:rsidP="00714A95">
      <w:pPr>
        <w:pStyle w:val="ListParagraph"/>
        <w:numPr>
          <w:ilvl w:val="0"/>
          <w:numId w:val="12"/>
        </w:numPr>
        <w:spacing w:after="240"/>
        <w:ind w:left="567" w:hanging="567"/>
        <w:jc w:val="both"/>
        <w:rPr>
          <w:rFonts w:cs="Arial"/>
          <w:szCs w:val="22"/>
        </w:rPr>
      </w:pPr>
      <w:r w:rsidRPr="00714A95">
        <w:rPr>
          <w:rFonts w:cs="Arial"/>
          <w:szCs w:val="22"/>
        </w:rPr>
        <w:t xml:space="preserve">The </w:t>
      </w:r>
      <w:r w:rsidR="00217F3E">
        <w:rPr>
          <w:rFonts w:cs="Arial"/>
          <w:szCs w:val="22"/>
        </w:rPr>
        <w:t>CIA states there is a mix of facilities at the venue including a bar, bistro, kids room, function and facility hire, pool tables and jukebox, lawn bowling, KENO and TAB.</w:t>
      </w:r>
    </w:p>
    <w:p w:rsidR="00714A95" w:rsidRDefault="00714A95" w:rsidP="00714A95">
      <w:pPr>
        <w:pStyle w:val="ListParagraph"/>
        <w:numPr>
          <w:ilvl w:val="0"/>
          <w:numId w:val="12"/>
        </w:numPr>
        <w:spacing w:after="240"/>
        <w:ind w:left="567" w:hanging="567"/>
        <w:jc w:val="both"/>
        <w:rPr>
          <w:rFonts w:cs="Arial"/>
          <w:szCs w:val="22"/>
        </w:rPr>
      </w:pPr>
      <w:r w:rsidRPr="00714A95">
        <w:rPr>
          <w:rFonts w:cs="Arial"/>
          <w:szCs w:val="22"/>
        </w:rPr>
        <w:t xml:space="preserve">The </w:t>
      </w:r>
      <w:r w:rsidR="00B111CD">
        <w:rPr>
          <w:rFonts w:cs="Arial"/>
          <w:szCs w:val="22"/>
        </w:rPr>
        <w:t xml:space="preserve">club has been in existence for over 40 years and been rebuilt and renovated several times.  It is affiliated with 11 sporting clubs and has provided over $466K in cash or kind donations to these clubs in the 2014-2015 financial </w:t>
      </w:r>
      <w:proofErr w:type="gramStart"/>
      <w:r w:rsidR="00B111CD">
        <w:rPr>
          <w:rFonts w:cs="Arial"/>
          <w:szCs w:val="22"/>
        </w:rPr>
        <w:t>year</w:t>
      </w:r>
      <w:proofErr w:type="gramEnd"/>
      <w:r w:rsidR="00B111CD">
        <w:rPr>
          <w:rFonts w:cs="Arial"/>
          <w:szCs w:val="22"/>
        </w:rPr>
        <w:t>.</w:t>
      </w:r>
    </w:p>
    <w:p w:rsidR="00B111CD" w:rsidRDefault="00B111CD" w:rsidP="00714A95">
      <w:pPr>
        <w:pStyle w:val="ListParagraph"/>
        <w:numPr>
          <w:ilvl w:val="0"/>
          <w:numId w:val="12"/>
        </w:numPr>
        <w:spacing w:after="240"/>
        <w:ind w:left="567" w:hanging="567"/>
        <w:jc w:val="both"/>
        <w:rPr>
          <w:rFonts w:cs="Arial"/>
          <w:szCs w:val="22"/>
        </w:rPr>
      </w:pPr>
      <w:r>
        <w:rPr>
          <w:rFonts w:cs="Arial"/>
          <w:szCs w:val="22"/>
        </w:rPr>
        <w:t xml:space="preserve">The CIA provides information regarding the venue’s financial performance.  In 2013 the net profit was $124K, 2014 - $127K and $284K in 2015.  These figures are for gaming and beverages </w:t>
      </w:r>
      <w:r w:rsidR="00441883">
        <w:rPr>
          <w:rFonts w:cs="Arial"/>
          <w:szCs w:val="22"/>
        </w:rPr>
        <w:t>only;</w:t>
      </w:r>
      <w:r>
        <w:rPr>
          <w:rFonts w:cs="Arial"/>
          <w:szCs w:val="22"/>
        </w:rPr>
        <w:t xml:space="preserve"> the food operation is leased to a private entity </w:t>
      </w:r>
      <w:r w:rsidR="00441883">
        <w:rPr>
          <w:rFonts w:cs="Arial"/>
          <w:szCs w:val="22"/>
        </w:rPr>
        <w:t>that</w:t>
      </w:r>
      <w:r>
        <w:rPr>
          <w:rFonts w:cs="Arial"/>
          <w:szCs w:val="22"/>
        </w:rPr>
        <w:t xml:space="preserve"> pays a lease.  Kitchen sales however were recorded by the lessee at $300K for the last 12 months.  Accordingly bar sales and gaming generally contribute an equal amount to the venue (approx. 48%).</w:t>
      </w:r>
    </w:p>
    <w:p w:rsidR="00B111CD" w:rsidRPr="00714A95" w:rsidRDefault="00B111CD" w:rsidP="00714A95">
      <w:pPr>
        <w:pStyle w:val="ListParagraph"/>
        <w:numPr>
          <w:ilvl w:val="0"/>
          <w:numId w:val="12"/>
        </w:numPr>
        <w:spacing w:after="240"/>
        <w:ind w:left="567" w:hanging="567"/>
        <w:jc w:val="both"/>
        <w:rPr>
          <w:rFonts w:cs="Arial"/>
          <w:szCs w:val="22"/>
        </w:rPr>
      </w:pPr>
      <w:r>
        <w:rPr>
          <w:rFonts w:cs="Arial"/>
          <w:szCs w:val="22"/>
        </w:rPr>
        <w:t>It is expected the additional machines will return a slightly higher contribution through gaming taking the mix to over 50% by 2019 and the Applicant projects net profit at that time of $403K.</w:t>
      </w:r>
    </w:p>
    <w:p w:rsidR="00FB31AE" w:rsidRPr="00587446" w:rsidRDefault="00FB31AE" w:rsidP="006F6EFC">
      <w:pPr>
        <w:pStyle w:val="Heading4"/>
        <w:rPr>
          <w:rStyle w:val="Emphasis"/>
          <w:b w:val="0"/>
          <w:i w:val="0"/>
        </w:rPr>
      </w:pPr>
      <w:r w:rsidRPr="00587446">
        <w:rPr>
          <w:rStyle w:val="Emphasis"/>
          <w:i w:val="0"/>
        </w:rPr>
        <w:t xml:space="preserve">Suitability of Location - population of local area, proximity to other gaming venues and proximity to sensitive areas </w:t>
      </w:r>
    </w:p>
    <w:p w:rsidR="002C3705" w:rsidRDefault="008934B6" w:rsidP="00714A95">
      <w:pPr>
        <w:spacing w:after="240"/>
        <w:ind w:left="567" w:right="283" w:hanging="567"/>
        <w:jc w:val="both"/>
        <w:rPr>
          <w:rFonts w:eastAsia="Calibri" w:cs="Arial"/>
          <w:sz w:val="24"/>
          <w:szCs w:val="24"/>
          <w:lang w:eastAsia="en-US"/>
        </w:rPr>
      </w:pPr>
      <w:r>
        <w:rPr>
          <w:rFonts w:eastAsia="Calibri" w:cs="Arial"/>
          <w:sz w:val="24"/>
          <w:szCs w:val="24"/>
          <w:lang w:eastAsia="en-US"/>
        </w:rPr>
        <w:t>2</w:t>
      </w:r>
      <w:r w:rsidR="00B111CD">
        <w:rPr>
          <w:rFonts w:eastAsia="Calibri" w:cs="Arial"/>
          <w:sz w:val="24"/>
          <w:szCs w:val="24"/>
          <w:lang w:eastAsia="en-US"/>
        </w:rPr>
        <w:t>2</w:t>
      </w:r>
      <w:r>
        <w:rPr>
          <w:rFonts w:eastAsia="Calibri" w:cs="Arial"/>
          <w:sz w:val="24"/>
          <w:szCs w:val="24"/>
          <w:lang w:eastAsia="en-US"/>
        </w:rPr>
        <w:t>.</w:t>
      </w:r>
      <w:r>
        <w:rPr>
          <w:rFonts w:eastAsia="Calibri" w:cs="Arial"/>
          <w:sz w:val="24"/>
          <w:szCs w:val="24"/>
          <w:lang w:eastAsia="en-US"/>
        </w:rPr>
        <w:tab/>
      </w:r>
      <w:r w:rsidR="00714A95" w:rsidRPr="00714A95">
        <w:rPr>
          <w:rFonts w:eastAsia="Calibri" w:cs="Arial"/>
          <w:sz w:val="24"/>
          <w:szCs w:val="24"/>
          <w:lang w:eastAsia="en-US"/>
        </w:rPr>
        <w:t xml:space="preserve">For the purpose of the CIA the Local Community Area (“LCA”) </w:t>
      </w:r>
      <w:r w:rsidR="00B111CD">
        <w:rPr>
          <w:rFonts w:eastAsia="Calibri" w:cs="Arial"/>
          <w:sz w:val="24"/>
          <w:szCs w:val="24"/>
          <w:lang w:eastAsia="en-US"/>
        </w:rPr>
        <w:t xml:space="preserve">agreed with Licensing NT for use in the development of the CIA includes the following areas: Nightcliff, Rapid Creek, Coconut Grove, Millner and </w:t>
      </w:r>
      <w:proofErr w:type="spellStart"/>
      <w:r w:rsidR="00B111CD">
        <w:rPr>
          <w:rFonts w:eastAsia="Calibri" w:cs="Arial"/>
          <w:sz w:val="24"/>
          <w:szCs w:val="24"/>
          <w:lang w:eastAsia="en-US"/>
        </w:rPr>
        <w:t>Jingli</w:t>
      </w:r>
      <w:proofErr w:type="spellEnd"/>
      <w:r w:rsidR="00B111CD">
        <w:rPr>
          <w:rFonts w:eastAsia="Calibri" w:cs="Arial"/>
          <w:sz w:val="24"/>
          <w:szCs w:val="24"/>
          <w:lang w:eastAsia="en-US"/>
        </w:rPr>
        <w:t>.</w:t>
      </w:r>
      <w:r w:rsidR="00714A95">
        <w:rPr>
          <w:rFonts w:eastAsia="Calibri" w:cs="Arial"/>
          <w:sz w:val="24"/>
          <w:szCs w:val="24"/>
          <w:lang w:eastAsia="en-US"/>
        </w:rPr>
        <w:t xml:space="preserve"> </w:t>
      </w:r>
    </w:p>
    <w:p w:rsidR="002C3705" w:rsidRDefault="002C3705" w:rsidP="002C3705">
      <w:pPr>
        <w:spacing w:after="240"/>
        <w:ind w:left="567" w:right="283" w:hanging="567"/>
        <w:jc w:val="both"/>
        <w:rPr>
          <w:rFonts w:eastAsia="Calibri" w:cs="Arial"/>
          <w:sz w:val="24"/>
          <w:szCs w:val="24"/>
          <w:lang w:eastAsia="en-US"/>
        </w:rPr>
      </w:pPr>
      <w:r>
        <w:rPr>
          <w:rFonts w:eastAsia="Calibri" w:cs="Arial"/>
          <w:sz w:val="24"/>
          <w:szCs w:val="24"/>
          <w:lang w:eastAsia="en-US"/>
        </w:rPr>
        <w:t>2</w:t>
      </w:r>
      <w:r w:rsidR="00B111CD">
        <w:rPr>
          <w:rFonts w:eastAsia="Calibri" w:cs="Arial"/>
          <w:sz w:val="24"/>
          <w:szCs w:val="24"/>
          <w:lang w:eastAsia="en-US"/>
        </w:rPr>
        <w:t>3</w:t>
      </w:r>
      <w:r>
        <w:rPr>
          <w:rFonts w:eastAsia="Calibri" w:cs="Arial"/>
          <w:sz w:val="24"/>
          <w:szCs w:val="24"/>
          <w:lang w:eastAsia="en-US"/>
        </w:rPr>
        <w:t>.</w:t>
      </w:r>
      <w:r>
        <w:rPr>
          <w:rFonts w:eastAsia="Calibri" w:cs="Arial"/>
          <w:sz w:val="24"/>
          <w:szCs w:val="24"/>
          <w:lang w:eastAsia="en-US"/>
        </w:rPr>
        <w:tab/>
      </w:r>
      <w:r w:rsidRPr="002C3705">
        <w:rPr>
          <w:rFonts w:eastAsia="Calibri" w:cs="Arial"/>
          <w:sz w:val="24"/>
          <w:szCs w:val="24"/>
          <w:lang w:eastAsia="en-US"/>
        </w:rPr>
        <w:t xml:space="preserve">The 2011 population census identified </w:t>
      </w:r>
      <w:r w:rsidR="00B111CD">
        <w:rPr>
          <w:rFonts w:eastAsia="Calibri" w:cs="Arial"/>
          <w:sz w:val="24"/>
          <w:szCs w:val="24"/>
          <w:lang w:eastAsia="en-US"/>
        </w:rPr>
        <w:t>14,055</w:t>
      </w:r>
      <w:r w:rsidRPr="002C3705">
        <w:rPr>
          <w:rFonts w:eastAsia="Calibri" w:cs="Arial"/>
          <w:sz w:val="24"/>
          <w:szCs w:val="24"/>
          <w:lang w:eastAsia="en-US"/>
        </w:rPr>
        <w:t xml:space="preserve"> people residing in the LCA of which </w:t>
      </w:r>
      <w:r w:rsidR="00B111CD">
        <w:rPr>
          <w:rFonts w:eastAsia="Calibri" w:cs="Arial"/>
          <w:sz w:val="24"/>
          <w:szCs w:val="24"/>
          <w:lang w:eastAsia="en-US"/>
        </w:rPr>
        <w:t>11,095</w:t>
      </w:r>
      <w:r w:rsidRPr="002C3705">
        <w:rPr>
          <w:rFonts w:eastAsia="Calibri" w:cs="Arial"/>
          <w:sz w:val="24"/>
          <w:szCs w:val="24"/>
          <w:lang w:eastAsia="en-US"/>
        </w:rPr>
        <w:t xml:space="preserve"> were adults.   </w:t>
      </w:r>
      <w:r w:rsidR="00B111CD">
        <w:rPr>
          <w:rFonts w:eastAsia="Calibri" w:cs="Arial"/>
          <w:sz w:val="24"/>
          <w:szCs w:val="24"/>
          <w:lang w:eastAsia="en-US"/>
        </w:rPr>
        <w:t>This information is almost five years old, however it may be considered the LCA is an established area and that the total population and adult ration would not have altered significantly in the past five years.  The LCA is more densely populated than the Darwin LGA.  The density within the LCA i</w:t>
      </w:r>
      <w:r w:rsidR="00441883">
        <w:rPr>
          <w:rFonts w:eastAsia="Calibri" w:cs="Arial"/>
          <w:sz w:val="24"/>
          <w:szCs w:val="24"/>
          <w:lang w:eastAsia="en-US"/>
        </w:rPr>
        <w:t>s</w:t>
      </w:r>
      <w:r w:rsidR="00B111CD">
        <w:rPr>
          <w:rFonts w:eastAsia="Calibri" w:cs="Arial"/>
          <w:sz w:val="24"/>
          <w:szCs w:val="24"/>
          <w:lang w:eastAsia="en-US"/>
        </w:rPr>
        <w:t xml:space="preserve"> 1,849 </w:t>
      </w:r>
      <w:r w:rsidR="00B111CD">
        <w:rPr>
          <w:rFonts w:eastAsia="Calibri" w:cs="Arial"/>
          <w:sz w:val="24"/>
          <w:szCs w:val="24"/>
          <w:lang w:eastAsia="en-US"/>
        </w:rPr>
        <w:lastRenderedPageBreak/>
        <w:t>persons per square kilometre, whereas the Darwin LGA is 654 persons.  The suburbs of Nightcliff and Coconut Grove are major residential area of the region and consequently are the most densely populated.</w:t>
      </w:r>
    </w:p>
    <w:p w:rsidR="002A66E5" w:rsidRPr="002C3705" w:rsidRDefault="002A66E5" w:rsidP="002C3705">
      <w:pPr>
        <w:spacing w:after="240"/>
        <w:ind w:left="567" w:right="283" w:hanging="567"/>
        <w:jc w:val="both"/>
        <w:rPr>
          <w:rFonts w:eastAsia="Calibri" w:cs="Arial"/>
          <w:sz w:val="24"/>
          <w:szCs w:val="24"/>
          <w:lang w:eastAsia="en-US"/>
        </w:rPr>
      </w:pPr>
      <w:r>
        <w:rPr>
          <w:rFonts w:eastAsia="Calibri" w:cs="Arial"/>
          <w:sz w:val="24"/>
          <w:szCs w:val="24"/>
          <w:lang w:eastAsia="en-US"/>
        </w:rPr>
        <w:t>24.</w:t>
      </w:r>
      <w:r>
        <w:rPr>
          <w:rFonts w:eastAsia="Calibri" w:cs="Arial"/>
          <w:sz w:val="24"/>
          <w:szCs w:val="24"/>
          <w:lang w:eastAsia="en-US"/>
        </w:rPr>
        <w:tab/>
        <w:t>The LCA has a wide spread of age demographics with a higher incidence of residents aged 25 – 74 when compared to the wider benchmark, except for the 45-54 age bracket which is similar.</w:t>
      </w:r>
    </w:p>
    <w:p w:rsidR="002C3705" w:rsidRPr="002C3705" w:rsidRDefault="002C3705" w:rsidP="002C3705">
      <w:pPr>
        <w:spacing w:after="240"/>
        <w:ind w:left="567" w:right="283" w:hanging="567"/>
        <w:jc w:val="both"/>
        <w:rPr>
          <w:rFonts w:eastAsia="Calibri" w:cs="Arial"/>
          <w:sz w:val="24"/>
          <w:szCs w:val="24"/>
          <w:lang w:eastAsia="en-US"/>
        </w:rPr>
      </w:pPr>
      <w:r w:rsidRPr="002C3705">
        <w:rPr>
          <w:rFonts w:eastAsia="Calibri" w:cs="Arial"/>
          <w:sz w:val="24"/>
          <w:szCs w:val="24"/>
          <w:lang w:eastAsia="en-US"/>
        </w:rPr>
        <w:t>2</w:t>
      </w:r>
      <w:r>
        <w:rPr>
          <w:rFonts w:eastAsia="Calibri" w:cs="Arial"/>
          <w:sz w:val="24"/>
          <w:szCs w:val="24"/>
          <w:lang w:eastAsia="en-US"/>
        </w:rPr>
        <w:t>9</w:t>
      </w:r>
      <w:r w:rsidRPr="002C3705">
        <w:rPr>
          <w:rFonts w:eastAsia="Calibri" w:cs="Arial"/>
          <w:sz w:val="24"/>
          <w:szCs w:val="24"/>
          <w:lang w:eastAsia="en-US"/>
        </w:rPr>
        <w:t>.</w:t>
      </w:r>
      <w:r w:rsidRPr="002C3705">
        <w:rPr>
          <w:rFonts w:eastAsia="Calibri" w:cs="Arial"/>
          <w:sz w:val="24"/>
          <w:szCs w:val="24"/>
          <w:lang w:eastAsia="en-US"/>
        </w:rPr>
        <w:tab/>
        <w:t>The LCA include</w:t>
      </w:r>
      <w:r w:rsidR="002A66E5">
        <w:rPr>
          <w:rFonts w:eastAsia="Calibri" w:cs="Arial"/>
          <w:sz w:val="24"/>
          <w:szCs w:val="24"/>
          <w:lang w:eastAsia="en-US"/>
        </w:rPr>
        <w:t>s</w:t>
      </w:r>
      <w:r w:rsidRPr="002C3705">
        <w:rPr>
          <w:rFonts w:eastAsia="Calibri" w:cs="Arial"/>
          <w:sz w:val="24"/>
          <w:szCs w:val="24"/>
          <w:lang w:eastAsia="en-US"/>
        </w:rPr>
        <w:t xml:space="preserve"> a </w:t>
      </w:r>
      <w:r w:rsidR="002A66E5">
        <w:rPr>
          <w:rFonts w:eastAsia="Calibri" w:cs="Arial"/>
          <w:sz w:val="24"/>
          <w:szCs w:val="24"/>
          <w:lang w:eastAsia="en-US"/>
        </w:rPr>
        <w:t>lower</w:t>
      </w:r>
      <w:r w:rsidRPr="002C3705">
        <w:rPr>
          <w:rFonts w:eastAsia="Calibri" w:cs="Arial"/>
          <w:sz w:val="24"/>
          <w:szCs w:val="24"/>
          <w:lang w:eastAsia="en-US"/>
        </w:rPr>
        <w:t xml:space="preserve"> proportion of </w:t>
      </w:r>
      <w:r w:rsidR="002A66E5">
        <w:rPr>
          <w:rFonts w:eastAsia="Calibri" w:cs="Arial"/>
          <w:sz w:val="24"/>
          <w:szCs w:val="24"/>
          <w:lang w:eastAsia="en-US"/>
        </w:rPr>
        <w:t>Indigenous</w:t>
      </w:r>
      <w:r w:rsidRPr="002C3705">
        <w:rPr>
          <w:rFonts w:eastAsia="Calibri" w:cs="Arial"/>
          <w:sz w:val="24"/>
          <w:szCs w:val="24"/>
          <w:lang w:eastAsia="en-US"/>
        </w:rPr>
        <w:t xml:space="preserve"> residents than the overall figures for Greater Darwin.  </w:t>
      </w:r>
      <w:r w:rsidR="002A66E5">
        <w:rPr>
          <w:rFonts w:eastAsia="Calibri" w:cs="Arial"/>
          <w:sz w:val="24"/>
          <w:szCs w:val="24"/>
          <w:lang w:eastAsia="en-US"/>
        </w:rPr>
        <w:t>This may lessen the impact or propensity for pathological gambling as it was accepted by the Productivity Commission Inquiry Report 2010 that Indigenous populations are more likely to be pathological gamblers.</w:t>
      </w:r>
    </w:p>
    <w:p w:rsidR="002C3705" w:rsidRPr="002C3705" w:rsidRDefault="002C3705" w:rsidP="002C3705">
      <w:pPr>
        <w:spacing w:after="240"/>
        <w:ind w:left="567" w:right="283" w:hanging="567"/>
        <w:jc w:val="both"/>
        <w:rPr>
          <w:rFonts w:eastAsia="Calibri" w:cs="Arial"/>
          <w:sz w:val="24"/>
          <w:szCs w:val="24"/>
          <w:lang w:eastAsia="en-US"/>
        </w:rPr>
      </w:pPr>
      <w:r>
        <w:rPr>
          <w:rFonts w:eastAsia="Calibri" w:cs="Arial"/>
          <w:sz w:val="24"/>
          <w:szCs w:val="24"/>
          <w:lang w:eastAsia="en-US"/>
        </w:rPr>
        <w:t>30</w:t>
      </w:r>
      <w:r w:rsidRPr="002C3705">
        <w:rPr>
          <w:rFonts w:eastAsia="Calibri" w:cs="Arial"/>
          <w:sz w:val="24"/>
          <w:szCs w:val="24"/>
          <w:lang w:eastAsia="en-US"/>
        </w:rPr>
        <w:t>.</w:t>
      </w:r>
      <w:r w:rsidRPr="002C3705">
        <w:rPr>
          <w:rFonts w:eastAsia="Calibri" w:cs="Arial"/>
          <w:sz w:val="24"/>
          <w:szCs w:val="24"/>
          <w:lang w:eastAsia="en-US"/>
        </w:rPr>
        <w:tab/>
        <w:t xml:space="preserve">The </w:t>
      </w:r>
      <w:r w:rsidR="002A66E5">
        <w:rPr>
          <w:rFonts w:eastAsia="Calibri" w:cs="Arial"/>
          <w:sz w:val="24"/>
          <w:szCs w:val="24"/>
          <w:lang w:eastAsia="en-US"/>
        </w:rPr>
        <w:t>LCA has a high proportion of people with higher lever qualifications and the education profile is consistent with the age demographics of the LCA.</w:t>
      </w:r>
    </w:p>
    <w:p w:rsidR="002C3705" w:rsidRPr="002C3705" w:rsidRDefault="002C3705" w:rsidP="002C3705">
      <w:pPr>
        <w:spacing w:after="240"/>
        <w:ind w:left="567" w:right="283" w:hanging="567"/>
        <w:jc w:val="both"/>
        <w:rPr>
          <w:rFonts w:eastAsia="Calibri" w:cs="Arial"/>
          <w:sz w:val="24"/>
          <w:szCs w:val="24"/>
          <w:lang w:eastAsia="en-US"/>
        </w:rPr>
      </w:pPr>
      <w:r>
        <w:rPr>
          <w:rFonts w:eastAsia="Calibri" w:cs="Arial"/>
          <w:sz w:val="24"/>
          <w:szCs w:val="24"/>
          <w:lang w:eastAsia="en-US"/>
        </w:rPr>
        <w:t>31</w:t>
      </w:r>
      <w:r w:rsidRPr="002C3705">
        <w:rPr>
          <w:rFonts w:eastAsia="Calibri" w:cs="Arial"/>
          <w:sz w:val="24"/>
          <w:szCs w:val="24"/>
          <w:lang w:eastAsia="en-US"/>
        </w:rPr>
        <w:t>.</w:t>
      </w:r>
      <w:r w:rsidRPr="002C3705">
        <w:rPr>
          <w:rFonts w:eastAsia="Calibri" w:cs="Arial"/>
          <w:sz w:val="24"/>
          <w:szCs w:val="24"/>
          <w:lang w:eastAsia="en-US"/>
        </w:rPr>
        <w:tab/>
      </w:r>
      <w:r w:rsidR="002A66E5">
        <w:rPr>
          <w:rFonts w:eastAsia="Calibri" w:cs="Arial"/>
          <w:sz w:val="24"/>
          <w:szCs w:val="24"/>
          <w:lang w:eastAsia="en-US"/>
        </w:rPr>
        <w:t>Weekly household incomes for the LCA are spread across the eight major income streams reported on.  Those figures being: &lt;$300 (4%), $300 - $600 (10%), $600 to $999 (12%), $1,000 - $1,499 (15%), $1,500 - $2,499 (23%), $2,500 - $3,499 (15%) and $3,500 + (8%).</w:t>
      </w:r>
    </w:p>
    <w:p w:rsidR="002C3705" w:rsidRPr="002C3705" w:rsidRDefault="00F657FA" w:rsidP="002C3705">
      <w:pPr>
        <w:spacing w:after="240"/>
        <w:ind w:left="567" w:right="283" w:hanging="567"/>
        <w:jc w:val="both"/>
        <w:rPr>
          <w:rFonts w:eastAsia="Calibri" w:cs="Arial"/>
          <w:sz w:val="24"/>
          <w:szCs w:val="24"/>
          <w:lang w:eastAsia="en-US"/>
        </w:rPr>
      </w:pPr>
      <w:r>
        <w:rPr>
          <w:rFonts w:eastAsia="Calibri" w:cs="Arial"/>
          <w:sz w:val="24"/>
          <w:szCs w:val="24"/>
          <w:lang w:eastAsia="en-US"/>
        </w:rPr>
        <w:t>32</w:t>
      </w:r>
      <w:r w:rsidR="002C3705" w:rsidRPr="002C3705">
        <w:rPr>
          <w:rFonts w:eastAsia="Calibri" w:cs="Arial"/>
          <w:sz w:val="24"/>
          <w:szCs w:val="24"/>
          <w:lang w:eastAsia="en-US"/>
        </w:rPr>
        <w:t>.</w:t>
      </w:r>
      <w:r w:rsidR="002C3705" w:rsidRPr="002C3705">
        <w:rPr>
          <w:rFonts w:eastAsia="Calibri" w:cs="Arial"/>
          <w:sz w:val="24"/>
          <w:szCs w:val="24"/>
          <w:lang w:eastAsia="en-US"/>
        </w:rPr>
        <w:tab/>
        <w:t xml:space="preserve">The Australian Bureau of Statistics’ Socio Economic Indexes for Areas (“SEIFA”) enables the assessment of the welfare of Australian communities based on census data relating to household income, education, employment, occupation, housing and other indicators of advantage and disadvantage.  The CIA states that the SEIFA analysis shows that the LCA is only marginally below that of the Greater Darwin Area indicating that the LCA is an area of relative social advantage.  The suburb of </w:t>
      </w:r>
      <w:r w:rsidR="002A66E5">
        <w:rPr>
          <w:rFonts w:eastAsia="Calibri" w:cs="Arial"/>
          <w:sz w:val="24"/>
          <w:szCs w:val="24"/>
          <w:lang w:eastAsia="en-US"/>
        </w:rPr>
        <w:t>Coconut Grove is the least advantaged in the LCA</w:t>
      </w:r>
      <w:r w:rsidR="002C3705" w:rsidRPr="002C3705">
        <w:rPr>
          <w:rFonts w:eastAsia="Calibri" w:cs="Arial"/>
          <w:sz w:val="24"/>
          <w:szCs w:val="24"/>
          <w:lang w:eastAsia="en-US"/>
        </w:rPr>
        <w:t xml:space="preserve"> in terms of socio economic advantage, a reflection of the higher unemployment rate in th</w:t>
      </w:r>
      <w:r w:rsidR="002A66E5">
        <w:rPr>
          <w:rFonts w:eastAsia="Calibri" w:cs="Arial"/>
          <w:sz w:val="24"/>
          <w:szCs w:val="24"/>
          <w:lang w:eastAsia="en-US"/>
        </w:rPr>
        <w:t xml:space="preserve">at </w:t>
      </w:r>
      <w:r w:rsidR="002C3705" w:rsidRPr="002C3705">
        <w:rPr>
          <w:rFonts w:eastAsia="Calibri" w:cs="Arial"/>
          <w:sz w:val="24"/>
          <w:szCs w:val="24"/>
          <w:lang w:eastAsia="en-US"/>
        </w:rPr>
        <w:t>suburb</w:t>
      </w:r>
      <w:r w:rsidR="002A66E5">
        <w:rPr>
          <w:rFonts w:eastAsia="Calibri" w:cs="Arial"/>
          <w:sz w:val="24"/>
          <w:szCs w:val="24"/>
          <w:lang w:eastAsia="en-US"/>
        </w:rPr>
        <w:t xml:space="preserve"> of 17.2%</w:t>
      </w:r>
      <w:r w:rsidR="002C3705" w:rsidRPr="002C3705">
        <w:rPr>
          <w:rFonts w:eastAsia="Calibri" w:cs="Arial"/>
          <w:sz w:val="24"/>
          <w:szCs w:val="24"/>
          <w:lang w:eastAsia="en-US"/>
        </w:rPr>
        <w:t>.</w:t>
      </w:r>
    </w:p>
    <w:p w:rsidR="002C3705" w:rsidRDefault="002C3705" w:rsidP="0071493B">
      <w:pPr>
        <w:spacing w:after="240"/>
        <w:ind w:left="567" w:right="283" w:hanging="567"/>
        <w:jc w:val="both"/>
        <w:rPr>
          <w:rFonts w:eastAsia="Calibri" w:cs="Arial"/>
          <w:sz w:val="24"/>
          <w:szCs w:val="24"/>
          <w:lang w:eastAsia="en-US"/>
        </w:rPr>
      </w:pPr>
      <w:r w:rsidRPr="002C3705">
        <w:rPr>
          <w:rFonts w:eastAsia="Calibri" w:cs="Arial"/>
          <w:sz w:val="24"/>
          <w:szCs w:val="24"/>
          <w:lang w:eastAsia="en-US"/>
        </w:rPr>
        <w:t>3</w:t>
      </w:r>
      <w:r w:rsidR="00F657FA">
        <w:rPr>
          <w:rFonts w:eastAsia="Calibri" w:cs="Arial"/>
          <w:sz w:val="24"/>
          <w:szCs w:val="24"/>
          <w:lang w:eastAsia="en-US"/>
        </w:rPr>
        <w:t>5</w:t>
      </w:r>
      <w:r w:rsidRPr="002C3705">
        <w:rPr>
          <w:rFonts w:eastAsia="Calibri" w:cs="Arial"/>
          <w:sz w:val="24"/>
          <w:szCs w:val="24"/>
          <w:lang w:eastAsia="en-US"/>
        </w:rPr>
        <w:t>.</w:t>
      </w:r>
      <w:r w:rsidRPr="002C3705">
        <w:rPr>
          <w:rFonts w:eastAsia="Calibri" w:cs="Arial"/>
          <w:sz w:val="24"/>
          <w:szCs w:val="24"/>
          <w:lang w:eastAsia="en-US"/>
        </w:rPr>
        <w:tab/>
        <w:t xml:space="preserve">The CIA states that at the time the report was prepared there were </w:t>
      </w:r>
      <w:r w:rsidR="0071493B">
        <w:rPr>
          <w:rFonts w:eastAsia="Calibri" w:cs="Arial"/>
          <w:sz w:val="24"/>
          <w:szCs w:val="24"/>
          <w:lang w:eastAsia="en-US"/>
        </w:rPr>
        <w:t xml:space="preserve">two other gaming venues in the area.  Those venues are the Beachfront Hotel with ten gaming machines and the Airport Tavern also with ten gaming machines. Subsequent to the report both premises have had their gaming machine licenses increased to 20 machines each in late 2015 and early 2016.  In total there are presently 62 </w:t>
      </w:r>
      <w:r w:rsidRPr="002C3705">
        <w:rPr>
          <w:rFonts w:eastAsia="Calibri" w:cs="Arial"/>
          <w:sz w:val="24"/>
          <w:szCs w:val="24"/>
          <w:lang w:eastAsia="en-US"/>
        </w:rPr>
        <w:t xml:space="preserve">gaming machines authorised for </w:t>
      </w:r>
      <w:r w:rsidR="0071493B">
        <w:rPr>
          <w:rFonts w:eastAsia="Calibri" w:cs="Arial"/>
          <w:sz w:val="24"/>
          <w:szCs w:val="24"/>
          <w:lang w:eastAsia="en-US"/>
        </w:rPr>
        <w:t xml:space="preserve">the three </w:t>
      </w:r>
      <w:r w:rsidRPr="002C3705">
        <w:rPr>
          <w:rFonts w:eastAsia="Calibri" w:cs="Arial"/>
          <w:sz w:val="24"/>
          <w:szCs w:val="24"/>
          <w:lang w:eastAsia="en-US"/>
        </w:rPr>
        <w:t xml:space="preserve">licensed premises within the LCA.  </w:t>
      </w:r>
      <w:r w:rsidR="0071493B">
        <w:rPr>
          <w:rFonts w:eastAsia="Calibri" w:cs="Arial"/>
          <w:sz w:val="24"/>
          <w:szCs w:val="24"/>
          <w:lang w:eastAsia="en-US"/>
        </w:rPr>
        <w:t>The approval of this application would take the overall number in the LCA to 85.</w:t>
      </w:r>
      <w:r w:rsidRPr="002C3705">
        <w:rPr>
          <w:rFonts w:eastAsia="Calibri" w:cs="Arial"/>
          <w:sz w:val="24"/>
          <w:szCs w:val="24"/>
          <w:lang w:eastAsia="en-US"/>
        </w:rPr>
        <w:t xml:space="preserve"> </w:t>
      </w:r>
    </w:p>
    <w:p w:rsidR="008934B6"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t>3</w:t>
      </w:r>
      <w:r w:rsidR="00F657FA">
        <w:rPr>
          <w:rFonts w:eastAsia="Calibri" w:cs="Arial"/>
          <w:sz w:val="24"/>
          <w:szCs w:val="24"/>
          <w:lang w:eastAsia="en-US"/>
        </w:rPr>
        <w:t>7</w:t>
      </w:r>
      <w:r>
        <w:rPr>
          <w:rFonts w:eastAsia="Calibri" w:cs="Arial"/>
          <w:sz w:val="24"/>
          <w:szCs w:val="24"/>
          <w:lang w:eastAsia="en-US"/>
        </w:rPr>
        <w:t>.</w:t>
      </w:r>
      <w:r>
        <w:rPr>
          <w:rFonts w:eastAsia="Calibri" w:cs="Arial"/>
          <w:sz w:val="24"/>
          <w:szCs w:val="24"/>
          <w:lang w:eastAsia="en-US"/>
        </w:rPr>
        <w:tab/>
      </w:r>
      <w:r w:rsidR="0071493B">
        <w:rPr>
          <w:rFonts w:eastAsia="Calibri" w:cs="Arial"/>
          <w:sz w:val="24"/>
          <w:szCs w:val="24"/>
          <w:lang w:eastAsia="en-US"/>
        </w:rPr>
        <w:t>In th</w:t>
      </w:r>
      <w:r w:rsidRPr="004332C0">
        <w:rPr>
          <w:rFonts w:eastAsia="Calibri" w:cs="Arial"/>
          <w:sz w:val="24"/>
          <w:szCs w:val="24"/>
          <w:lang w:eastAsia="en-US"/>
        </w:rPr>
        <w:t xml:space="preserve">e LCA </w:t>
      </w:r>
      <w:r w:rsidR="0071493B">
        <w:rPr>
          <w:rFonts w:eastAsia="Calibri" w:cs="Arial"/>
          <w:sz w:val="24"/>
          <w:szCs w:val="24"/>
          <w:lang w:eastAsia="en-US"/>
        </w:rPr>
        <w:t xml:space="preserve">27% of </w:t>
      </w:r>
      <w:r w:rsidRPr="004332C0">
        <w:rPr>
          <w:rFonts w:eastAsia="Calibri" w:cs="Arial"/>
          <w:sz w:val="24"/>
          <w:szCs w:val="24"/>
          <w:lang w:eastAsia="en-US"/>
        </w:rPr>
        <w:t>residents reported as being non-Australian, the majority of these being from Asia, the United Kingdom and New Zealand. However 1</w:t>
      </w:r>
      <w:r w:rsidR="0071493B">
        <w:rPr>
          <w:rFonts w:eastAsia="Calibri" w:cs="Arial"/>
          <w:sz w:val="24"/>
          <w:szCs w:val="24"/>
          <w:lang w:eastAsia="en-US"/>
        </w:rPr>
        <w:t>2</w:t>
      </w:r>
      <w:r w:rsidRPr="004332C0">
        <w:rPr>
          <w:rFonts w:eastAsia="Calibri" w:cs="Arial"/>
          <w:sz w:val="24"/>
          <w:szCs w:val="24"/>
          <w:lang w:eastAsia="en-US"/>
        </w:rPr>
        <w:t>% of the population did not state their country of origin.</w:t>
      </w:r>
    </w:p>
    <w:p w:rsidR="008934B6" w:rsidRDefault="008934B6" w:rsidP="008934B6">
      <w:pPr>
        <w:spacing w:after="240"/>
        <w:ind w:left="567" w:right="283" w:hanging="567"/>
        <w:jc w:val="both"/>
        <w:rPr>
          <w:rFonts w:eastAsia="Calibri" w:cs="Arial"/>
          <w:bCs/>
          <w:sz w:val="24"/>
          <w:szCs w:val="24"/>
          <w:lang w:eastAsia="en-US"/>
        </w:rPr>
      </w:pPr>
      <w:r>
        <w:rPr>
          <w:rFonts w:eastAsia="Calibri" w:cs="Arial"/>
          <w:sz w:val="24"/>
          <w:szCs w:val="24"/>
          <w:lang w:eastAsia="en-US"/>
        </w:rPr>
        <w:t>3</w:t>
      </w:r>
      <w:r w:rsidR="00F657FA">
        <w:rPr>
          <w:rFonts w:eastAsia="Calibri" w:cs="Arial"/>
          <w:sz w:val="24"/>
          <w:szCs w:val="24"/>
          <w:lang w:eastAsia="en-US"/>
        </w:rPr>
        <w:t>8</w:t>
      </w:r>
      <w:r>
        <w:rPr>
          <w:rFonts w:eastAsia="Calibri" w:cs="Arial"/>
          <w:sz w:val="24"/>
          <w:szCs w:val="24"/>
          <w:lang w:eastAsia="en-US"/>
        </w:rPr>
        <w:t>.</w:t>
      </w:r>
      <w:r>
        <w:rPr>
          <w:rFonts w:eastAsia="Calibri" w:cs="Arial"/>
          <w:sz w:val="24"/>
          <w:szCs w:val="24"/>
          <w:lang w:eastAsia="en-US"/>
        </w:rPr>
        <w:tab/>
      </w:r>
      <w:r w:rsidRPr="004332C0">
        <w:rPr>
          <w:rFonts w:eastAsia="Calibri" w:cs="Arial"/>
          <w:sz w:val="24"/>
          <w:szCs w:val="24"/>
          <w:lang w:eastAsia="en-US"/>
        </w:rPr>
        <w:t xml:space="preserve">The </w:t>
      </w:r>
      <w:r w:rsidRPr="004332C0">
        <w:rPr>
          <w:rFonts w:eastAsia="Calibri" w:cs="Arial"/>
          <w:bCs/>
          <w:sz w:val="24"/>
          <w:szCs w:val="24"/>
          <w:lang w:eastAsia="en-US"/>
        </w:rPr>
        <w:t>Australian Bureau of Statistics’ Socio</w:t>
      </w:r>
      <w:r w:rsidRPr="004332C0">
        <w:rPr>
          <w:rFonts w:eastAsia="Calibri" w:cs="Arial"/>
          <w:bCs/>
          <w:sz w:val="24"/>
          <w:szCs w:val="24"/>
          <w:lang w:eastAsia="en-US"/>
        </w:rPr>
        <w:noBreakHyphen/>
        <w:t>Economic Indexes for Areas (“SEIFA”) is a product that enables the assessment of the welfare of Australian communities based on census data relating to household income, education, employment, occupation, housing and other indicators of advantage and disadvantage.  The SEIFA analysis indicates that the LCA is an ar</w:t>
      </w:r>
      <w:r w:rsidR="0071493B">
        <w:rPr>
          <w:rFonts w:eastAsia="Calibri" w:cs="Arial"/>
          <w:bCs/>
          <w:sz w:val="24"/>
          <w:szCs w:val="24"/>
          <w:lang w:eastAsia="en-US"/>
        </w:rPr>
        <w:t>ea of relative social advantage.</w:t>
      </w:r>
    </w:p>
    <w:p w:rsidR="002C3705" w:rsidRPr="002C3705" w:rsidRDefault="002C3705" w:rsidP="006F6EFC">
      <w:pPr>
        <w:pStyle w:val="Heading4"/>
        <w:rPr>
          <w:rFonts w:eastAsia="Calibri"/>
          <w:lang w:eastAsia="en-US"/>
        </w:rPr>
      </w:pPr>
      <w:r w:rsidRPr="002C3705">
        <w:rPr>
          <w:rFonts w:eastAsia="Calibri"/>
          <w:lang w:eastAsia="en-US"/>
        </w:rPr>
        <w:lastRenderedPageBreak/>
        <w:t>Appropriateness of problem gambling risk management and responsible gambling strategies</w:t>
      </w:r>
    </w:p>
    <w:p w:rsidR="002C3705" w:rsidRPr="002C3705" w:rsidRDefault="00F657FA"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t>40</w:t>
      </w:r>
      <w:r w:rsidR="002C3705" w:rsidRPr="002C3705">
        <w:rPr>
          <w:rFonts w:eastAsia="Calibri" w:cs="Arial"/>
          <w:bCs/>
          <w:sz w:val="24"/>
          <w:szCs w:val="24"/>
          <w:lang w:eastAsia="en-US"/>
        </w:rPr>
        <w:t>.</w:t>
      </w:r>
      <w:r w:rsidR="002C3705" w:rsidRPr="002C3705">
        <w:rPr>
          <w:rFonts w:eastAsia="Calibri" w:cs="Arial"/>
          <w:bCs/>
          <w:sz w:val="24"/>
          <w:szCs w:val="24"/>
          <w:lang w:eastAsia="en-US"/>
        </w:rPr>
        <w:tab/>
        <w:t>The 2014 report ‘Gambling Harm in the Northern Territory: An Atlas of Venue Catchments’, prepared for the Community Benefit Committee in May 2014, indicates that 8</w:t>
      </w:r>
      <w:r w:rsidR="0071493B">
        <w:rPr>
          <w:rFonts w:eastAsia="Calibri" w:cs="Arial"/>
          <w:bCs/>
          <w:sz w:val="24"/>
          <w:szCs w:val="24"/>
          <w:lang w:eastAsia="en-US"/>
        </w:rPr>
        <w:t>4</w:t>
      </w:r>
      <w:r w:rsidR="002C3705" w:rsidRPr="002C3705">
        <w:rPr>
          <w:rFonts w:eastAsia="Calibri" w:cs="Arial"/>
          <w:bCs/>
          <w:sz w:val="24"/>
          <w:szCs w:val="24"/>
          <w:lang w:eastAsia="en-US"/>
        </w:rPr>
        <w:t xml:space="preserve">% </w:t>
      </w:r>
      <w:r w:rsidR="0071493B">
        <w:rPr>
          <w:rFonts w:eastAsia="Calibri" w:cs="Arial"/>
          <w:bCs/>
          <w:sz w:val="24"/>
          <w:szCs w:val="24"/>
          <w:lang w:eastAsia="en-US"/>
        </w:rPr>
        <w:t>of residents within the Northern Territory present as non-problem gamblers, with the remaining being either low, medium or high risk.</w:t>
      </w:r>
    </w:p>
    <w:p w:rsidR="002C3705" w:rsidRPr="002C3705" w:rsidRDefault="00F657FA"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t>41</w:t>
      </w:r>
      <w:r w:rsidR="002C3705" w:rsidRPr="002C3705">
        <w:rPr>
          <w:rFonts w:eastAsia="Calibri" w:cs="Arial"/>
          <w:bCs/>
          <w:sz w:val="24"/>
          <w:szCs w:val="24"/>
          <w:lang w:eastAsia="en-US"/>
        </w:rPr>
        <w:t>.</w:t>
      </w:r>
      <w:r w:rsidR="002C3705" w:rsidRPr="002C3705">
        <w:rPr>
          <w:rFonts w:eastAsia="Calibri" w:cs="Arial"/>
          <w:bCs/>
          <w:sz w:val="24"/>
          <w:szCs w:val="24"/>
          <w:lang w:eastAsia="en-US"/>
        </w:rPr>
        <w:tab/>
      </w:r>
      <w:r w:rsidR="0071493B">
        <w:rPr>
          <w:rFonts w:eastAsia="Calibri" w:cs="Arial"/>
          <w:bCs/>
          <w:sz w:val="24"/>
          <w:szCs w:val="24"/>
          <w:lang w:eastAsia="en-US"/>
        </w:rPr>
        <w:t>Due to a low response rate of 81 out of a catchment of 1,165 the CIA states that specific figures relating to the venue are not available.  Whilst this does not necessarily assist in the assessment of the application, previous considerations have taken a cautious approach to relying on figures provided due to the low level of respondents.</w:t>
      </w:r>
    </w:p>
    <w:p w:rsidR="002C3705" w:rsidRPr="002C3705" w:rsidRDefault="00F657FA"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t>42</w:t>
      </w:r>
      <w:r w:rsidR="002C3705" w:rsidRPr="002C3705">
        <w:rPr>
          <w:rFonts w:eastAsia="Calibri" w:cs="Arial"/>
          <w:bCs/>
          <w:sz w:val="24"/>
          <w:szCs w:val="24"/>
          <w:lang w:eastAsia="en-US"/>
        </w:rPr>
        <w:t>.</w:t>
      </w:r>
      <w:r w:rsidR="002C3705" w:rsidRPr="002C3705">
        <w:rPr>
          <w:rFonts w:eastAsia="Calibri" w:cs="Arial"/>
          <w:bCs/>
          <w:sz w:val="24"/>
          <w:szCs w:val="24"/>
          <w:lang w:eastAsia="en-US"/>
        </w:rPr>
        <w:tab/>
        <w:t>In terms of the risk of problem gambling at the Club, the CIA reports that the venue has in place a compliant and meaningful policy and operational framework for harm minimisation.  The Club follows the expectations of the code of practice for gambling in a responsible manner and in line with community expectations.  Practices identified in the code have been adopted by the Club to assist in the minimisation of harm to consumers who may be adversely affected by gambling.</w:t>
      </w:r>
    </w:p>
    <w:p w:rsidR="002C3705" w:rsidRPr="002C3705" w:rsidRDefault="00F657FA"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t>4</w:t>
      </w:r>
      <w:r w:rsidR="002C3705" w:rsidRPr="002C3705">
        <w:rPr>
          <w:rFonts w:eastAsia="Calibri" w:cs="Arial"/>
          <w:bCs/>
          <w:sz w:val="24"/>
          <w:szCs w:val="24"/>
          <w:lang w:eastAsia="en-US"/>
        </w:rPr>
        <w:t>3.</w:t>
      </w:r>
      <w:r w:rsidR="002C3705" w:rsidRPr="002C3705">
        <w:rPr>
          <w:rFonts w:eastAsia="Calibri" w:cs="Arial"/>
          <w:bCs/>
          <w:sz w:val="24"/>
          <w:szCs w:val="24"/>
          <w:lang w:eastAsia="en-US"/>
        </w:rPr>
        <w:tab/>
      </w:r>
      <w:r w:rsidR="00061EC9">
        <w:rPr>
          <w:rFonts w:eastAsia="Calibri" w:cs="Arial"/>
          <w:bCs/>
          <w:sz w:val="24"/>
          <w:szCs w:val="24"/>
          <w:lang w:eastAsia="en-US"/>
        </w:rPr>
        <w:t>Harm minimisation strategies and measures including exclusion provisions, cash limits, restrictions on cheque cashing and the location of automatic teller machines away from the gaming room are in existence at the venue.  These requirements must be met to comply with the audits conducted by Licensing NT personnel.</w:t>
      </w:r>
    </w:p>
    <w:p w:rsidR="002C3705" w:rsidRPr="002C3705" w:rsidRDefault="00F657FA"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t>44</w:t>
      </w:r>
      <w:r w:rsidR="002C3705" w:rsidRPr="002C3705">
        <w:rPr>
          <w:rFonts w:eastAsia="Calibri" w:cs="Arial"/>
          <w:bCs/>
          <w:sz w:val="24"/>
          <w:szCs w:val="24"/>
          <w:lang w:eastAsia="en-US"/>
        </w:rPr>
        <w:t>.</w:t>
      </w:r>
      <w:r w:rsidR="002C3705" w:rsidRPr="002C3705">
        <w:rPr>
          <w:rFonts w:eastAsia="Calibri" w:cs="Arial"/>
          <w:bCs/>
          <w:sz w:val="24"/>
          <w:szCs w:val="24"/>
          <w:lang w:eastAsia="en-US"/>
        </w:rPr>
        <w:tab/>
        <w:t>The Club maintains a responsible gambling incident register which records action taken by staff to ensure that the standards set out in the code are maintained.  The Club has adopted and implemented exclusion processes, via self and Club exclusions.  The CIA states that the Club’s responsible gaming mission statement is on display in the gaming room and gambling warning posters are also prominently displayed. Lifeline referral cards are located throughout the venue and in particular the gaming room.</w:t>
      </w:r>
    </w:p>
    <w:p w:rsidR="002C3705" w:rsidRDefault="00F657FA"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t>45</w:t>
      </w:r>
      <w:r w:rsidR="002C3705">
        <w:rPr>
          <w:rFonts w:eastAsia="Calibri" w:cs="Arial"/>
          <w:bCs/>
          <w:sz w:val="24"/>
          <w:szCs w:val="24"/>
          <w:lang w:eastAsia="en-US"/>
        </w:rPr>
        <w:t>.</w:t>
      </w:r>
      <w:r w:rsidR="002C3705">
        <w:rPr>
          <w:rFonts w:eastAsia="Calibri" w:cs="Arial"/>
          <w:bCs/>
          <w:sz w:val="24"/>
          <w:szCs w:val="24"/>
          <w:lang w:eastAsia="en-US"/>
        </w:rPr>
        <w:tab/>
        <w:t xml:space="preserve">In the view of the </w:t>
      </w:r>
      <w:r w:rsidR="002C3705" w:rsidRPr="002C3705">
        <w:rPr>
          <w:rFonts w:eastAsia="Calibri" w:cs="Arial"/>
          <w:bCs/>
          <w:sz w:val="24"/>
          <w:szCs w:val="24"/>
          <w:lang w:eastAsia="en-US"/>
        </w:rPr>
        <w:t>authors of the CIA</w:t>
      </w:r>
      <w:r w:rsidR="00441883">
        <w:rPr>
          <w:rFonts w:eastAsia="Calibri" w:cs="Arial"/>
          <w:bCs/>
          <w:sz w:val="24"/>
          <w:szCs w:val="24"/>
          <w:lang w:eastAsia="en-US"/>
        </w:rPr>
        <w:t>,</w:t>
      </w:r>
      <w:r w:rsidR="002C3705" w:rsidRPr="002C3705">
        <w:rPr>
          <w:rFonts w:eastAsia="Calibri" w:cs="Arial"/>
          <w:bCs/>
          <w:sz w:val="24"/>
          <w:szCs w:val="24"/>
          <w:lang w:eastAsia="en-US"/>
        </w:rPr>
        <w:t xml:space="preserve"> the Club appears to follow the strict processes for self-exclusion and takes appropriate steps to maintain compliance with the self-exclusion provisions contained in the code of practice for responsible gambling.</w:t>
      </w:r>
    </w:p>
    <w:p w:rsidR="00061EC9" w:rsidRPr="002C3705" w:rsidRDefault="00061EC9"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t>46.</w:t>
      </w:r>
      <w:r>
        <w:rPr>
          <w:rFonts w:eastAsia="Calibri" w:cs="Arial"/>
          <w:bCs/>
          <w:sz w:val="24"/>
          <w:szCs w:val="24"/>
          <w:lang w:eastAsia="en-US"/>
        </w:rPr>
        <w:tab/>
        <w:t>Presently there are five persons recorded as self-excluding and it is submitted the Applicant records incidents in accordance with the requirements.  It is further submitted there are generally very few incidents at the premises; however the register does record 16 entries which demonstrates the register is being used.</w:t>
      </w:r>
    </w:p>
    <w:p w:rsidR="002C3705" w:rsidRDefault="00F657FA" w:rsidP="002C3705">
      <w:pPr>
        <w:spacing w:after="240"/>
        <w:ind w:left="567" w:right="283" w:hanging="567"/>
        <w:jc w:val="both"/>
        <w:rPr>
          <w:rFonts w:eastAsia="Calibri" w:cs="Arial"/>
          <w:bCs/>
          <w:sz w:val="24"/>
          <w:szCs w:val="24"/>
          <w:lang w:eastAsia="en-US"/>
        </w:rPr>
      </w:pPr>
      <w:r>
        <w:rPr>
          <w:rFonts w:eastAsia="Calibri" w:cs="Arial"/>
          <w:bCs/>
          <w:sz w:val="24"/>
          <w:szCs w:val="24"/>
          <w:lang w:eastAsia="en-US"/>
        </w:rPr>
        <w:t>46</w:t>
      </w:r>
      <w:r w:rsidR="002C3705" w:rsidRPr="002C3705">
        <w:rPr>
          <w:rFonts w:eastAsia="Calibri" w:cs="Arial"/>
          <w:bCs/>
          <w:sz w:val="24"/>
          <w:szCs w:val="24"/>
          <w:lang w:eastAsia="en-US"/>
        </w:rPr>
        <w:t>.</w:t>
      </w:r>
      <w:r w:rsidR="002C3705" w:rsidRPr="002C3705">
        <w:rPr>
          <w:rFonts w:eastAsia="Calibri" w:cs="Arial"/>
          <w:bCs/>
          <w:sz w:val="24"/>
          <w:szCs w:val="24"/>
          <w:lang w:eastAsia="en-US"/>
        </w:rPr>
        <w:tab/>
        <w:t xml:space="preserve">It should also be noted that the Club has not been the subject of any recent or relevant disciplinary action or complaint in respect of the operation of its gaming machines.  </w:t>
      </w:r>
    </w:p>
    <w:p w:rsidR="008934B6" w:rsidRPr="004332C0"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4</w:t>
      </w:r>
      <w:r w:rsidR="00F657FA">
        <w:rPr>
          <w:rFonts w:eastAsia="Calibri" w:cs="Arial"/>
          <w:bCs/>
          <w:sz w:val="24"/>
          <w:szCs w:val="24"/>
          <w:lang w:eastAsia="en-US"/>
        </w:rPr>
        <w:t>7</w:t>
      </w:r>
      <w:r>
        <w:rPr>
          <w:rFonts w:eastAsia="Calibri" w:cs="Arial"/>
          <w:bCs/>
          <w:sz w:val="24"/>
          <w:szCs w:val="24"/>
          <w:lang w:eastAsia="en-US"/>
        </w:rPr>
        <w:t>.</w:t>
      </w:r>
      <w:r>
        <w:rPr>
          <w:rFonts w:eastAsia="Calibri" w:cs="Arial"/>
          <w:bCs/>
          <w:sz w:val="24"/>
          <w:szCs w:val="24"/>
          <w:lang w:eastAsia="en-US"/>
        </w:rPr>
        <w:tab/>
      </w:r>
      <w:r w:rsidRPr="004332C0">
        <w:rPr>
          <w:rFonts w:eastAsia="Calibri" w:cs="Arial"/>
          <w:sz w:val="24"/>
          <w:szCs w:val="24"/>
          <w:lang w:eastAsia="en-US"/>
        </w:rPr>
        <w:t xml:space="preserve">The venue currently holds a gaming machine licence and on the basis of the information available above, I am satisfied that the venue’s location continues to be suitable for the operation of gaming machines.  </w:t>
      </w:r>
    </w:p>
    <w:p w:rsidR="008934B6" w:rsidRDefault="008934B6" w:rsidP="008934B6">
      <w:pPr>
        <w:spacing w:after="240"/>
        <w:ind w:left="567" w:hanging="567"/>
        <w:jc w:val="both"/>
        <w:rPr>
          <w:rFonts w:cs="Arial"/>
          <w:bCs/>
          <w:szCs w:val="22"/>
        </w:rPr>
      </w:pPr>
      <w:r>
        <w:rPr>
          <w:rFonts w:cs="Arial"/>
          <w:bCs/>
          <w:szCs w:val="22"/>
        </w:rPr>
        <w:t>5</w:t>
      </w:r>
      <w:r w:rsidR="00F657FA">
        <w:rPr>
          <w:rFonts w:cs="Arial"/>
          <w:bCs/>
          <w:szCs w:val="22"/>
        </w:rPr>
        <w:t>4</w:t>
      </w:r>
      <w:r>
        <w:rPr>
          <w:rFonts w:cs="Arial"/>
          <w:bCs/>
          <w:szCs w:val="22"/>
        </w:rPr>
        <w:t>.</w:t>
      </w:r>
      <w:r>
        <w:rPr>
          <w:rFonts w:cs="Arial"/>
          <w:bCs/>
          <w:szCs w:val="22"/>
        </w:rPr>
        <w:tab/>
      </w:r>
      <w:r w:rsidRPr="008F70BE">
        <w:rPr>
          <w:rFonts w:cs="Arial"/>
          <w:bCs/>
          <w:szCs w:val="22"/>
        </w:rPr>
        <w:t>The policies in place at the</w:t>
      </w:r>
      <w:r>
        <w:rPr>
          <w:rFonts w:cs="Arial"/>
          <w:bCs/>
          <w:szCs w:val="22"/>
        </w:rPr>
        <w:t xml:space="preserve"> venue</w:t>
      </w:r>
      <w:r w:rsidRPr="008F70BE">
        <w:rPr>
          <w:rFonts w:cs="Arial"/>
          <w:bCs/>
          <w:szCs w:val="22"/>
        </w:rPr>
        <w:t xml:space="preserve"> at present are compliant with the </w:t>
      </w:r>
      <w:r w:rsidRPr="0037611B">
        <w:rPr>
          <w:rFonts w:cs="Arial"/>
          <w:bCs/>
          <w:i/>
          <w:szCs w:val="22"/>
        </w:rPr>
        <w:t>NT Code of Practice for Responsible Gambling (2016)</w:t>
      </w:r>
      <w:r w:rsidRPr="008F70BE">
        <w:rPr>
          <w:rFonts w:cs="Arial"/>
          <w:bCs/>
          <w:szCs w:val="22"/>
        </w:rPr>
        <w:t xml:space="preserve"> and there is no indication that an </w:t>
      </w:r>
      <w:r w:rsidRPr="008F70BE">
        <w:rPr>
          <w:rFonts w:cs="Arial"/>
          <w:szCs w:val="24"/>
        </w:rPr>
        <w:t>increase</w:t>
      </w:r>
      <w:r w:rsidRPr="008F70BE">
        <w:rPr>
          <w:rFonts w:cs="Arial"/>
          <w:bCs/>
          <w:szCs w:val="22"/>
        </w:rPr>
        <w:t xml:space="preserve"> in the number of </w:t>
      </w:r>
      <w:r w:rsidRPr="008F70BE">
        <w:rPr>
          <w:rFonts w:cs="Arial"/>
          <w:bCs/>
          <w:szCs w:val="22"/>
        </w:rPr>
        <w:lastRenderedPageBreak/>
        <w:t xml:space="preserve">gaming machines at the venue would require any amendment or addition to those policies or existing procedures relating to the management and monitoring of gaming. </w:t>
      </w:r>
    </w:p>
    <w:p w:rsidR="008934B6" w:rsidRDefault="008934B6" w:rsidP="006F6EFC">
      <w:pPr>
        <w:pStyle w:val="Heading4"/>
        <w:rPr>
          <w:rStyle w:val="Emphasis"/>
          <w:b w:val="0"/>
          <w:i w:val="0"/>
        </w:rPr>
      </w:pPr>
      <w:r w:rsidRPr="00587446">
        <w:rPr>
          <w:rStyle w:val="Emphasis"/>
          <w:i w:val="0"/>
        </w:rPr>
        <w:t>Economic impact - contribution to the com</w:t>
      </w:r>
      <w:r>
        <w:rPr>
          <w:rStyle w:val="Emphasis"/>
          <w:i w:val="0"/>
        </w:rPr>
        <w:t xml:space="preserve">munity, employment creation and </w:t>
      </w:r>
      <w:r w:rsidRPr="00587446">
        <w:rPr>
          <w:rStyle w:val="Emphasis"/>
          <w:i w:val="0"/>
        </w:rPr>
        <w:t>significance/reliance of the venue to or on tourism</w:t>
      </w:r>
    </w:p>
    <w:p w:rsidR="008934B6" w:rsidRDefault="008934B6" w:rsidP="008934B6">
      <w:pPr>
        <w:spacing w:after="240"/>
        <w:ind w:left="567" w:hanging="567"/>
        <w:jc w:val="both"/>
        <w:rPr>
          <w:rFonts w:cs="Arial"/>
          <w:bCs/>
          <w:szCs w:val="22"/>
        </w:rPr>
      </w:pPr>
      <w:r>
        <w:rPr>
          <w:rStyle w:val="Emphasis"/>
          <w:i w:val="0"/>
        </w:rPr>
        <w:t>5</w:t>
      </w:r>
      <w:r w:rsidR="00F657FA">
        <w:rPr>
          <w:rStyle w:val="Emphasis"/>
          <w:i w:val="0"/>
        </w:rPr>
        <w:t>5</w:t>
      </w:r>
      <w:r>
        <w:rPr>
          <w:rStyle w:val="Emphasis"/>
          <w:i w:val="0"/>
        </w:rPr>
        <w:t>.</w:t>
      </w:r>
      <w:r>
        <w:rPr>
          <w:rStyle w:val="Emphasis"/>
          <w:i w:val="0"/>
        </w:rPr>
        <w:tab/>
      </w:r>
      <w:r>
        <w:rPr>
          <w:rFonts w:cs="Arial"/>
          <w:bCs/>
          <w:szCs w:val="22"/>
        </w:rPr>
        <w:t xml:space="preserve">The CIA states the venue currently employs </w:t>
      </w:r>
      <w:r w:rsidR="00061EC9">
        <w:rPr>
          <w:rFonts w:cs="Arial"/>
          <w:bCs/>
          <w:szCs w:val="22"/>
        </w:rPr>
        <w:t>25</w:t>
      </w:r>
      <w:r>
        <w:rPr>
          <w:rFonts w:cs="Arial"/>
          <w:bCs/>
          <w:szCs w:val="22"/>
        </w:rPr>
        <w:t xml:space="preserve"> </w:t>
      </w:r>
      <w:r w:rsidR="004E0071">
        <w:rPr>
          <w:rFonts w:cs="Arial"/>
          <w:bCs/>
          <w:szCs w:val="22"/>
        </w:rPr>
        <w:t>staff</w:t>
      </w:r>
      <w:proofErr w:type="gramStart"/>
      <w:r>
        <w:rPr>
          <w:rFonts w:cs="Arial"/>
          <w:bCs/>
          <w:szCs w:val="22"/>
        </w:rPr>
        <w:t xml:space="preserve">.  </w:t>
      </w:r>
      <w:proofErr w:type="gramEnd"/>
      <w:r>
        <w:rPr>
          <w:rFonts w:cs="Arial"/>
          <w:bCs/>
          <w:szCs w:val="22"/>
        </w:rPr>
        <w:t xml:space="preserve">It is anticipated </w:t>
      </w:r>
      <w:r w:rsidR="00061EC9">
        <w:rPr>
          <w:rFonts w:cs="Arial"/>
          <w:bCs/>
          <w:szCs w:val="22"/>
        </w:rPr>
        <w:t>a further three personnel will be employed in the event this application is approved.</w:t>
      </w:r>
    </w:p>
    <w:p w:rsidR="008934B6" w:rsidRDefault="008934B6" w:rsidP="004E0071">
      <w:pPr>
        <w:spacing w:after="240"/>
        <w:ind w:left="567" w:hanging="567"/>
        <w:jc w:val="both"/>
        <w:rPr>
          <w:rFonts w:cs="Arial"/>
          <w:bCs/>
          <w:szCs w:val="22"/>
        </w:rPr>
      </w:pPr>
      <w:r>
        <w:rPr>
          <w:rFonts w:cs="Arial"/>
          <w:bCs/>
          <w:szCs w:val="22"/>
        </w:rPr>
        <w:t>5</w:t>
      </w:r>
      <w:r w:rsidR="00F657FA">
        <w:rPr>
          <w:rFonts w:cs="Arial"/>
          <w:bCs/>
          <w:szCs w:val="22"/>
        </w:rPr>
        <w:t>6</w:t>
      </w:r>
      <w:r>
        <w:rPr>
          <w:rFonts w:cs="Arial"/>
          <w:bCs/>
          <w:szCs w:val="22"/>
        </w:rPr>
        <w:t>.</w:t>
      </w:r>
      <w:r>
        <w:rPr>
          <w:rFonts w:cs="Arial"/>
          <w:bCs/>
          <w:szCs w:val="22"/>
        </w:rPr>
        <w:tab/>
        <w:t>The CIA reports 2</w:t>
      </w:r>
      <w:r w:rsidR="00061EC9">
        <w:rPr>
          <w:rFonts w:cs="Arial"/>
          <w:bCs/>
          <w:szCs w:val="22"/>
        </w:rPr>
        <w:t>1</w:t>
      </w:r>
      <w:r>
        <w:rPr>
          <w:rFonts w:cs="Arial"/>
          <w:bCs/>
          <w:szCs w:val="22"/>
        </w:rPr>
        <w:t xml:space="preserve"> organisations were contacted to ascertain their views on the potential impact of the application within the LCA.  Eight organisations responded</w:t>
      </w:r>
      <w:r w:rsidR="004E0071">
        <w:rPr>
          <w:rFonts w:cs="Arial"/>
          <w:bCs/>
          <w:szCs w:val="22"/>
        </w:rPr>
        <w:t xml:space="preserve">, </w:t>
      </w:r>
      <w:r w:rsidR="00061EC9">
        <w:rPr>
          <w:rFonts w:cs="Arial"/>
          <w:bCs/>
          <w:szCs w:val="22"/>
        </w:rPr>
        <w:t>all suggesting there would be a negative impact from this application’s approval.</w:t>
      </w:r>
    </w:p>
    <w:p w:rsidR="008934B6" w:rsidRDefault="00F657FA" w:rsidP="008934B6">
      <w:pPr>
        <w:spacing w:after="240"/>
        <w:ind w:left="567" w:hanging="567"/>
        <w:jc w:val="both"/>
        <w:rPr>
          <w:rFonts w:cs="Arial"/>
          <w:bCs/>
          <w:szCs w:val="22"/>
        </w:rPr>
      </w:pPr>
      <w:r>
        <w:rPr>
          <w:rFonts w:cs="Arial"/>
          <w:bCs/>
          <w:szCs w:val="22"/>
        </w:rPr>
        <w:t>57</w:t>
      </w:r>
      <w:r w:rsidR="008934B6">
        <w:rPr>
          <w:rFonts w:cs="Arial"/>
          <w:bCs/>
          <w:szCs w:val="22"/>
        </w:rPr>
        <w:t xml:space="preserve">. </w:t>
      </w:r>
      <w:r w:rsidR="008934B6">
        <w:rPr>
          <w:rFonts w:cs="Arial"/>
          <w:bCs/>
          <w:szCs w:val="22"/>
        </w:rPr>
        <w:tab/>
        <w:t>The community organisations that did not respond are listed in the CIA.</w:t>
      </w:r>
    </w:p>
    <w:p w:rsidR="008934B6" w:rsidRDefault="00F657FA" w:rsidP="008934B6">
      <w:pPr>
        <w:spacing w:after="240"/>
        <w:ind w:left="567" w:hanging="567"/>
        <w:jc w:val="both"/>
        <w:rPr>
          <w:rFonts w:cs="Arial"/>
          <w:bCs/>
          <w:szCs w:val="22"/>
        </w:rPr>
      </w:pPr>
      <w:r>
        <w:rPr>
          <w:rFonts w:cs="Arial"/>
          <w:bCs/>
          <w:szCs w:val="22"/>
        </w:rPr>
        <w:t>58</w:t>
      </w:r>
      <w:r w:rsidR="008934B6">
        <w:rPr>
          <w:rFonts w:cs="Arial"/>
          <w:bCs/>
          <w:szCs w:val="22"/>
        </w:rPr>
        <w:t>.</w:t>
      </w:r>
      <w:r w:rsidR="008934B6">
        <w:rPr>
          <w:rFonts w:cs="Arial"/>
          <w:bCs/>
          <w:szCs w:val="22"/>
        </w:rPr>
        <w:tab/>
      </w:r>
      <w:r w:rsidR="008934B6" w:rsidRPr="00D92E7A">
        <w:rPr>
          <w:rFonts w:cs="Arial"/>
          <w:bCs/>
          <w:szCs w:val="22"/>
        </w:rPr>
        <w:t>Whilst the concerns expressed by those organisations that did complete the Community Representative Feedback survey are noted and taken into account they cannot, in my view be afforded sufficient weight to persuade me to reject the application on these responses alone</w:t>
      </w:r>
      <w:r w:rsidR="004E0071">
        <w:rPr>
          <w:rFonts w:cs="Arial"/>
          <w:bCs/>
          <w:szCs w:val="22"/>
        </w:rPr>
        <w:t>.</w:t>
      </w:r>
    </w:p>
    <w:p w:rsidR="00061EC9" w:rsidRDefault="00061EC9" w:rsidP="008934B6">
      <w:pPr>
        <w:spacing w:after="240"/>
        <w:ind w:left="567" w:hanging="567"/>
        <w:jc w:val="both"/>
        <w:rPr>
          <w:rFonts w:cs="Arial"/>
          <w:bCs/>
          <w:szCs w:val="22"/>
        </w:rPr>
      </w:pPr>
      <w:r>
        <w:rPr>
          <w:rFonts w:cs="Arial"/>
          <w:bCs/>
          <w:szCs w:val="22"/>
        </w:rPr>
        <w:t>59.</w:t>
      </w:r>
      <w:r>
        <w:rPr>
          <w:rFonts w:cs="Arial"/>
          <w:bCs/>
          <w:szCs w:val="22"/>
        </w:rPr>
        <w:tab/>
        <w:t>A patron survey was conducted with seven being returned, all of which were positive responses in support of the application.</w:t>
      </w:r>
    </w:p>
    <w:p w:rsidR="008934B6" w:rsidRDefault="008934B6" w:rsidP="006F6EFC">
      <w:pPr>
        <w:pStyle w:val="Heading4"/>
      </w:pPr>
      <w:r w:rsidRPr="00980A08">
        <w:t>Written submissions in response to the application</w:t>
      </w:r>
    </w:p>
    <w:p w:rsidR="008934B6" w:rsidRDefault="008934B6" w:rsidP="008934B6">
      <w:pPr>
        <w:spacing w:after="240"/>
        <w:ind w:left="567" w:hanging="567"/>
        <w:jc w:val="both"/>
        <w:rPr>
          <w:rFonts w:cs="Arial"/>
          <w:szCs w:val="24"/>
        </w:rPr>
      </w:pPr>
      <w:r w:rsidRPr="00D92E7A">
        <w:rPr>
          <w:rFonts w:cs="Arial"/>
          <w:bCs/>
          <w:szCs w:val="22"/>
        </w:rPr>
        <w:t>6</w:t>
      </w:r>
      <w:r w:rsidR="00F657FA">
        <w:rPr>
          <w:rFonts w:cs="Arial"/>
          <w:bCs/>
          <w:szCs w:val="22"/>
        </w:rPr>
        <w:t>0</w:t>
      </w:r>
      <w:r>
        <w:rPr>
          <w:rFonts w:cs="Arial"/>
          <w:bCs/>
          <w:szCs w:val="22"/>
        </w:rPr>
        <w:t>.</w:t>
      </w:r>
      <w:r>
        <w:rPr>
          <w:rFonts w:cs="Arial"/>
          <w:bCs/>
          <w:szCs w:val="22"/>
        </w:rPr>
        <w:tab/>
      </w:r>
      <w:r w:rsidRPr="00655618">
        <w:rPr>
          <w:rFonts w:cs="Arial"/>
          <w:szCs w:val="24"/>
        </w:rPr>
        <w:t xml:space="preserve">As required by section 41B of the Act, notification of the application was advertised in the Northern Territory News on </w:t>
      </w:r>
      <w:r w:rsidR="004E0071">
        <w:rPr>
          <w:rFonts w:cs="Arial"/>
          <w:szCs w:val="24"/>
        </w:rPr>
        <w:t>1 July</w:t>
      </w:r>
      <w:r>
        <w:rPr>
          <w:rFonts w:cs="Arial"/>
          <w:szCs w:val="24"/>
        </w:rPr>
        <w:t xml:space="preserve"> 2016</w:t>
      </w:r>
      <w:proofErr w:type="gramStart"/>
      <w:r w:rsidRPr="00655618">
        <w:rPr>
          <w:rFonts w:cs="Arial"/>
          <w:szCs w:val="24"/>
        </w:rPr>
        <w:t xml:space="preserve">.  </w:t>
      </w:r>
      <w:proofErr w:type="gramEnd"/>
      <w:r w:rsidRPr="00655618">
        <w:rPr>
          <w:rFonts w:cs="Arial"/>
          <w:szCs w:val="24"/>
        </w:rPr>
        <w:t xml:space="preserve">Pursuant to the Act, a written submission may be made to the Director-General </w:t>
      </w:r>
      <w:r w:rsidRPr="00B3067F">
        <w:rPr>
          <w:rFonts w:cs="Arial"/>
          <w:szCs w:val="24"/>
        </w:rPr>
        <w:t>within 30 days of the notification.</w:t>
      </w:r>
    </w:p>
    <w:p w:rsidR="00061EC9" w:rsidRDefault="00F657FA" w:rsidP="00061EC9">
      <w:pPr>
        <w:spacing w:after="240"/>
        <w:ind w:left="567" w:hanging="567"/>
        <w:jc w:val="both"/>
        <w:rPr>
          <w:rFonts w:cs="Arial"/>
          <w:szCs w:val="24"/>
        </w:rPr>
      </w:pPr>
      <w:r>
        <w:rPr>
          <w:rFonts w:cs="Arial"/>
          <w:szCs w:val="24"/>
        </w:rPr>
        <w:t>61</w:t>
      </w:r>
      <w:r w:rsidR="008934B6">
        <w:rPr>
          <w:rFonts w:cs="Arial"/>
          <w:szCs w:val="24"/>
        </w:rPr>
        <w:t>.</w:t>
      </w:r>
      <w:r w:rsidR="008934B6">
        <w:rPr>
          <w:rFonts w:cs="Arial"/>
          <w:szCs w:val="24"/>
        </w:rPr>
        <w:tab/>
        <w:t xml:space="preserve">No submissions were received as a result of the public advertising.  Despite this the author is aware of a general </w:t>
      </w:r>
      <w:r w:rsidR="008934B6" w:rsidRPr="00B3067F">
        <w:rPr>
          <w:rFonts w:cs="Arial"/>
          <w:szCs w:val="24"/>
        </w:rPr>
        <w:t xml:space="preserve">submission </w:t>
      </w:r>
      <w:r w:rsidR="008934B6">
        <w:rPr>
          <w:rFonts w:cs="Arial"/>
          <w:szCs w:val="24"/>
        </w:rPr>
        <w:t>that has been r</w:t>
      </w:r>
      <w:r w:rsidR="008934B6" w:rsidRPr="00B3067F">
        <w:rPr>
          <w:rFonts w:cs="Arial"/>
          <w:szCs w:val="24"/>
        </w:rPr>
        <w:t>eceived from Amity Community Services Inc (</w:t>
      </w:r>
      <w:r w:rsidR="008934B6">
        <w:rPr>
          <w:rFonts w:cs="Arial"/>
          <w:szCs w:val="24"/>
        </w:rPr>
        <w:t>“</w:t>
      </w:r>
      <w:r w:rsidR="008934B6" w:rsidRPr="00B3067F">
        <w:rPr>
          <w:rFonts w:cs="Arial"/>
          <w:szCs w:val="24"/>
        </w:rPr>
        <w:t>Amity</w:t>
      </w:r>
      <w:r w:rsidR="008934B6">
        <w:rPr>
          <w:rFonts w:cs="Arial"/>
          <w:szCs w:val="24"/>
        </w:rPr>
        <w:t>”</w:t>
      </w:r>
      <w:r w:rsidR="008934B6" w:rsidRPr="00B3067F">
        <w:rPr>
          <w:rFonts w:cs="Arial"/>
          <w:szCs w:val="24"/>
        </w:rPr>
        <w:t>)</w:t>
      </w:r>
      <w:r w:rsidR="008934B6">
        <w:rPr>
          <w:rFonts w:cs="Arial"/>
          <w:szCs w:val="24"/>
        </w:rPr>
        <w:t>, for other applications</w:t>
      </w:r>
      <w:r w:rsidR="008934B6" w:rsidRPr="00B3067F">
        <w:rPr>
          <w:rFonts w:cs="Arial"/>
          <w:szCs w:val="24"/>
        </w:rPr>
        <w:t>.</w:t>
      </w:r>
    </w:p>
    <w:p w:rsidR="008934B6" w:rsidRDefault="008934B6" w:rsidP="00061EC9">
      <w:pPr>
        <w:spacing w:after="240"/>
        <w:ind w:left="567" w:hanging="567"/>
        <w:jc w:val="both"/>
        <w:rPr>
          <w:rFonts w:cs="Arial"/>
          <w:szCs w:val="24"/>
        </w:rPr>
      </w:pPr>
      <w:r>
        <w:rPr>
          <w:rFonts w:cs="Arial"/>
          <w:szCs w:val="24"/>
        </w:rPr>
        <w:t>6</w:t>
      </w:r>
      <w:r w:rsidR="00F657FA">
        <w:rPr>
          <w:rFonts w:cs="Arial"/>
          <w:szCs w:val="24"/>
        </w:rPr>
        <w:t>2</w:t>
      </w:r>
      <w:r>
        <w:rPr>
          <w:rFonts w:cs="Arial"/>
          <w:szCs w:val="24"/>
        </w:rPr>
        <w:t>.</w:t>
      </w:r>
      <w:r>
        <w:rPr>
          <w:rFonts w:cs="Arial"/>
          <w:szCs w:val="24"/>
        </w:rPr>
        <w:tab/>
      </w:r>
      <w:r w:rsidRPr="00B3067F">
        <w:rPr>
          <w:rFonts w:cs="Arial"/>
          <w:bCs/>
          <w:szCs w:val="22"/>
        </w:rPr>
        <w:t>Th</w:t>
      </w:r>
      <w:r>
        <w:rPr>
          <w:rFonts w:cs="Arial"/>
          <w:bCs/>
          <w:szCs w:val="22"/>
        </w:rPr>
        <w:t>at</w:t>
      </w:r>
      <w:r w:rsidRPr="00B3067F">
        <w:rPr>
          <w:rFonts w:cs="Arial"/>
          <w:bCs/>
          <w:szCs w:val="22"/>
        </w:rPr>
        <w:t xml:space="preserve"> submission states that Amity has been working in the area of gambling for over two decades and</w:t>
      </w:r>
      <w:r w:rsidRPr="00B3067F">
        <w:rPr>
          <w:rFonts w:cs="Arial"/>
          <w:szCs w:val="24"/>
        </w:rPr>
        <w:t xml:space="preserve"> their programs are underpinned by a public health model that considers the impact of gambling on the entire community and on all gamblers, not just ‘problem gamblers’.  The model also focuses on prevention, rather than treatment alone.</w:t>
      </w:r>
    </w:p>
    <w:p w:rsidR="008934B6" w:rsidRDefault="008934B6" w:rsidP="008934B6">
      <w:pPr>
        <w:keepNext/>
        <w:spacing w:after="120"/>
        <w:ind w:left="567" w:hanging="567"/>
        <w:jc w:val="both"/>
        <w:rPr>
          <w:rFonts w:cs="Arial"/>
          <w:szCs w:val="24"/>
        </w:rPr>
      </w:pPr>
      <w:r>
        <w:rPr>
          <w:rFonts w:cs="Arial"/>
          <w:szCs w:val="24"/>
        </w:rPr>
        <w:t>6</w:t>
      </w:r>
      <w:r w:rsidR="00F657FA">
        <w:rPr>
          <w:rFonts w:cs="Arial"/>
          <w:szCs w:val="24"/>
        </w:rPr>
        <w:t>3</w:t>
      </w:r>
      <w:r>
        <w:rPr>
          <w:rFonts w:cs="Arial"/>
          <w:szCs w:val="24"/>
        </w:rPr>
        <w:t>.</w:t>
      </w:r>
      <w:r>
        <w:rPr>
          <w:rFonts w:cs="Arial"/>
          <w:szCs w:val="24"/>
        </w:rPr>
        <w:tab/>
      </w:r>
      <w:r w:rsidRPr="00B3067F">
        <w:rPr>
          <w:rFonts w:cs="Arial"/>
          <w:szCs w:val="24"/>
        </w:rPr>
        <w:t>Amity works predominately in the areas of prevention of and intervention in problem gambling areas by providing extensive training, education, community liaison and health promotion in consultation with the gambling industry</w:t>
      </w:r>
      <w:proofErr w:type="gramStart"/>
      <w:r w:rsidRPr="00B3067F">
        <w:rPr>
          <w:rFonts w:cs="Arial"/>
          <w:szCs w:val="24"/>
        </w:rPr>
        <w:t xml:space="preserve">. </w:t>
      </w:r>
      <w:r>
        <w:rPr>
          <w:rFonts w:cs="Arial"/>
          <w:szCs w:val="24"/>
        </w:rPr>
        <w:t xml:space="preserve"> </w:t>
      </w:r>
      <w:proofErr w:type="gramEnd"/>
      <w:r w:rsidRPr="00B3067F">
        <w:rPr>
          <w:rFonts w:cs="Arial"/>
          <w:szCs w:val="24"/>
        </w:rPr>
        <w:t>Amity provides its services throughout the Northern Territory with the aim of implementing harm minimisation strategies for safer gambling.</w:t>
      </w:r>
    </w:p>
    <w:p w:rsidR="008934B6" w:rsidRDefault="008934B6" w:rsidP="008934B6">
      <w:pPr>
        <w:keepNext/>
        <w:spacing w:after="120"/>
        <w:ind w:left="567" w:hanging="567"/>
        <w:jc w:val="both"/>
        <w:rPr>
          <w:rFonts w:cs="Arial"/>
          <w:szCs w:val="24"/>
        </w:rPr>
      </w:pPr>
      <w:r>
        <w:rPr>
          <w:rFonts w:cs="Arial"/>
          <w:szCs w:val="24"/>
        </w:rPr>
        <w:t>6</w:t>
      </w:r>
      <w:r w:rsidR="00F657FA">
        <w:rPr>
          <w:rFonts w:cs="Arial"/>
          <w:szCs w:val="24"/>
        </w:rPr>
        <w:t>4</w:t>
      </w:r>
      <w:r>
        <w:rPr>
          <w:rFonts w:cs="Arial"/>
          <w:szCs w:val="24"/>
        </w:rPr>
        <w:t>.</w:t>
      </w:r>
      <w:r>
        <w:rPr>
          <w:rFonts w:cs="Arial"/>
          <w:szCs w:val="24"/>
        </w:rPr>
        <w:tab/>
        <w:t xml:space="preserve">As there was no specific submission in relation to this application by </w:t>
      </w:r>
      <w:r w:rsidRPr="00B3067F">
        <w:rPr>
          <w:rFonts w:cs="Arial"/>
          <w:szCs w:val="24"/>
        </w:rPr>
        <w:t>Amity</w:t>
      </w:r>
      <w:r>
        <w:rPr>
          <w:rFonts w:cs="Arial"/>
          <w:szCs w:val="24"/>
        </w:rPr>
        <w:t>, their opposition to</w:t>
      </w:r>
      <w:r w:rsidRPr="00B3067F">
        <w:rPr>
          <w:rFonts w:cs="Arial"/>
          <w:szCs w:val="24"/>
        </w:rPr>
        <w:t xml:space="preserve"> increas</w:t>
      </w:r>
      <w:r>
        <w:rPr>
          <w:rFonts w:cs="Arial"/>
          <w:szCs w:val="24"/>
        </w:rPr>
        <w:t>ing</w:t>
      </w:r>
      <w:r w:rsidRPr="00B3067F">
        <w:rPr>
          <w:rFonts w:cs="Arial"/>
          <w:szCs w:val="24"/>
        </w:rPr>
        <w:t xml:space="preserve"> gaming machines</w:t>
      </w:r>
      <w:r>
        <w:rPr>
          <w:rFonts w:cs="Arial"/>
          <w:szCs w:val="24"/>
        </w:rPr>
        <w:t xml:space="preserve"> can only be general in nature and afforded the appropriate weight in consideration of this matter</w:t>
      </w:r>
      <w:r w:rsidRPr="00B3067F">
        <w:rPr>
          <w:rFonts w:cs="Arial"/>
          <w:szCs w:val="24"/>
        </w:rPr>
        <w:t xml:space="preserve">.  Amity </w:t>
      </w:r>
      <w:r>
        <w:rPr>
          <w:rFonts w:cs="Arial"/>
          <w:szCs w:val="24"/>
        </w:rPr>
        <w:t>has clearly expressed their view is</w:t>
      </w:r>
      <w:r w:rsidRPr="00B3067F">
        <w:rPr>
          <w:rFonts w:cs="Arial"/>
          <w:szCs w:val="24"/>
        </w:rPr>
        <w:t xml:space="preserve">, that an increase in gaming machines in the </w:t>
      </w:r>
      <w:r>
        <w:rPr>
          <w:rFonts w:cs="Arial"/>
          <w:szCs w:val="24"/>
        </w:rPr>
        <w:t>Northern Territory</w:t>
      </w:r>
      <w:r w:rsidRPr="00B3067F">
        <w:rPr>
          <w:rFonts w:cs="Arial"/>
          <w:szCs w:val="24"/>
        </w:rPr>
        <w:t xml:space="preserve"> will have an overall negative effect on the health, social and economic welfare of at least a proportion of the </w:t>
      </w:r>
      <w:r>
        <w:rPr>
          <w:rFonts w:cs="Arial"/>
          <w:szCs w:val="24"/>
        </w:rPr>
        <w:t xml:space="preserve">overall </w:t>
      </w:r>
      <w:r w:rsidRPr="00B3067F">
        <w:rPr>
          <w:rFonts w:cs="Arial"/>
          <w:szCs w:val="24"/>
        </w:rPr>
        <w:t>population.</w:t>
      </w:r>
    </w:p>
    <w:p w:rsidR="00441883" w:rsidRDefault="00441883">
      <w:pPr>
        <w:spacing w:after="0"/>
        <w:rPr>
          <w:rFonts w:cs="Arial"/>
          <w:szCs w:val="24"/>
        </w:rPr>
      </w:pPr>
      <w:r>
        <w:rPr>
          <w:rFonts w:cs="Arial"/>
          <w:szCs w:val="24"/>
        </w:rPr>
        <w:br w:type="page"/>
      </w:r>
    </w:p>
    <w:p w:rsidR="008934B6" w:rsidRDefault="008934B6" w:rsidP="008934B6">
      <w:pPr>
        <w:keepNext/>
        <w:spacing w:after="120"/>
        <w:ind w:left="567" w:hanging="567"/>
        <w:jc w:val="both"/>
        <w:rPr>
          <w:rFonts w:cs="Arial"/>
          <w:szCs w:val="24"/>
        </w:rPr>
      </w:pPr>
      <w:r>
        <w:rPr>
          <w:rFonts w:cs="Arial"/>
          <w:szCs w:val="24"/>
        </w:rPr>
        <w:lastRenderedPageBreak/>
        <w:t>6</w:t>
      </w:r>
      <w:r w:rsidR="00F657FA">
        <w:rPr>
          <w:rFonts w:cs="Arial"/>
          <w:szCs w:val="24"/>
        </w:rPr>
        <w:t>5</w:t>
      </w:r>
      <w:r>
        <w:rPr>
          <w:rFonts w:cs="Arial"/>
          <w:szCs w:val="24"/>
        </w:rPr>
        <w:t>.</w:t>
      </w:r>
      <w:r>
        <w:rPr>
          <w:rFonts w:cs="Arial"/>
          <w:szCs w:val="24"/>
        </w:rPr>
        <w:tab/>
      </w:r>
      <w:r w:rsidRPr="00B3067F">
        <w:rPr>
          <w:rFonts w:cs="Arial"/>
          <w:szCs w:val="24"/>
        </w:rPr>
        <w:t>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accessing homelessness services in the Northern Territory.</w:t>
      </w:r>
    </w:p>
    <w:p w:rsidR="008934B6" w:rsidRDefault="00F657FA" w:rsidP="008934B6">
      <w:pPr>
        <w:keepNext/>
        <w:spacing w:after="120"/>
        <w:ind w:left="567" w:hanging="567"/>
        <w:jc w:val="both"/>
        <w:rPr>
          <w:rFonts w:cs="Arial"/>
          <w:szCs w:val="24"/>
        </w:rPr>
      </w:pPr>
      <w:r>
        <w:rPr>
          <w:rFonts w:cs="Arial"/>
          <w:szCs w:val="24"/>
        </w:rPr>
        <w:t>66</w:t>
      </w:r>
      <w:r w:rsidR="008934B6">
        <w:rPr>
          <w:rFonts w:cs="Arial"/>
          <w:szCs w:val="24"/>
        </w:rPr>
        <w:t>.</w:t>
      </w:r>
      <w:r w:rsidR="008934B6">
        <w:rPr>
          <w:rFonts w:cs="Arial"/>
          <w:szCs w:val="24"/>
        </w:rPr>
        <w:tab/>
      </w:r>
      <w:r w:rsidR="008934B6" w:rsidRPr="00B3067F">
        <w:rPr>
          <w:rFonts w:cs="Arial"/>
          <w:szCs w:val="24"/>
        </w:rPr>
        <w:t>Amity states that r</w:t>
      </w:r>
      <w:r w:rsidR="008934B6" w:rsidRPr="00F1351E">
        <w:rPr>
          <w:rFonts w:cs="Arial"/>
          <w:szCs w:val="24"/>
        </w:rPr>
        <w:t>esearch further indicates that 27% of the adult population in the Northern Territory participate in the use of gaming machines and problem gamblers spend on average $30</w:t>
      </w:r>
      <w:r w:rsidR="008934B6">
        <w:rPr>
          <w:rFonts w:cs="Arial"/>
          <w:szCs w:val="24"/>
        </w:rPr>
        <w:t> </w:t>
      </w:r>
      <w:r w:rsidR="008934B6" w:rsidRPr="00F1351E">
        <w:rPr>
          <w:rFonts w:cs="Arial"/>
          <w:szCs w:val="24"/>
        </w:rPr>
        <w:t>000 per annum.  During 2012-13</w:t>
      </w:r>
      <w:r w:rsidR="008934B6" w:rsidRPr="008F70BE">
        <w:rPr>
          <w:rFonts w:cs="Arial"/>
          <w:szCs w:val="24"/>
        </w:rPr>
        <w:t>, Amity state that the average net loss by players in community venues (pubs &amp; clubs) in the Northern Territory was $141 per machine, per day equating to approximately $50</w:t>
      </w:r>
      <w:r w:rsidR="008934B6">
        <w:rPr>
          <w:rFonts w:cs="Arial"/>
          <w:szCs w:val="24"/>
        </w:rPr>
        <w:t> </w:t>
      </w:r>
      <w:r w:rsidR="008934B6" w:rsidRPr="008F70BE">
        <w:rPr>
          <w:rFonts w:cs="Arial"/>
          <w:szCs w:val="24"/>
        </w:rPr>
        <w:t>000 per machine per year.</w:t>
      </w:r>
    </w:p>
    <w:p w:rsidR="008934B6" w:rsidRDefault="00F657FA" w:rsidP="008934B6">
      <w:pPr>
        <w:keepNext/>
        <w:spacing w:after="120"/>
        <w:ind w:left="567" w:hanging="567"/>
        <w:jc w:val="both"/>
        <w:rPr>
          <w:rFonts w:cs="Arial"/>
          <w:bCs/>
          <w:szCs w:val="22"/>
        </w:rPr>
      </w:pPr>
      <w:r>
        <w:rPr>
          <w:rFonts w:cs="Arial"/>
          <w:szCs w:val="24"/>
        </w:rPr>
        <w:t>6</w:t>
      </w:r>
      <w:r w:rsidR="008934B6">
        <w:rPr>
          <w:rFonts w:cs="Arial"/>
          <w:szCs w:val="24"/>
        </w:rPr>
        <w:t>7.</w:t>
      </w:r>
      <w:r w:rsidR="008934B6">
        <w:rPr>
          <w:rFonts w:cs="Arial"/>
          <w:szCs w:val="24"/>
        </w:rPr>
        <w:tab/>
      </w:r>
      <w:r w:rsidR="008934B6" w:rsidRPr="008F70BE">
        <w:rPr>
          <w:rFonts w:cs="Arial"/>
          <w:bCs/>
          <w:szCs w:val="22"/>
        </w:rPr>
        <w:t xml:space="preserve">Amity also advise that as their primary focus is on service delivery, they do not have the resources to analyse client data specifically in relation to the </w:t>
      </w:r>
      <w:r w:rsidR="008934B6">
        <w:rPr>
          <w:rFonts w:cs="Arial"/>
          <w:bCs/>
          <w:szCs w:val="22"/>
        </w:rPr>
        <w:t>venue</w:t>
      </w:r>
      <w:r w:rsidR="008934B6" w:rsidRPr="008F70BE">
        <w:rPr>
          <w:rFonts w:cs="Arial"/>
          <w:bCs/>
          <w:szCs w:val="22"/>
        </w:rPr>
        <w:t xml:space="preserve"> and are therefore unable to comment on the number of individuals that have been counselled by Amity in </w:t>
      </w:r>
      <w:r w:rsidR="008934B6" w:rsidRPr="008F70BE">
        <w:rPr>
          <w:rFonts w:cs="Arial"/>
          <w:szCs w:val="24"/>
        </w:rPr>
        <w:t>relation</w:t>
      </w:r>
      <w:r w:rsidR="008934B6" w:rsidRPr="008F70BE">
        <w:rPr>
          <w:rFonts w:cs="Arial"/>
          <w:bCs/>
          <w:szCs w:val="22"/>
        </w:rPr>
        <w:t xml:space="preserve"> to gambling related issues in the last 12 months.</w:t>
      </w:r>
    </w:p>
    <w:p w:rsidR="008934B6" w:rsidRPr="008F70BE" w:rsidRDefault="00F657FA" w:rsidP="008934B6">
      <w:pPr>
        <w:keepNext/>
        <w:spacing w:after="120"/>
        <w:ind w:left="567" w:hanging="567"/>
        <w:jc w:val="both"/>
        <w:rPr>
          <w:rFonts w:cs="Arial"/>
          <w:bCs/>
          <w:szCs w:val="22"/>
        </w:rPr>
      </w:pPr>
      <w:r>
        <w:rPr>
          <w:rFonts w:cs="Arial"/>
          <w:bCs/>
          <w:szCs w:val="22"/>
        </w:rPr>
        <w:t>68</w:t>
      </w:r>
      <w:r w:rsidR="008934B6">
        <w:rPr>
          <w:rFonts w:cs="Arial"/>
          <w:bCs/>
          <w:szCs w:val="22"/>
        </w:rPr>
        <w:t>.</w:t>
      </w:r>
      <w:r w:rsidR="008934B6">
        <w:rPr>
          <w:rFonts w:cs="Arial"/>
          <w:bCs/>
          <w:szCs w:val="22"/>
        </w:rPr>
        <w:tab/>
        <w:t xml:space="preserve">Clearly </w:t>
      </w:r>
      <w:r w:rsidR="008934B6" w:rsidRPr="008F70BE">
        <w:rPr>
          <w:rFonts w:cs="Arial"/>
          <w:bCs/>
          <w:szCs w:val="22"/>
        </w:rPr>
        <w:t xml:space="preserve">Amity’s comments are </w:t>
      </w:r>
      <w:r w:rsidR="008934B6">
        <w:rPr>
          <w:rFonts w:cs="Arial"/>
          <w:bCs/>
          <w:szCs w:val="22"/>
        </w:rPr>
        <w:t>g</w:t>
      </w:r>
      <w:r w:rsidR="008934B6" w:rsidRPr="008F70BE">
        <w:rPr>
          <w:rFonts w:cs="Arial"/>
          <w:bCs/>
          <w:szCs w:val="22"/>
        </w:rPr>
        <w:t>eneral</w:t>
      </w:r>
      <w:r w:rsidR="008934B6">
        <w:rPr>
          <w:rFonts w:cs="Arial"/>
          <w:bCs/>
          <w:szCs w:val="22"/>
        </w:rPr>
        <w:t xml:space="preserve"> in</w:t>
      </w:r>
      <w:r w:rsidR="008934B6" w:rsidRPr="008F70BE">
        <w:rPr>
          <w:rFonts w:cs="Arial"/>
          <w:bCs/>
          <w:szCs w:val="22"/>
        </w:rPr>
        <w:t xml:space="preserve"> nature </w:t>
      </w:r>
      <w:r w:rsidR="008934B6">
        <w:rPr>
          <w:rFonts w:cs="Arial"/>
          <w:bCs/>
          <w:szCs w:val="22"/>
        </w:rPr>
        <w:t>with respect</w:t>
      </w:r>
      <w:r w:rsidR="008934B6" w:rsidRPr="008F70BE">
        <w:rPr>
          <w:rFonts w:cs="Arial"/>
          <w:bCs/>
          <w:szCs w:val="22"/>
        </w:rPr>
        <w:t xml:space="preserve"> to their concerns </w:t>
      </w:r>
      <w:r w:rsidR="008934B6">
        <w:rPr>
          <w:rFonts w:cs="Arial"/>
          <w:bCs/>
          <w:szCs w:val="22"/>
        </w:rPr>
        <w:t xml:space="preserve">about </w:t>
      </w:r>
      <w:r w:rsidR="008934B6" w:rsidRPr="008F70BE">
        <w:rPr>
          <w:rFonts w:cs="Arial"/>
          <w:bCs/>
          <w:szCs w:val="22"/>
        </w:rPr>
        <w:t>gambling and its potential negative impacts on a wider community</w:t>
      </w:r>
      <w:r w:rsidR="008934B6">
        <w:rPr>
          <w:rFonts w:cs="Arial"/>
          <w:bCs/>
          <w:szCs w:val="22"/>
        </w:rPr>
        <w:t>.  Further, they have made no specific submissions in relation to this application or the premises.  It may however be accepted</w:t>
      </w:r>
      <w:r w:rsidR="008934B6" w:rsidRPr="008F70BE">
        <w:rPr>
          <w:rFonts w:cs="Arial"/>
          <w:bCs/>
          <w:szCs w:val="22"/>
        </w:rPr>
        <w:t xml:space="preserve"> Amity are unlikely to support any application for an increase in gaming machines, regardless of which venue may apply.  I certainly acknowledge that Amity, like many organisations find allocating resources to submissions such as the one made, difficult however I am also mindful that in taking into account generalised statements in relation to the impact of gaming machines may also be </w:t>
      </w:r>
      <w:r w:rsidR="008934B6" w:rsidRPr="008F70BE">
        <w:rPr>
          <w:rFonts w:cs="Arial"/>
          <w:szCs w:val="24"/>
        </w:rPr>
        <w:t>considered</w:t>
      </w:r>
      <w:r w:rsidR="008934B6" w:rsidRPr="008F70BE">
        <w:rPr>
          <w:rFonts w:cs="Arial"/>
          <w:bCs/>
          <w:szCs w:val="22"/>
        </w:rPr>
        <w:t xml:space="preserve"> by the Applicant as an unjust approach to the assessment of this application. </w:t>
      </w:r>
      <w:r w:rsidR="008934B6">
        <w:rPr>
          <w:rFonts w:cs="Arial"/>
          <w:bCs/>
          <w:szCs w:val="22"/>
        </w:rPr>
        <w:t xml:space="preserve"> </w:t>
      </w:r>
      <w:r w:rsidR="008934B6" w:rsidRPr="008F70BE">
        <w:rPr>
          <w:rFonts w:cs="Arial"/>
          <w:bCs/>
          <w:szCs w:val="22"/>
        </w:rPr>
        <w:t xml:space="preserve">As such, I note the generalised concerns </w:t>
      </w:r>
      <w:proofErr w:type="gramStart"/>
      <w:r w:rsidR="008934B6" w:rsidRPr="008F70BE">
        <w:rPr>
          <w:rFonts w:cs="Arial"/>
          <w:bCs/>
          <w:szCs w:val="22"/>
        </w:rPr>
        <w:t>raised</w:t>
      </w:r>
      <w:proofErr w:type="gramEnd"/>
      <w:r w:rsidR="008934B6" w:rsidRPr="008F70BE">
        <w:rPr>
          <w:rFonts w:cs="Arial"/>
          <w:bCs/>
          <w:szCs w:val="22"/>
        </w:rPr>
        <w:t xml:space="preserve"> by Amity however I am not of the view that these comments alone can be afforded sufficient weight to persuade me to reject the application before me.</w:t>
      </w:r>
    </w:p>
    <w:p w:rsidR="008934B6" w:rsidRPr="006F6EFC" w:rsidRDefault="008934B6" w:rsidP="006F6EFC">
      <w:pPr>
        <w:pStyle w:val="Heading3"/>
      </w:pPr>
      <w:r w:rsidRPr="006F6EFC">
        <w:t>Gross monthly profit of existing gaming machines operated on the premises</w:t>
      </w:r>
    </w:p>
    <w:p w:rsidR="008934B6" w:rsidRDefault="00F657FA" w:rsidP="008934B6">
      <w:pPr>
        <w:keepLines/>
        <w:spacing w:after="240"/>
        <w:ind w:left="567" w:hanging="567"/>
        <w:jc w:val="both"/>
        <w:rPr>
          <w:rFonts w:cs="Arial"/>
          <w:szCs w:val="24"/>
        </w:rPr>
      </w:pPr>
      <w:r>
        <w:rPr>
          <w:rFonts w:cs="Arial"/>
          <w:bCs/>
          <w:szCs w:val="22"/>
        </w:rPr>
        <w:t>69</w:t>
      </w:r>
      <w:r w:rsidR="008934B6">
        <w:rPr>
          <w:rFonts w:cs="Arial"/>
          <w:bCs/>
          <w:szCs w:val="22"/>
        </w:rPr>
        <w:t>.</w:t>
      </w:r>
      <w:r w:rsidR="008934B6">
        <w:rPr>
          <w:rFonts w:cs="Arial"/>
          <w:bCs/>
          <w:szCs w:val="22"/>
        </w:rPr>
        <w:tab/>
      </w:r>
      <w:r w:rsidR="008934B6" w:rsidRPr="00673D10">
        <w:rPr>
          <w:rFonts w:cs="Arial"/>
          <w:bCs/>
          <w:szCs w:val="22"/>
        </w:rPr>
        <w:t xml:space="preserve">Statistical information held by Licensing NT indicates that for </w:t>
      </w:r>
      <w:r w:rsidR="008934B6" w:rsidRPr="00673D10">
        <w:rPr>
          <w:rFonts w:cs="Arial"/>
          <w:szCs w:val="24"/>
        </w:rPr>
        <w:t xml:space="preserve">the majority of venues with gaming machines in the Northern Territory for the 2014/15 financial year, the </w:t>
      </w:r>
      <w:r w:rsidR="008934B6" w:rsidRPr="00673D10">
        <w:rPr>
          <w:rFonts w:cs="Arial"/>
          <w:bCs/>
          <w:szCs w:val="22"/>
        </w:rPr>
        <w:t>average gross monthly profit is $5,950 per machine</w:t>
      </w:r>
      <w:proofErr w:type="gramStart"/>
      <w:r w:rsidR="008934B6" w:rsidRPr="00673D10">
        <w:rPr>
          <w:rFonts w:cs="Arial"/>
          <w:bCs/>
          <w:szCs w:val="22"/>
        </w:rPr>
        <w:t xml:space="preserve">.  </w:t>
      </w:r>
      <w:proofErr w:type="gramEnd"/>
      <w:r w:rsidR="008934B6" w:rsidRPr="00673D10">
        <w:rPr>
          <w:rFonts w:cs="Arial"/>
          <w:szCs w:val="24"/>
        </w:rPr>
        <w:t xml:space="preserve">The </w:t>
      </w:r>
      <w:r w:rsidR="00061EC9">
        <w:rPr>
          <w:rFonts w:cs="Arial"/>
          <w:szCs w:val="24"/>
        </w:rPr>
        <w:t>Nightcliff Sports</w:t>
      </w:r>
      <w:r w:rsidR="008934B6">
        <w:rPr>
          <w:rFonts w:cs="Arial"/>
          <w:szCs w:val="24"/>
        </w:rPr>
        <w:t xml:space="preserve"> Club</w:t>
      </w:r>
      <w:r w:rsidR="008934B6" w:rsidRPr="00673D10">
        <w:rPr>
          <w:rFonts w:cs="Arial"/>
          <w:bCs/>
          <w:szCs w:val="22"/>
        </w:rPr>
        <w:t xml:space="preserve"> records </w:t>
      </w:r>
      <w:r w:rsidR="00061EC9">
        <w:rPr>
          <w:rFonts w:cs="Arial"/>
          <w:bCs/>
          <w:szCs w:val="22"/>
        </w:rPr>
        <w:t>a slightly higher average per machine of $6,529</w:t>
      </w:r>
      <w:r w:rsidR="002657F9">
        <w:rPr>
          <w:rFonts w:cs="Arial"/>
          <w:bCs/>
          <w:szCs w:val="22"/>
        </w:rPr>
        <w:t>.</w:t>
      </w:r>
    </w:p>
    <w:p w:rsidR="008934B6" w:rsidRPr="00B3067F" w:rsidRDefault="008934B6" w:rsidP="008934B6">
      <w:pPr>
        <w:keepLines/>
        <w:spacing w:after="240"/>
        <w:ind w:left="567" w:hanging="567"/>
        <w:jc w:val="both"/>
        <w:rPr>
          <w:rFonts w:cs="Arial"/>
          <w:szCs w:val="24"/>
        </w:rPr>
      </w:pPr>
      <w:r>
        <w:rPr>
          <w:rFonts w:cs="Arial"/>
          <w:szCs w:val="24"/>
        </w:rPr>
        <w:t>7</w:t>
      </w:r>
      <w:r w:rsidR="00F657FA">
        <w:rPr>
          <w:rFonts w:cs="Arial"/>
          <w:szCs w:val="24"/>
        </w:rPr>
        <w:t>0</w:t>
      </w:r>
      <w:r>
        <w:rPr>
          <w:rFonts w:cs="Arial"/>
          <w:szCs w:val="24"/>
        </w:rPr>
        <w:t>.</w:t>
      </w:r>
      <w:r>
        <w:rPr>
          <w:rFonts w:cs="Arial"/>
          <w:szCs w:val="24"/>
        </w:rPr>
        <w:tab/>
        <w:t>The financial analysis provided with the CIA indicates the Applicant is in a strong financial position and is capable of financing the purchase of additional machines.</w:t>
      </w:r>
    </w:p>
    <w:p w:rsidR="008934B6" w:rsidRPr="006F6EFC" w:rsidRDefault="008934B6" w:rsidP="006F6EFC">
      <w:pPr>
        <w:pStyle w:val="Heading3"/>
      </w:pPr>
      <w:r w:rsidRPr="006F6EFC">
        <w:t>Hours and days when the premises are open for the sale of liquor</w:t>
      </w:r>
    </w:p>
    <w:p w:rsidR="002657F9" w:rsidRDefault="008934B6" w:rsidP="005B363A">
      <w:pPr>
        <w:ind w:left="720" w:hanging="720"/>
        <w:rPr>
          <w:b/>
          <w:bCs/>
        </w:rPr>
      </w:pPr>
      <w:r>
        <w:t>7</w:t>
      </w:r>
      <w:r w:rsidR="00F657FA">
        <w:t>1</w:t>
      </w:r>
      <w:r w:rsidRPr="00D5534C">
        <w:t>.</w:t>
      </w:r>
      <w:r>
        <w:tab/>
      </w:r>
      <w:r w:rsidR="008E00F7" w:rsidRPr="008E00F7">
        <w:t xml:space="preserve">The current trading hours for the </w:t>
      </w:r>
      <w:r w:rsidR="002657F9">
        <w:t xml:space="preserve">venue </w:t>
      </w:r>
      <w:r w:rsidR="008E00F7" w:rsidRPr="008E00F7">
        <w:t xml:space="preserve">are </w:t>
      </w:r>
      <w:r w:rsidR="002657F9">
        <w:t xml:space="preserve">Sunday, </w:t>
      </w:r>
      <w:r w:rsidR="008E00F7" w:rsidRPr="008E00F7">
        <w:t>10</w:t>
      </w:r>
      <w:r w:rsidR="002657F9">
        <w:t>:</w:t>
      </w:r>
      <w:r w:rsidR="008E00F7" w:rsidRPr="008E00F7">
        <w:t>00</w:t>
      </w:r>
      <w:r w:rsidR="002657F9">
        <w:t>hrs to 22:00hrs</w:t>
      </w:r>
      <w:r w:rsidR="008E00F7" w:rsidRPr="008E00F7">
        <w:t xml:space="preserve">, </w:t>
      </w:r>
      <w:r w:rsidR="002657F9">
        <w:t xml:space="preserve">Monday to Wednesday, 10:00hrs to 23:30hrs, Thursday 10:00hrs to 01:30hrs the following day and Friday and Saturday, </w:t>
      </w:r>
      <w:r w:rsidR="008E00F7" w:rsidRPr="008E00F7">
        <w:t>10</w:t>
      </w:r>
      <w:r w:rsidR="002657F9">
        <w:t>:00hrs to 02:00hrs the following day</w:t>
      </w:r>
    </w:p>
    <w:p w:rsidR="008934B6" w:rsidRPr="00D5534C" w:rsidRDefault="00F657FA" w:rsidP="005B363A">
      <w:pPr>
        <w:ind w:left="720" w:hanging="720"/>
      </w:pPr>
      <w:r>
        <w:t>7</w:t>
      </w:r>
      <w:r w:rsidR="008E00F7" w:rsidRPr="008E00F7">
        <w:t>2.</w:t>
      </w:r>
      <w:r w:rsidR="008E00F7" w:rsidRPr="008E00F7">
        <w:tab/>
        <w:t>The trading hours are consistent with the authorised trading hours for sporting based community clubs holding a club liquor licence.</w:t>
      </w:r>
      <w:r w:rsidR="008934B6">
        <w:tab/>
      </w:r>
    </w:p>
    <w:p w:rsidR="008934B6" w:rsidRPr="00587446" w:rsidRDefault="008934B6" w:rsidP="008934B6">
      <w:pPr>
        <w:pStyle w:val="Heading3"/>
      </w:pPr>
      <w:r w:rsidRPr="00587446">
        <w:t>Size, layout and facilities of the premises</w:t>
      </w:r>
    </w:p>
    <w:p w:rsidR="008934B6" w:rsidRDefault="008934B6" w:rsidP="008934B6">
      <w:pPr>
        <w:keepLines/>
        <w:spacing w:after="240"/>
        <w:ind w:left="567" w:hanging="567"/>
        <w:jc w:val="both"/>
        <w:rPr>
          <w:rFonts w:cs="Arial"/>
          <w:bCs/>
          <w:szCs w:val="22"/>
        </w:rPr>
      </w:pPr>
      <w:r>
        <w:rPr>
          <w:rFonts w:cs="Arial"/>
          <w:bCs/>
          <w:szCs w:val="22"/>
        </w:rPr>
        <w:t>7</w:t>
      </w:r>
      <w:r w:rsidR="00F657FA">
        <w:rPr>
          <w:rFonts w:cs="Arial"/>
          <w:bCs/>
          <w:szCs w:val="22"/>
        </w:rPr>
        <w:t>3</w:t>
      </w:r>
      <w:r>
        <w:rPr>
          <w:rFonts w:cs="Arial"/>
          <w:bCs/>
          <w:szCs w:val="22"/>
        </w:rPr>
        <w:t>.</w:t>
      </w:r>
      <w:r>
        <w:rPr>
          <w:rFonts w:cs="Arial"/>
          <w:bCs/>
          <w:szCs w:val="22"/>
        </w:rPr>
        <w:tab/>
        <w:t xml:space="preserve">The </w:t>
      </w:r>
      <w:r w:rsidR="008E00F7">
        <w:rPr>
          <w:rFonts w:cs="Arial"/>
          <w:bCs/>
          <w:szCs w:val="22"/>
        </w:rPr>
        <w:t xml:space="preserve">Applicant has </w:t>
      </w:r>
      <w:r w:rsidR="002657F9">
        <w:rPr>
          <w:rFonts w:cs="Arial"/>
          <w:bCs/>
          <w:szCs w:val="22"/>
        </w:rPr>
        <w:t>stated there are only minor alterations required to facilitate this increase and they will not constitute material alterations.</w:t>
      </w:r>
    </w:p>
    <w:p w:rsidR="00441883" w:rsidRDefault="00441883">
      <w:pPr>
        <w:spacing w:after="0"/>
        <w:rPr>
          <w:rFonts w:cs="Arial"/>
          <w:b/>
          <w:bCs/>
          <w:sz w:val="24"/>
          <w:szCs w:val="26"/>
        </w:rPr>
      </w:pPr>
      <w:r>
        <w:br w:type="page"/>
      </w:r>
    </w:p>
    <w:p w:rsidR="008934B6" w:rsidRPr="00587446" w:rsidRDefault="008934B6" w:rsidP="008934B6">
      <w:pPr>
        <w:pStyle w:val="Heading3"/>
      </w:pPr>
      <w:r w:rsidRPr="00587446">
        <w:lastRenderedPageBreak/>
        <w:t>Other matters the Director-General considers relevant</w:t>
      </w:r>
    </w:p>
    <w:p w:rsidR="008934B6" w:rsidRDefault="008934B6" w:rsidP="008934B6">
      <w:pPr>
        <w:spacing w:after="240"/>
        <w:ind w:left="567" w:hanging="567"/>
        <w:jc w:val="both"/>
        <w:rPr>
          <w:rFonts w:cs="Arial"/>
          <w:bCs/>
          <w:szCs w:val="22"/>
        </w:rPr>
      </w:pPr>
      <w:r>
        <w:rPr>
          <w:rFonts w:cs="Arial"/>
          <w:bCs/>
          <w:szCs w:val="22"/>
        </w:rPr>
        <w:t>7</w:t>
      </w:r>
      <w:r w:rsidR="00F657FA">
        <w:rPr>
          <w:rFonts w:cs="Arial"/>
          <w:bCs/>
          <w:szCs w:val="22"/>
        </w:rPr>
        <w:t>4</w:t>
      </w:r>
      <w:r>
        <w:rPr>
          <w:rFonts w:cs="Arial"/>
          <w:bCs/>
          <w:szCs w:val="22"/>
        </w:rPr>
        <w:t>.</w:t>
      </w:r>
      <w:r>
        <w:rPr>
          <w:rFonts w:cs="Arial"/>
          <w:bCs/>
          <w:szCs w:val="22"/>
        </w:rPr>
        <w:tab/>
      </w:r>
      <w:r w:rsidRPr="00F03788">
        <w:rPr>
          <w:rFonts w:cs="Arial"/>
          <w:bCs/>
          <w:szCs w:val="22"/>
        </w:rPr>
        <w:t xml:space="preserve">The Gaming and Liquor Amendment Bill of 2015 amended the Act to effectively lift the previously imposed cap on authorisations of gaming machines in licensed hotels, taverns and clubs in the Northern Territory.  As well as lifting the overall cap, the amendments also provided for an increase of the number of gaming machines for </w:t>
      </w:r>
      <w:r w:rsidR="0037611B">
        <w:rPr>
          <w:rFonts w:cs="Arial"/>
          <w:bCs/>
          <w:szCs w:val="22"/>
        </w:rPr>
        <w:t>clubs</w:t>
      </w:r>
      <w:r w:rsidRPr="00F03788">
        <w:rPr>
          <w:rFonts w:cs="Arial"/>
          <w:bCs/>
          <w:szCs w:val="22"/>
        </w:rPr>
        <w:t xml:space="preserve"> with existing </w:t>
      </w:r>
      <w:r w:rsidRPr="00F03788">
        <w:rPr>
          <w:rFonts w:cs="Arial"/>
          <w:szCs w:val="24"/>
        </w:rPr>
        <w:t>gaming</w:t>
      </w:r>
      <w:r w:rsidRPr="00F03788">
        <w:rPr>
          <w:rFonts w:cs="Arial"/>
          <w:bCs/>
          <w:szCs w:val="22"/>
        </w:rPr>
        <w:t xml:space="preserve"> machines from </w:t>
      </w:r>
      <w:r w:rsidR="001F5FA9">
        <w:rPr>
          <w:rFonts w:cs="Arial"/>
          <w:bCs/>
          <w:szCs w:val="22"/>
        </w:rPr>
        <w:t>45</w:t>
      </w:r>
      <w:r w:rsidRPr="00F03788">
        <w:rPr>
          <w:rFonts w:cs="Arial"/>
          <w:bCs/>
          <w:szCs w:val="22"/>
        </w:rPr>
        <w:t xml:space="preserve"> to a maximum of </w:t>
      </w:r>
      <w:r w:rsidR="001F5FA9">
        <w:rPr>
          <w:rFonts w:cs="Arial"/>
          <w:bCs/>
          <w:szCs w:val="22"/>
        </w:rPr>
        <w:t>55</w:t>
      </w:r>
      <w:r w:rsidRPr="00F03788">
        <w:rPr>
          <w:rFonts w:cs="Arial"/>
          <w:bCs/>
          <w:szCs w:val="22"/>
        </w:rPr>
        <w:t xml:space="preserve"> gaming machines.  At the time of introducing the amendments, the Minister for Racing, Gaming and Licensing noted that the arbitrary Territory-wide cap was abolished in favour of a rigorous community impact assessment process for new applications and for applications seeking additional gaming machines.</w:t>
      </w:r>
    </w:p>
    <w:p w:rsidR="008934B6" w:rsidRDefault="00F657FA" w:rsidP="008934B6">
      <w:pPr>
        <w:spacing w:after="240"/>
        <w:ind w:left="567" w:hanging="567"/>
        <w:jc w:val="both"/>
        <w:rPr>
          <w:rFonts w:cs="Arial"/>
          <w:bCs/>
          <w:szCs w:val="22"/>
        </w:rPr>
      </w:pPr>
      <w:r>
        <w:rPr>
          <w:rFonts w:cs="Arial"/>
          <w:bCs/>
          <w:szCs w:val="22"/>
        </w:rPr>
        <w:t>75</w:t>
      </w:r>
      <w:r w:rsidR="008934B6">
        <w:rPr>
          <w:rFonts w:cs="Arial"/>
          <w:bCs/>
          <w:szCs w:val="22"/>
        </w:rPr>
        <w:t>.</w:t>
      </w:r>
      <w:r w:rsidR="008934B6">
        <w:rPr>
          <w:rFonts w:cs="Arial"/>
          <w:bCs/>
          <w:szCs w:val="22"/>
        </w:rPr>
        <w:tab/>
      </w:r>
      <w:r w:rsidR="008934B6" w:rsidRPr="00B3067F">
        <w:rPr>
          <w:rFonts w:cs="Arial"/>
          <w:bCs/>
          <w:szCs w:val="22"/>
        </w:rPr>
        <w:t xml:space="preserve">Against that background the Applicant the subject of this decision has presented a well prepared application with strong supporting evidence indicating that this application meets the </w:t>
      </w:r>
      <w:r w:rsidR="008934B6" w:rsidRPr="00B3067F">
        <w:rPr>
          <w:rFonts w:cs="Arial"/>
          <w:szCs w:val="24"/>
        </w:rPr>
        <w:t>requirements</w:t>
      </w:r>
      <w:r w:rsidR="008934B6" w:rsidRPr="00B3067F">
        <w:rPr>
          <w:rFonts w:cs="Arial"/>
          <w:bCs/>
          <w:szCs w:val="22"/>
        </w:rPr>
        <w:t xml:space="preserve"> of the Act in relation to an increase in the authorised number of gaming machines.</w:t>
      </w:r>
    </w:p>
    <w:p w:rsidR="008934B6" w:rsidRDefault="00F657FA" w:rsidP="008934B6">
      <w:pPr>
        <w:spacing w:after="240"/>
        <w:ind w:left="567" w:hanging="567"/>
        <w:jc w:val="both"/>
        <w:rPr>
          <w:rFonts w:cs="Arial"/>
          <w:bCs/>
          <w:szCs w:val="22"/>
        </w:rPr>
      </w:pPr>
      <w:r>
        <w:rPr>
          <w:rFonts w:cs="Arial"/>
          <w:bCs/>
          <w:szCs w:val="22"/>
        </w:rPr>
        <w:t>76</w:t>
      </w:r>
      <w:r w:rsidR="008934B6">
        <w:rPr>
          <w:rFonts w:cs="Arial"/>
          <w:bCs/>
          <w:szCs w:val="22"/>
        </w:rPr>
        <w:t>.</w:t>
      </w:r>
      <w:r w:rsidR="008934B6">
        <w:rPr>
          <w:rFonts w:cs="Arial"/>
          <w:bCs/>
          <w:szCs w:val="22"/>
        </w:rPr>
        <w:tab/>
        <w:t>The comprehensive CIA prepared for the purpose of this application has been analysed in considerable detail</w:t>
      </w:r>
      <w:r w:rsidR="008E00F7">
        <w:rPr>
          <w:rFonts w:cs="Arial"/>
          <w:bCs/>
          <w:szCs w:val="22"/>
        </w:rPr>
        <w:t>.  N</w:t>
      </w:r>
      <w:r w:rsidR="008934B6">
        <w:rPr>
          <w:rFonts w:cs="Arial"/>
          <w:bCs/>
          <w:szCs w:val="22"/>
        </w:rPr>
        <w:t>o issues arise which would preclude the approval of this application.</w:t>
      </w:r>
    </w:p>
    <w:p w:rsidR="008934B6" w:rsidRDefault="00F657FA" w:rsidP="008934B6">
      <w:pPr>
        <w:spacing w:after="240"/>
        <w:ind w:left="567" w:hanging="567"/>
        <w:jc w:val="both"/>
        <w:rPr>
          <w:rFonts w:cs="Arial"/>
          <w:bCs/>
          <w:szCs w:val="22"/>
        </w:rPr>
      </w:pPr>
      <w:r>
        <w:rPr>
          <w:rFonts w:cs="Arial"/>
          <w:bCs/>
          <w:szCs w:val="22"/>
        </w:rPr>
        <w:t>77</w:t>
      </w:r>
      <w:r w:rsidR="008934B6">
        <w:rPr>
          <w:rFonts w:cs="Arial"/>
          <w:bCs/>
          <w:szCs w:val="22"/>
        </w:rPr>
        <w:t>.</w:t>
      </w:r>
      <w:r w:rsidR="008934B6">
        <w:rPr>
          <w:rFonts w:cs="Arial"/>
          <w:bCs/>
          <w:szCs w:val="22"/>
        </w:rPr>
        <w:tab/>
      </w:r>
      <w:r w:rsidR="008934B6" w:rsidRPr="00F03788">
        <w:rPr>
          <w:rFonts w:cs="Arial"/>
          <w:bCs/>
          <w:szCs w:val="22"/>
        </w:rPr>
        <w:t xml:space="preserve">The harms associated with gaming machines and problem gambling are well documented and well known within the general community.  I am satisfied that the Applicant in this instance has in place policies and procedures that will have the effect of minimising the harms </w:t>
      </w:r>
      <w:r w:rsidR="008934B6" w:rsidRPr="00F03788">
        <w:rPr>
          <w:rFonts w:cs="Arial"/>
          <w:szCs w:val="24"/>
        </w:rPr>
        <w:t>associated</w:t>
      </w:r>
      <w:r w:rsidR="008934B6" w:rsidRPr="00F03788">
        <w:rPr>
          <w:rFonts w:cs="Arial"/>
          <w:bCs/>
          <w:szCs w:val="22"/>
        </w:rPr>
        <w:t xml:space="preserve"> with gambling generally and the use of gaming machines specifically at the venue under consideration.</w:t>
      </w:r>
    </w:p>
    <w:p w:rsidR="008934B6" w:rsidRDefault="00F657FA" w:rsidP="008934B6">
      <w:pPr>
        <w:spacing w:after="240"/>
        <w:ind w:left="567" w:hanging="567"/>
        <w:jc w:val="both"/>
        <w:rPr>
          <w:rFonts w:cs="Arial"/>
          <w:bCs/>
          <w:szCs w:val="22"/>
        </w:rPr>
      </w:pPr>
      <w:r>
        <w:rPr>
          <w:rFonts w:cs="Arial"/>
          <w:bCs/>
          <w:szCs w:val="22"/>
        </w:rPr>
        <w:t>78</w:t>
      </w:r>
      <w:r w:rsidR="008934B6">
        <w:rPr>
          <w:rFonts w:cs="Arial"/>
          <w:bCs/>
          <w:szCs w:val="22"/>
        </w:rPr>
        <w:t>.</w:t>
      </w:r>
      <w:r w:rsidR="008934B6">
        <w:rPr>
          <w:rFonts w:cs="Arial"/>
          <w:bCs/>
          <w:szCs w:val="22"/>
        </w:rPr>
        <w:tab/>
      </w:r>
      <w:r w:rsidR="008934B6" w:rsidRPr="00F03788">
        <w:rPr>
          <w:rFonts w:cs="Arial"/>
          <w:bCs/>
          <w:szCs w:val="22"/>
        </w:rPr>
        <w:t>Whilst noting no specific objections w</w:t>
      </w:r>
      <w:r w:rsidR="008934B6">
        <w:rPr>
          <w:rFonts w:cs="Arial"/>
          <w:bCs/>
          <w:szCs w:val="22"/>
        </w:rPr>
        <w:t>ere</w:t>
      </w:r>
      <w:r w:rsidR="008934B6" w:rsidRPr="00F03788">
        <w:rPr>
          <w:rFonts w:cs="Arial"/>
          <w:bCs/>
          <w:szCs w:val="22"/>
        </w:rPr>
        <w:t xml:space="preserve"> lodged Amity has submitted previously a well-researched and evidence based position paper.  Amity clearly does not support any applications, suggesting the Northern Territory is not underserved with gaming machines at </w:t>
      </w:r>
      <w:r w:rsidR="008934B6" w:rsidRPr="00F03788">
        <w:rPr>
          <w:rFonts w:cs="Arial"/>
          <w:szCs w:val="24"/>
        </w:rPr>
        <w:t>present</w:t>
      </w:r>
      <w:r w:rsidR="008934B6" w:rsidRPr="00F03788">
        <w:rPr>
          <w:rFonts w:cs="Arial"/>
          <w:bCs/>
          <w:szCs w:val="22"/>
        </w:rPr>
        <w:t xml:space="preserve"> and an increase in the number of gaming machines is a reflection of increasing gaming revenue which will, in Amity’s submission, have an overall negative health, social and economic impact on the community and the Northern Territory as a whole.</w:t>
      </w:r>
    </w:p>
    <w:p w:rsidR="008934B6" w:rsidRDefault="00F657FA" w:rsidP="008934B6">
      <w:pPr>
        <w:spacing w:after="240"/>
        <w:ind w:left="567" w:hanging="567"/>
        <w:jc w:val="both"/>
        <w:rPr>
          <w:rFonts w:cs="Arial"/>
          <w:bCs/>
          <w:szCs w:val="22"/>
        </w:rPr>
      </w:pPr>
      <w:r>
        <w:rPr>
          <w:rFonts w:cs="Arial"/>
          <w:bCs/>
          <w:szCs w:val="22"/>
        </w:rPr>
        <w:t>79</w:t>
      </w:r>
      <w:r w:rsidR="008934B6">
        <w:rPr>
          <w:rFonts w:cs="Arial"/>
          <w:bCs/>
          <w:szCs w:val="22"/>
        </w:rPr>
        <w:t>.</w:t>
      </w:r>
      <w:r w:rsidR="008934B6">
        <w:rPr>
          <w:rFonts w:cs="Arial"/>
          <w:bCs/>
          <w:szCs w:val="22"/>
        </w:rPr>
        <w:tab/>
        <w:t>The Applicant has evidenced their previous adherence to gaming laws and regulation, suggesting an adherence to the requirements.</w:t>
      </w:r>
    </w:p>
    <w:p w:rsidR="00441883" w:rsidRDefault="008934B6" w:rsidP="00441883">
      <w:pPr>
        <w:spacing w:after="240"/>
        <w:ind w:left="567" w:hanging="567"/>
        <w:jc w:val="both"/>
        <w:rPr>
          <w:rFonts w:cs="Arial"/>
          <w:bCs/>
          <w:szCs w:val="22"/>
        </w:rPr>
      </w:pPr>
      <w:r>
        <w:rPr>
          <w:rFonts w:cs="Arial"/>
          <w:bCs/>
          <w:szCs w:val="22"/>
        </w:rPr>
        <w:t>8</w:t>
      </w:r>
      <w:r w:rsidR="00F657FA">
        <w:rPr>
          <w:rFonts w:cs="Arial"/>
          <w:bCs/>
          <w:szCs w:val="22"/>
        </w:rPr>
        <w:t>0</w:t>
      </w:r>
      <w:r>
        <w:rPr>
          <w:rFonts w:cs="Arial"/>
          <w:bCs/>
          <w:szCs w:val="22"/>
        </w:rPr>
        <w:t>.</w:t>
      </w:r>
      <w:r>
        <w:rPr>
          <w:rFonts w:cs="Arial"/>
          <w:bCs/>
          <w:szCs w:val="22"/>
        </w:rPr>
        <w:tab/>
        <w:t>There has been no adverse comments or reports received from Licensing NT departmental personnel in relation to the operation of these premises.</w:t>
      </w:r>
    </w:p>
    <w:p w:rsidR="00441883" w:rsidRPr="00441883" w:rsidRDefault="00DD7F4C" w:rsidP="006F6EFC">
      <w:pPr>
        <w:pStyle w:val="Heading2"/>
      </w:pPr>
      <w:r w:rsidRPr="00441883">
        <w:t>Decision</w:t>
      </w:r>
    </w:p>
    <w:p w:rsidR="001E1216" w:rsidRDefault="001E1216" w:rsidP="00441883">
      <w:pPr>
        <w:spacing w:after="240"/>
        <w:ind w:left="567" w:hanging="567"/>
        <w:jc w:val="both"/>
        <w:rPr>
          <w:rFonts w:cs="Arial"/>
          <w:b/>
          <w:szCs w:val="22"/>
        </w:rPr>
      </w:pPr>
      <w:r w:rsidRPr="001E1216">
        <w:rPr>
          <w:szCs w:val="22"/>
        </w:rPr>
        <w:t>8</w:t>
      </w:r>
      <w:r w:rsidR="00F657FA">
        <w:rPr>
          <w:szCs w:val="22"/>
        </w:rPr>
        <w:t>1</w:t>
      </w:r>
      <w:r w:rsidRPr="001E1216">
        <w:rPr>
          <w:szCs w:val="22"/>
        </w:rPr>
        <w:t>.</w:t>
      </w:r>
      <w:r w:rsidRPr="001E1216">
        <w:rPr>
          <w:szCs w:val="22"/>
        </w:rPr>
        <w:tab/>
      </w:r>
      <w:r w:rsidR="00DD7F4C" w:rsidRPr="001E1216">
        <w:rPr>
          <w:rFonts w:cs="Arial"/>
          <w:szCs w:val="22"/>
        </w:rPr>
        <w:t>For the reasons set out above, and in accordance with section 41(3) of the Act I have determined to grant th</w:t>
      </w:r>
      <w:r w:rsidR="008E00F7">
        <w:rPr>
          <w:rFonts w:cs="Arial"/>
          <w:szCs w:val="22"/>
        </w:rPr>
        <w:t xml:space="preserve">is </w:t>
      </w:r>
      <w:r w:rsidR="00DD7F4C" w:rsidRPr="001E1216">
        <w:rPr>
          <w:rFonts w:cs="Arial"/>
          <w:szCs w:val="22"/>
        </w:rPr>
        <w:t xml:space="preserve">application lodged by </w:t>
      </w:r>
      <w:r w:rsidR="002657F9">
        <w:rPr>
          <w:rFonts w:cs="Arial"/>
          <w:szCs w:val="22"/>
        </w:rPr>
        <w:t xml:space="preserve">Nightcliff Sports </w:t>
      </w:r>
      <w:r w:rsidR="002E37F1">
        <w:rPr>
          <w:rFonts w:cs="Arial"/>
          <w:szCs w:val="22"/>
        </w:rPr>
        <w:t>Club Inc</w:t>
      </w:r>
      <w:r w:rsidR="00DD7F4C" w:rsidRPr="001E1216">
        <w:rPr>
          <w:rFonts w:cs="Arial"/>
          <w:szCs w:val="22"/>
        </w:rPr>
        <w:t xml:space="preserve"> and authorise the increase of the number of </w:t>
      </w:r>
      <w:r w:rsidR="00AA16B6" w:rsidRPr="001E1216">
        <w:rPr>
          <w:rFonts w:cs="Arial"/>
          <w:szCs w:val="22"/>
        </w:rPr>
        <w:t xml:space="preserve">gaming machines </w:t>
      </w:r>
      <w:r w:rsidR="00DD7F4C" w:rsidRPr="001E1216">
        <w:rPr>
          <w:rFonts w:cs="Arial"/>
          <w:szCs w:val="22"/>
        </w:rPr>
        <w:t>located at</w:t>
      </w:r>
      <w:r w:rsidR="002E37F1">
        <w:rPr>
          <w:rFonts w:cs="Arial"/>
          <w:szCs w:val="22"/>
        </w:rPr>
        <w:t xml:space="preserve"> the </w:t>
      </w:r>
      <w:r w:rsidR="002657F9">
        <w:rPr>
          <w:rFonts w:cs="Arial"/>
          <w:szCs w:val="22"/>
        </w:rPr>
        <w:t>Nightcliff Sports</w:t>
      </w:r>
      <w:r w:rsidR="002E37F1">
        <w:rPr>
          <w:rFonts w:cs="Arial"/>
          <w:szCs w:val="22"/>
        </w:rPr>
        <w:t xml:space="preserve"> Club </w:t>
      </w:r>
      <w:r w:rsidR="00DD7F4C" w:rsidRPr="001E1216">
        <w:rPr>
          <w:rFonts w:cs="Arial"/>
          <w:szCs w:val="22"/>
        </w:rPr>
        <w:t xml:space="preserve">from the current limit of </w:t>
      </w:r>
      <w:r w:rsidR="002657F9">
        <w:rPr>
          <w:rFonts w:cs="Arial"/>
          <w:szCs w:val="22"/>
        </w:rPr>
        <w:t>22</w:t>
      </w:r>
      <w:r w:rsidR="00DD7F4C" w:rsidRPr="001E1216">
        <w:rPr>
          <w:rFonts w:cs="Arial"/>
          <w:szCs w:val="22"/>
        </w:rPr>
        <w:t xml:space="preserve"> </w:t>
      </w:r>
      <w:r w:rsidR="00AA16B6" w:rsidRPr="001E1216">
        <w:rPr>
          <w:rFonts w:cs="Arial"/>
          <w:szCs w:val="22"/>
        </w:rPr>
        <w:t xml:space="preserve">gaming machines </w:t>
      </w:r>
      <w:r w:rsidR="00DD7F4C" w:rsidRPr="001E1216">
        <w:rPr>
          <w:rFonts w:cs="Arial"/>
          <w:szCs w:val="22"/>
        </w:rPr>
        <w:t xml:space="preserve">to </w:t>
      </w:r>
      <w:r w:rsidR="002657F9">
        <w:rPr>
          <w:rFonts w:cs="Arial"/>
          <w:szCs w:val="22"/>
        </w:rPr>
        <w:t>45</w:t>
      </w:r>
      <w:r w:rsidR="008E00F7">
        <w:rPr>
          <w:rFonts w:cs="Arial"/>
          <w:szCs w:val="22"/>
        </w:rPr>
        <w:t xml:space="preserve"> </w:t>
      </w:r>
      <w:r w:rsidR="00AA16B6" w:rsidRPr="001E1216">
        <w:rPr>
          <w:rFonts w:cs="Arial"/>
          <w:szCs w:val="22"/>
        </w:rPr>
        <w:t>machines</w:t>
      </w:r>
      <w:proofErr w:type="gramStart"/>
      <w:r w:rsidR="00DD7F4C" w:rsidRPr="001E1216">
        <w:rPr>
          <w:rFonts w:cs="Arial"/>
          <w:szCs w:val="22"/>
        </w:rPr>
        <w:t>.</w:t>
      </w:r>
      <w:r w:rsidR="002E37F1">
        <w:rPr>
          <w:rFonts w:cs="Arial"/>
          <w:szCs w:val="22"/>
        </w:rPr>
        <w:t xml:space="preserve">  </w:t>
      </w:r>
      <w:proofErr w:type="gramEnd"/>
      <w:r w:rsidR="002E37F1">
        <w:rPr>
          <w:rFonts w:cs="Arial"/>
          <w:szCs w:val="22"/>
        </w:rPr>
        <w:t xml:space="preserve">This will not take the Applicant over the statutory limit of 55 machines for a club liquor </w:t>
      </w:r>
      <w:proofErr w:type="spellStart"/>
      <w:r w:rsidR="002E37F1">
        <w:rPr>
          <w:rFonts w:cs="Arial"/>
          <w:szCs w:val="22"/>
        </w:rPr>
        <w:t>licen</w:t>
      </w:r>
      <w:bookmarkStart w:id="0" w:name="_GoBack"/>
      <w:bookmarkEnd w:id="0"/>
      <w:r w:rsidR="002E37F1">
        <w:rPr>
          <w:rFonts w:cs="Arial"/>
          <w:szCs w:val="22"/>
        </w:rPr>
        <w:t>see</w:t>
      </w:r>
      <w:proofErr w:type="spellEnd"/>
      <w:r w:rsidR="002E37F1">
        <w:rPr>
          <w:rFonts w:cs="Arial"/>
          <w:szCs w:val="22"/>
        </w:rPr>
        <w:t>.</w:t>
      </w:r>
    </w:p>
    <w:p w:rsidR="003C234E" w:rsidRDefault="001E1216" w:rsidP="005B363A">
      <w:pPr>
        <w:ind w:left="720" w:hanging="720"/>
      </w:pPr>
      <w:r>
        <w:rPr>
          <w:rFonts w:cs="Arial"/>
        </w:rPr>
        <w:t>8</w:t>
      </w:r>
      <w:r w:rsidR="00F657FA">
        <w:rPr>
          <w:rFonts w:cs="Arial"/>
        </w:rPr>
        <w:t>2</w:t>
      </w:r>
      <w:r>
        <w:rPr>
          <w:rFonts w:cs="Arial"/>
        </w:rPr>
        <w:t>.</w:t>
      </w:r>
      <w:r>
        <w:rPr>
          <w:rFonts w:cs="Arial"/>
        </w:rPr>
        <w:tab/>
      </w:r>
      <w:r w:rsidR="003C234E" w:rsidRPr="001E1216">
        <w:t xml:space="preserve">The </w:t>
      </w:r>
      <w:r w:rsidR="003C234E" w:rsidRPr="001E1216">
        <w:rPr>
          <w:rFonts w:cs="Arial"/>
        </w:rPr>
        <w:t>additional</w:t>
      </w:r>
      <w:r w:rsidR="003C234E" w:rsidRPr="001E1216">
        <w:t xml:space="preserve"> approved </w:t>
      </w:r>
      <w:r w:rsidR="002657F9">
        <w:t>23</w:t>
      </w:r>
      <w:r w:rsidR="003C234E" w:rsidRPr="001E1216">
        <w:t xml:space="preserve">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w:t>
      </w:r>
      <w:r w:rsidR="003C234E">
        <w:t>.</w:t>
      </w:r>
    </w:p>
    <w:p w:rsidR="00441883" w:rsidRDefault="00441883">
      <w:pPr>
        <w:spacing w:after="0"/>
        <w:rPr>
          <w:rFonts w:eastAsiaTheme="majorEastAsia" w:cstheme="majorBidi"/>
          <w:b/>
          <w:bCs/>
          <w:iCs/>
          <w:sz w:val="28"/>
          <w:szCs w:val="28"/>
        </w:rPr>
      </w:pPr>
      <w:r>
        <w:br w:type="page"/>
      </w:r>
    </w:p>
    <w:p w:rsidR="001E1216" w:rsidRPr="006F6EFC" w:rsidRDefault="00DD7F4C" w:rsidP="006F6EFC">
      <w:pPr>
        <w:pStyle w:val="Heading2"/>
      </w:pPr>
      <w:r w:rsidRPr="006F6EFC">
        <w:lastRenderedPageBreak/>
        <w:t>Review of Decision</w:t>
      </w:r>
    </w:p>
    <w:p w:rsidR="00DD7F4C" w:rsidRDefault="001E1216" w:rsidP="005B363A">
      <w:pPr>
        <w:ind w:left="720" w:hanging="720"/>
        <w:rPr>
          <w:b/>
        </w:rPr>
      </w:pPr>
      <w:r w:rsidRPr="001E1216">
        <w:t>8</w:t>
      </w:r>
      <w:r w:rsidR="00F657FA">
        <w:t>3</w:t>
      </w:r>
      <w:r w:rsidRPr="001E1216">
        <w:t>.</w:t>
      </w:r>
      <w:r w:rsidRPr="001E1216">
        <w:tab/>
      </w:r>
      <w:r w:rsidR="002E37F1" w:rsidRPr="002E37F1">
        <w:t xml:space="preserve">Section 8 of the </w:t>
      </w:r>
      <w:r w:rsidR="002E37F1" w:rsidRPr="002E37F1">
        <w:rPr>
          <w:i/>
        </w:rPr>
        <w:t>Licensing (Director-General) Act</w:t>
      </w:r>
      <w:r w:rsidR="002E37F1" w:rsidRPr="002E37F1">
        <w:t xml:space="preserve"> prescribes a delegate decision is a decision, under any Act, of the Director-General that is made by a delegate of the Director-General</w:t>
      </w:r>
      <w:proofErr w:type="gramStart"/>
      <w:r w:rsidR="002E37F1" w:rsidRPr="002E37F1">
        <w:t xml:space="preserve">.  </w:t>
      </w:r>
      <w:proofErr w:type="gramEnd"/>
      <w:r w:rsidR="002E37F1" w:rsidRPr="002E37F1">
        <w:t xml:space="preserve">The Director-General delegated the determination of applications made under Section 41 of the </w:t>
      </w:r>
      <w:r w:rsidR="002E37F1" w:rsidRPr="002E37F1">
        <w:rPr>
          <w:i/>
        </w:rPr>
        <w:t>Gaming Machine Act</w:t>
      </w:r>
      <w:r w:rsidR="002E37F1" w:rsidRPr="002E37F1">
        <w:t xml:space="preserve"> by instrument to the person from time to time holding, acting in or performing the duties of the position in the Department of Business specified in Schedule 2 of that instrument.  This decision was made by a person referred to in that schedule.  Section 10 of the </w:t>
      </w:r>
      <w:r w:rsidR="002E37F1" w:rsidRPr="002E37F1">
        <w:rPr>
          <w:i/>
        </w:rPr>
        <w:t>Licensing (Director-General) Act</w:t>
      </w:r>
      <w:r w:rsidR="002E37F1" w:rsidRPr="002E37F1">
        <w:t xml:space="preserve"> 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002E37F1" w:rsidRPr="002E37F1">
        <w:rPr>
          <w:i/>
        </w:rPr>
        <w:t>Licensing (Director-General) Act</w:t>
      </w:r>
      <w:r w:rsidR="002E37F1" w:rsidRPr="002E37F1">
        <w:t xml:space="preserve"> prescribes an affected person for a delegate decision to be the applicant for the increase in gaming machines and a person who made a submission, complaint or objection (however described) during the process that resulted in the decision being made.</w:t>
      </w:r>
    </w:p>
    <w:p w:rsidR="002E37F1" w:rsidRPr="002E37F1" w:rsidRDefault="002E37F1" w:rsidP="002E37F1">
      <w:pPr>
        <w:ind w:left="720" w:hanging="720"/>
      </w:pPr>
      <w:r>
        <w:t>8</w:t>
      </w:r>
      <w:r w:rsidR="00F657FA">
        <w:t>4</w:t>
      </w:r>
      <w:r>
        <w:t>.</w:t>
      </w:r>
      <w:r>
        <w:tab/>
      </w:r>
      <w:r w:rsidRPr="002E37F1">
        <w:t xml:space="preserve">Accordingly the affected persons in relation to this matter are </w:t>
      </w:r>
      <w:r w:rsidR="002657F9">
        <w:t xml:space="preserve">Nightcliff Sport </w:t>
      </w:r>
      <w:r>
        <w:t>Club Inc.</w:t>
      </w:r>
      <w:r w:rsidRPr="002E37F1">
        <w:t xml:space="preserve"> and Amity Community Services Incorporated.</w:t>
      </w:r>
    </w:p>
    <w:p w:rsidR="00DD7F4C" w:rsidRPr="00B3067F" w:rsidRDefault="002E37F1" w:rsidP="00512F0E">
      <w:pPr>
        <w:pStyle w:val="Signature"/>
        <w:spacing w:before="1320" w:after="0"/>
        <w:rPr>
          <w:rFonts w:cs="Arial"/>
          <w:sz w:val="24"/>
          <w:szCs w:val="24"/>
        </w:rPr>
      </w:pPr>
      <w:r>
        <w:rPr>
          <w:rFonts w:cs="Arial"/>
          <w:sz w:val="24"/>
          <w:szCs w:val="24"/>
        </w:rPr>
        <w:t>Mark Wood</w:t>
      </w:r>
    </w:p>
    <w:p w:rsidR="00DD7F4C" w:rsidRPr="00B3067F" w:rsidRDefault="002E37F1" w:rsidP="00DD7F4C">
      <w:pPr>
        <w:pStyle w:val="Signature"/>
        <w:spacing w:before="0"/>
        <w:rPr>
          <w:rFonts w:cs="Arial"/>
          <w:sz w:val="24"/>
          <w:szCs w:val="24"/>
        </w:rPr>
      </w:pPr>
      <w:r>
        <w:rPr>
          <w:rFonts w:cs="Arial"/>
          <w:sz w:val="24"/>
          <w:szCs w:val="24"/>
        </w:rPr>
        <w:t xml:space="preserve">A/Deputy </w:t>
      </w:r>
      <w:r w:rsidR="00DD7F4C" w:rsidRPr="00B3067F">
        <w:rPr>
          <w:rFonts w:cs="Arial"/>
          <w:sz w:val="24"/>
          <w:szCs w:val="24"/>
        </w:rPr>
        <w:t xml:space="preserve">Director-General </w:t>
      </w:r>
      <w:r>
        <w:rPr>
          <w:rFonts w:cs="Arial"/>
          <w:sz w:val="24"/>
          <w:szCs w:val="24"/>
        </w:rPr>
        <w:t>(Operations)</w:t>
      </w:r>
    </w:p>
    <w:p w:rsidR="006038D3" w:rsidRPr="00655618" w:rsidRDefault="006641ED" w:rsidP="006038D3">
      <w:pPr>
        <w:spacing w:after="120"/>
        <w:jc w:val="both"/>
        <w:rPr>
          <w:rFonts w:cs="Arial"/>
          <w:bCs/>
          <w:szCs w:val="22"/>
        </w:rPr>
      </w:pPr>
      <w:r>
        <w:rPr>
          <w:rFonts w:cs="Arial"/>
          <w:sz w:val="24"/>
          <w:szCs w:val="24"/>
        </w:rPr>
        <w:t>2</w:t>
      </w:r>
      <w:r w:rsidR="002657F9">
        <w:rPr>
          <w:rFonts w:cs="Arial"/>
          <w:sz w:val="24"/>
          <w:szCs w:val="24"/>
        </w:rPr>
        <w:t>4</w:t>
      </w:r>
      <w:r w:rsidR="000251D6">
        <w:rPr>
          <w:rFonts w:cs="Arial"/>
          <w:sz w:val="24"/>
          <w:szCs w:val="24"/>
        </w:rPr>
        <w:t xml:space="preserve"> </w:t>
      </w:r>
      <w:r w:rsidR="002E37F1">
        <w:rPr>
          <w:rFonts w:cs="Arial"/>
          <w:sz w:val="24"/>
          <w:szCs w:val="24"/>
        </w:rPr>
        <w:t>August 2016</w:t>
      </w:r>
    </w:p>
    <w:sectPr w:rsidR="006038D3"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477" w:rsidRDefault="00F47477" w:rsidP="00293A72">
      <w:r>
        <w:separator/>
      </w:r>
    </w:p>
  </w:endnote>
  <w:endnote w:type="continuationSeparator" w:id="0">
    <w:p w:rsidR="00F47477" w:rsidRDefault="00F47477"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 xml:space="preserve">Application for increase in Gaming Machines – </w:t>
        </w:r>
        <w:r w:rsidR="00217F3E">
          <w:rPr>
            <w:color w:val="A6A6A6" w:themeColor="background1" w:themeShade="A6"/>
            <w:sz w:val="16"/>
            <w:szCs w:val="20"/>
          </w:rPr>
          <w:t>Nightcliff Sports</w:t>
        </w:r>
        <w:r w:rsidR="00AB2049">
          <w:rPr>
            <w:color w:val="A6A6A6" w:themeColor="background1" w:themeShade="A6"/>
            <w:sz w:val="16"/>
            <w:szCs w:val="20"/>
          </w:rPr>
          <w:t xml:space="preserve"> Club</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92794F">
          <w:rPr>
            <w:color w:val="A6A6A6" w:themeColor="background1" w:themeShade="A6"/>
            <w:sz w:val="16"/>
            <w:szCs w:val="20"/>
          </w:rPr>
          <w:t>2</w:t>
        </w:r>
        <w:r w:rsidR="00217F3E">
          <w:rPr>
            <w:color w:val="A6A6A6" w:themeColor="background1" w:themeShade="A6"/>
            <w:sz w:val="16"/>
            <w:szCs w:val="20"/>
          </w:rPr>
          <w:t>4</w:t>
        </w:r>
        <w:r w:rsidR="000251D6">
          <w:rPr>
            <w:color w:val="A6A6A6" w:themeColor="background1" w:themeShade="A6"/>
            <w:sz w:val="16"/>
            <w:szCs w:val="20"/>
          </w:rPr>
          <w:t xml:space="preserve"> </w:t>
        </w:r>
        <w:r w:rsidR="00AB2049">
          <w:rPr>
            <w:color w:val="A6A6A6" w:themeColor="background1" w:themeShade="A6"/>
            <w:sz w:val="16"/>
            <w:szCs w:val="20"/>
          </w:rPr>
          <w:t>August 2016</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Pr>
            <w:color w:val="A6A6A6" w:themeColor="background1" w:themeShade="A6"/>
            <w:sz w:val="16"/>
            <w:szCs w:val="20"/>
          </w:rPr>
          <w:t>DOB201</w:t>
        </w:r>
        <w:r w:rsidR="00EE048B">
          <w:rPr>
            <w:color w:val="A6A6A6" w:themeColor="background1" w:themeShade="A6"/>
            <w:sz w:val="16"/>
            <w:szCs w:val="20"/>
          </w:rPr>
          <w:t>6</w:t>
        </w:r>
        <w:r w:rsidR="000251D6">
          <w:rPr>
            <w:color w:val="A6A6A6" w:themeColor="background1" w:themeShade="A6"/>
            <w:sz w:val="16"/>
            <w:szCs w:val="20"/>
          </w:rPr>
          <w:t>/</w:t>
        </w:r>
        <w:r w:rsidR="00AB2049">
          <w:rPr>
            <w:color w:val="A6A6A6" w:themeColor="background1" w:themeShade="A6"/>
            <w:sz w:val="16"/>
            <w:szCs w:val="20"/>
          </w:rPr>
          <w:t>1</w:t>
        </w:r>
        <w:r w:rsidR="00EE048B">
          <w:rPr>
            <w:color w:val="A6A6A6" w:themeColor="background1" w:themeShade="A6"/>
            <w:sz w:val="16"/>
            <w:szCs w:val="20"/>
          </w:rPr>
          <w:t>385</w:t>
        </w:r>
        <w:r w:rsidR="00217F3E">
          <w:rPr>
            <w:color w:val="A6A6A6" w:themeColor="background1" w:themeShade="A6"/>
            <w:sz w:val="16"/>
            <w:szCs w:val="20"/>
          </w:rPr>
          <w:t>2</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6F6EFC">
          <w:rPr>
            <w:noProof/>
          </w:rPr>
          <w:t>2</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92794F">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217F3E">
          <w:rPr>
            <w:color w:val="A6A6A6" w:themeColor="background1" w:themeShade="A6"/>
            <w:sz w:val="16"/>
            <w:szCs w:val="20"/>
          </w:rPr>
          <w:t>Nightcliff Sports</w:t>
        </w:r>
        <w:r w:rsidR="00AB2049">
          <w:rPr>
            <w:color w:val="A6A6A6" w:themeColor="background1" w:themeShade="A6"/>
            <w:sz w:val="16"/>
            <w:szCs w:val="20"/>
          </w:rPr>
          <w:t xml:space="preserve"> Club</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92794F">
          <w:rPr>
            <w:color w:val="A6A6A6" w:themeColor="background1" w:themeShade="A6"/>
            <w:sz w:val="16"/>
            <w:szCs w:val="20"/>
          </w:rPr>
          <w:t>2</w:t>
        </w:r>
        <w:r w:rsidR="00217F3E">
          <w:rPr>
            <w:color w:val="A6A6A6" w:themeColor="background1" w:themeShade="A6"/>
            <w:sz w:val="16"/>
            <w:szCs w:val="20"/>
          </w:rPr>
          <w:t>4</w:t>
        </w:r>
        <w:r>
          <w:rPr>
            <w:color w:val="A6A6A6" w:themeColor="background1" w:themeShade="A6"/>
            <w:sz w:val="16"/>
            <w:szCs w:val="20"/>
          </w:rPr>
          <w:t xml:space="preserve"> </w:t>
        </w:r>
        <w:r w:rsidR="00AB2049">
          <w:rPr>
            <w:color w:val="A6A6A6" w:themeColor="background1" w:themeShade="A6"/>
            <w:sz w:val="16"/>
            <w:szCs w:val="20"/>
          </w:rPr>
          <w:t>August 2016</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w:t>
        </w:r>
        <w:r w:rsidR="00EE048B">
          <w:rPr>
            <w:color w:val="A6A6A6" w:themeColor="background1" w:themeShade="A6"/>
            <w:sz w:val="16"/>
            <w:szCs w:val="20"/>
          </w:rPr>
          <w:t>6</w:t>
        </w:r>
        <w:r>
          <w:rPr>
            <w:color w:val="A6A6A6" w:themeColor="background1" w:themeShade="A6"/>
            <w:sz w:val="16"/>
            <w:szCs w:val="20"/>
          </w:rPr>
          <w:t>/</w:t>
        </w:r>
        <w:r w:rsidR="00AB2049">
          <w:rPr>
            <w:color w:val="A6A6A6" w:themeColor="background1" w:themeShade="A6"/>
            <w:sz w:val="16"/>
            <w:szCs w:val="20"/>
          </w:rPr>
          <w:t>1</w:t>
        </w:r>
        <w:r w:rsidR="00217F3E">
          <w:rPr>
            <w:color w:val="A6A6A6" w:themeColor="background1" w:themeShade="A6"/>
            <w:sz w:val="16"/>
            <w:szCs w:val="20"/>
          </w:rPr>
          <w:t>3852</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6F6EFC">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477" w:rsidRDefault="00F47477" w:rsidP="00293A72">
      <w:r>
        <w:separator/>
      </w:r>
    </w:p>
  </w:footnote>
  <w:footnote w:type="continuationSeparator" w:id="0">
    <w:p w:rsidR="00F47477" w:rsidRDefault="00F47477"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AB2049" w:rsidP="006770F2">
    <w:pPr>
      <w:pStyle w:val="Header"/>
      <w:tabs>
        <w:tab w:val="clear" w:pos="9026"/>
      </w:tabs>
      <w:ind w:right="-285"/>
      <w:rPr>
        <w:noProof/>
      </w:rPr>
    </w:pPr>
    <w:r>
      <w:rPr>
        <w:noProof/>
      </w:rPr>
      <w:t xml:space="preserve">A/Deputy </w:t>
    </w:r>
    <w:r w:rsidR="002E6443">
      <w:rPr>
        <w:noProof/>
      </w:rPr>
      <w:t xml:space="preserve">Director-General </w:t>
    </w:r>
    <w:r>
      <w:rPr>
        <w:noProof/>
      </w:rPr>
      <w:t>(Operations)</w:t>
    </w:r>
    <w:r w:rsidR="002E6443">
      <w:rPr>
        <w:noProof/>
      </w:rPr>
      <w:t xml:space="preserve">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3F789F41" wp14:editId="118245A0">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AB2049" w:rsidP="00AB2049">
          <w:pPr>
            <w:pStyle w:val="DecisionName"/>
            <w:jc w:val="center"/>
          </w:pPr>
          <w:r>
            <w:t xml:space="preserve">A/ Deputy </w:t>
          </w:r>
          <w:r w:rsidR="006770F2">
            <w:t>Direct</w:t>
          </w:r>
          <w:r w:rsidR="002E6443">
            <w:t>or</w:t>
          </w:r>
          <w:r w:rsidR="006770F2">
            <w:t xml:space="preserve">-General </w:t>
          </w:r>
          <w:r>
            <w:t>(Operations)</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597E17"/>
    <w:multiLevelType w:val="hybridMultilevel"/>
    <w:tmpl w:val="823CB1A6"/>
    <w:lvl w:ilvl="0" w:tplc="0C09000F">
      <w:start w:val="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FB20B4"/>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2D02642D"/>
    <w:multiLevelType w:val="hybridMultilevel"/>
    <w:tmpl w:val="B26C8A2A"/>
    <w:lvl w:ilvl="0" w:tplc="0C09000F">
      <w:start w:val="4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8A92E09"/>
    <w:multiLevelType w:val="hybridMultilevel"/>
    <w:tmpl w:val="F4120A0E"/>
    <w:lvl w:ilvl="0" w:tplc="0C09000F">
      <w:start w:val="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51945265"/>
    <w:multiLevelType w:val="hybridMultilevel"/>
    <w:tmpl w:val="8E5AB622"/>
    <w:lvl w:ilvl="0" w:tplc="0C09000F">
      <w:start w:val="40"/>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7">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668B246C"/>
    <w:multiLevelType w:val="hybridMultilevel"/>
    <w:tmpl w:val="8AF2F46C"/>
    <w:lvl w:ilvl="0" w:tplc="0C09000F">
      <w:start w:val="40"/>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6E6616CE"/>
    <w:multiLevelType w:val="hybridMultilevel"/>
    <w:tmpl w:val="ECE6CF08"/>
    <w:lvl w:ilvl="0" w:tplc="0C09000F">
      <w:start w:val="86"/>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nsid w:val="708B59FF"/>
    <w:multiLevelType w:val="hybridMultilevel"/>
    <w:tmpl w:val="4C4A1FB6"/>
    <w:lvl w:ilvl="0" w:tplc="0C09000F">
      <w:start w:val="8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4">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51F6636"/>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6">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7">
    <w:nsid w:val="7DBA2AAA"/>
    <w:multiLevelType w:val="hybridMultilevel"/>
    <w:tmpl w:val="B0367E9A"/>
    <w:lvl w:ilvl="0" w:tplc="0C09000F">
      <w:start w:val="1"/>
      <w:numFmt w:val="decimal"/>
      <w:lvlText w:val="%1."/>
      <w:lvlJc w:val="left"/>
      <w:pPr>
        <w:ind w:left="3054"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0"/>
  </w:num>
  <w:num w:numId="2">
    <w:abstractNumId w:val="10"/>
  </w:num>
  <w:num w:numId="3">
    <w:abstractNumId w:val="10"/>
  </w:num>
  <w:num w:numId="4">
    <w:abstractNumId w:val="10"/>
  </w:num>
  <w:num w:numId="5">
    <w:abstractNumId w:val="0"/>
  </w:num>
  <w:num w:numId="6">
    <w:abstractNumId w:val="5"/>
  </w:num>
  <w:num w:numId="7">
    <w:abstractNumId w:val="6"/>
  </w:num>
  <w:num w:numId="8">
    <w:abstractNumId w:val="8"/>
  </w:num>
  <w:num w:numId="9">
    <w:abstractNumId w:val="24"/>
  </w:num>
  <w:num w:numId="10">
    <w:abstractNumId w:val="9"/>
  </w:num>
  <w:num w:numId="11">
    <w:abstractNumId w:val="22"/>
  </w:num>
  <w:num w:numId="12">
    <w:abstractNumId w:val="4"/>
  </w:num>
  <w:num w:numId="13">
    <w:abstractNumId w:val="19"/>
  </w:num>
  <w:num w:numId="14">
    <w:abstractNumId w:val="7"/>
  </w:num>
  <w:num w:numId="15">
    <w:abstractNumId w:val="15"/>
  </w:num>
  <w:num w:numId="16">
    <w:abstractNumId w:val="2"/>
  </w:num>
  <w:num w:numId="17">
    <w:abstractNumId w:val="12"/>
  </w:num>
  <w:num w:numId="18">
    <w:abstractNumId w:val="23"/>
  </w:num>
  <w:num w:numId="19">
    <w:abstractNumId w:val="14"/>
  </w:num>
  <w:num w:numId="20">
    <w:abstractNumId w:val="26"/>
  </w:num>
  <w:num w:numId="21">
    <w:abstractNumId w:val="17"/>
  </w:num>
  <w:num w:numId="22">
    <w:abstractNumId w:val="1"/>
  </w:num>
  <w:num w:numId="23">
    <w:abstractNumId w:val="27"/>
  </w:num>
  <w:num w:numId="24">
    <w:abstractNumId w:val="3"/>
  </w:num>
  <w:num w:numId="25">
    <w:abstractNumId w:val="18"/>
  </w:num>
  <w:num w:numId="26">
    <w:abstractNumId w:val="16"/>
  </w:num>
  <w:num w:numId="27">
    <w:abstractNumId w:val="13"/>
  </w:num>
  <w:num w:numId="28">
    <w:abstractNumId w:val="11"/>
  </w:num>
  <w:num w:numId="29">
    <w:abstractNumId w:val="25"/>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38B4"/>
    <w:rsid w:val="000251D6"/>
    <w:rsid w:val="00037217"/>
    <w:rsid w:val="000519A2"/>
    <w:rsid w:val="00061EC9"/>
    <w:rsid w:val="00065C4C"/>
    <w:rsid w:val="0007259C"/>
    <w:rsid w:val="0007569C"/>
    <w:rsid w:val="00090245"/>
    <w:rsid w:val="000A5093"/>
    <w:rsid w:val="000A50F1"/>
    <w:rsid w:val="000B090B"/>
    <w:rsid w:val="000B5975"/>
    <w:rsid w:val="000C07CC"/>
    <w:rsid w:val="000D0C27"/>
    <w:rsid w:val="000D2696"/>
    <w:rsid w:val="000D331C"/>
    <w:rsid w:val="000F0431"/>
    <w:rsid w:val="000F40A9"/>
    <w:rsid w:val="000F4207"/>
    <w:rsid w:val="001041C0"/>
    <w:rsid w:val="00107C87"/>
    <w:rsid w:val="001167CD"/>
    <w:rsid w:val="00117743"/>
    <w:rsid w:val="00117F5B"/>
    <w:rsid w:val="001250E7"/>
    <w:rsid w:val="00127D50"/>
    <w:rsid w:val="00140FDD"/>
    <w:rsid w:val="00141560"/>
    <w:rsid w:val="0014385B"/>
    <w:rsid w:val="001505FB"/>
    <w:rsid w:val="001552A6"/>
    <w:rsid w:val="001620E9"/>
    <w:rsid w:val="00170AE4"/>
    <w:rsid w:val="0017294F"/>
    <w:rsid w:val="00175621"/>
    <w:rsid w:val="00184EFE"/>
    <w:rsid w:val="00194D7F"/>
    <w:rsid w:val="00195CD8"/>
    <w:rsid w:val="001A2B7F"/>
    <w:rsid w:val="001A3DEE"/>
    <w:rsid w:val="001B672F"/>
    <w:rsid w:val="001C5037"/>
    <w:rsid w:val="001D7DAB"/>
    <w:rsid w:val="001E0F80"/>
    <w:rsid w:val="001E1216"/>
    <w:rsid w:val="001E3F25"/>
    <w:rsid w:val="001F5FA9"/>
    <w:rsid w:val="001F76BC"/>
    <w:rsid w:val="00206E08"/>
    <w:rsid w:val="002073A4"/>
    <w:rsid w:val="00210093"/>
    <w:rsid w:val="0021413A"/>
    <w:rsid w:val="00217F3E"/>
    <w:rsid w:val="00220937"/>
    <w:rsid w:val="00244FF0"/>
    <w:rsid w:val="00245650"/>
    <w:rsid w:val="002657F9"/>
    <w:rsid w:val="00284A86"/>
    <w:rsid w:val="002935BE"/>
    <w:rsid w:val="00293A72"/>
    <w:rsid w:val="002A548A"/>
    <w:rsid w:val="002A66E5"/>
    <w:rsid w:val="002B0DEC"/>
    <w:rsid w:val="002B1C31"/>
    <w:rsid w:val="002B7D23"/>
    <w:rsid w:val="002C3705"/>
    <w:rsid w:val="002D203F"/>
    <w:rsid w:val="002E37F1"/>
    <w:rsid w:val="002E6443"/>
    <w:rsid w:val="002F2885"/>
    <w:rsid w:val="002F60ED"/>
    <w:rsid w:val="0030703F"/>
    <w:rsid w:val="00315827"/>
    <w:rsid w:val="00322F46"/>
    <w:rsid w:val="00323ACA"/>
    <w:rsid w:val="00341988"/>
    <w:rsid w:val="00342283"/>
    <w:rsid w:val="00347B47"/>
    <w:rsid w:val="003630C7"/>
    <w:rsid w:val="0037611B"/>
    <w:rsid w:val="0038496D"/>
    <w:rsid w:val="00394AAF"/>
    <w:rsid w:val="0039677B"/>
    <w:rsid w:val="003A21D9"/>
    <w:rsid w:val="003A5D36"/>
    <w:rsid w:val="003B7A67"/>
    <w:rsid w:val="003C2211"/>
    <w:rsid w:val="003C234E"/>
    <w:rsid w:val="003C7905"/>
    <w:rsid w:val="003D2157"/>
    <w:rsid w:val="003E045C"/>
    <w:rsid w:val="003E7505"/>
    <w:rsid w:val="003F790A"/>
    <w:rsid w:val="0040222A"/>
    <w:rsid w:val="00402C0E"/>
    <w:rsid w:val="0040316A"/>
    <w:rsid w:val="004047BC"/>
    <w:rsid w:val="00411E9B"/>
    <w:rsid w:val="00416535"/>
    <w:rsid w:val="00426E25"/>
    <w:rsid w:val="0042790A"/>
    <w:rsid w:val="00441883"/>
    <w:rsid w:val="004423E6"/>
    <w:rsid w:val="00455983"/>
    <w:rsid w:val="0046387B"/>
    <w:rsid w:val="004732FE"/>
    <w:rsid w:val="004873C6"/>
    <w:rsid w:val="004A37BA"/>
    <w:rsid w:val="004A601B"/>
    <w:rsid w:val="004B1D98"/>
    <w:rsid w:val="004E0071"/>
    <w:rsid w:val="004E2627"/>
    <w:rsid w:val="004F4447"/>
    <w:rsid w:val="00503996"/>
    <w:rsid w:val="00512F0E"/>
    <w:rsid w:val="005257EC"/>
    <w:rsid w:val="005303FC"/>
    <w:rsid w:val="00530A50"/>
    <w:rsid w:val="00532F5C"/>
    <w:rsid w:val="00543A1E"/>
    <w:rsid w:val="00547D05"/>
    <w:rsid w:val="00554FD1"/>
    <w:rsid w:val="005654B8"/>
    <w:rsid w:val="00570BC3"/>
    <w:rsid w:val="00587446"/>
    <w:rsid w:val="00591B49"/>
    <w:rsid w:val="00593589"/>
    <w:rsid w:val="005A6D6D"/>
    <w:rsid w:val="005B363A"/>
    <w:rsid w:val="005B5AC2"/>
    <w:rsid w:val="005C47C1"/>
    <w:rsid w:val="005D1EE0"/>
    <w:rsid w:val="005D72CE"/>
    <w:rsid w:val="005D786F"/>
    <w:rsid w:val="005E24DC"/>
    <w:rsid w:val="005E3BA5"/>
    <w:rsid w:val="005E4072"/>
    <w:rsid w:val="005E4681"/>
    <w:rsid w:val="006038D3"/>
    <w:rsid w:val="006163AB"/>
    <w:rsid w:val="00630155"/>
    <w:rsid w:val="006400D3"/>
    <w:rsid w:val="006419C4"/>
    <w:rsid w:val="00650F5B"/>
    <w:rsid w:val="006538C0"/>
    <w:rsid w:val="00655618"/>
    <w:rsid w:val="006627E4"/>
    <w:rsid w:val="00662DAD"/>
    <w:rsid w:val="006641ED"/>
    <w:rsid w:val="006719EA"/>
    <w:rsid w:val="00674E97"/>
    <w:rsid w:val="006770F2"/>
    <w:rsid w:val="00681CE0"/>
    <w:rsid w:val="0068683B"/>
    <w:rsid w:val="00692285"/>
    <w:rsid w:val="006A2598"/>
    <w:rsid w:val="006A2710"/>
    <w:rsid w:val="006A44E3"/>
    <w:rsid w:val="006B4310"/>
    <w:rsid w:val="006C07A1"/>
    <w:rsid w:val="006C668D"/>
    <w:rsid w:val="006D5246"/>
    <w:rsid w:val="006F6EFC"/>
    <w:rsid w:val="007023AB"/>
    <w:rsid w:val="0071493B"/>
    <w:rsid w:val="00714A95"/>
    <w:rsid w:val="00722DDB"/>
    <w:rsid w:val="007408F5"/>
    <w:rsid w:val="00770807"/>
    <w:rsid w:val="0077754C"/>
    <w:rsid w:val="00783D2C"/>
    <w:rsid w:val="00787D74"/>
    <w:rsid w:val="007B6A96"/>
    <w:rsid w:val="007E01C6"/>
    <w:rsid w:val="007E31FB"/>
    <w:rsid w:val="007F096D"/>
    <w:rsid w:val="0080624F"/>
    <w:rsid w:val="00817AF1"/>
    <w:rsid w:val="008313C4"/>
    <w:rsid w:val="008516CC"/>
    <w:rsid w:val="0085544C"/>
    <w:rsid w:val="008577FF"/>
    <w:rsid w:val="0086109D"/>
    <w:rsid w:val="00861DC3"/>
    <w:rsid w:val="0086745F"/>
    <w:rsid w:val="0087091E"/>
    <w:rsid w:val="00872BC9"/>
    <w:rsid w:val="00873CDE"/>
    <w:rsid w:val="00881E1B"/>
    <w:rsid w:val="0088588D"/>
    <w:rsid w:val="008934B6"/>
    <w:rsid w:val="008A27E4"/>
    <w:rsid w:val="008A32EB"/>
    <w:rsid w:val="008E00F7"/>
    <w:rsid w:val="008E22F8"/>
    <w:rsid w:val="008E47CE"/>
    <w:rsid w:val="008E5B10"/>
    <w:rsid w:val="008E63B1"/>
    <w:rsid w:val="008F70BE"/>
    <w:rsid w:val="0092794F"/>
    <w:rsid w:val="00930D60"/>
    <w:rsid w:val="00936A77"/>
    <w:rsid w:val="009616DF"/>
    <w:rsid w:val="009641E3"/>
    <w:rsid w:val="0098759C"/>
    <w:rsid w:val="00993745"/>
    <w:rsid w:val="009A73E5"/>
    <w:rsid w:val="009B5150"/>
    <w:rsid w:val="009D153B"/>
    <w:rsid w:val="009D65D7"/>
    <w:rsid w:val="009F6155"/>
    <w:rsid w:val="00A04BDC"/>
    <w:rsid w:val="00A234B1"/>
    <w:rsid w:val="00A24D7D"/>
    <w:rsid w:val="00A31F5D"/>
    <w:rsid w:val="00A37DDA"/>
    <w:rsid w:val="00A704E6"/>
    <w:rsid w:val="00AA16B6"/>
    <w:rsid w:val="00AA7967"/>
    <w:rsid w:val="00AB2049"/>
    <w:rsid w:val="00AD06A3"/>
    <w:rsid w:val="00AD0B03"/>
    <w:rsid w:val="00AE7B5D"/>
    <w:rsid w:val="00B0580F"/>
    <w:rsid w:val="00B111CD"/>
    <w:rsid w:val="00B12589"/>
    <w:rsid w:val="00B3067F"/>
    <w:rsid w:val="00B43F37"/>
    <w:rsid w:val="00B44012"/>
    <w:rsid w:val="00B61B26"/>
    <w:rsid w:val="00B8518A"/>
    <w:rsid w:val="00B924D3"/>
    <w:rsid w:val="00B96BD8"/>
    <w:rsid w:val="00BA75DE"/>
    <w:rsid w:val="00BB0A00"/>
    <w:rsid w:val="00BB4846"/>
    <w:rsid w:val="00BC1372"/>
    <w:rsid w:val="00BC1846"/>
    <w:rsid w:val="00BC4320"/>
    <w:rsid w:val="00BC7928"/>
    <w:rsid w:val="00BD220E"/>
    <w:rsid w:val="00BE75A5"/>
    <w:rsid w:val="00BF158B"/>
    <w:rsid w:val="00C00907"/>
    <w:rsid w:val="00C04D9C"/>
    <w:rsid w:val="00C1505C"/>
    <w:rsid w:val="00C26CCD"/>
    <w:rsid w:val="00C36B82"/>
    <w:rsid w:val="00C579D3"/>
    <w:rsid w:val="00C62099"/>
    <w:rsid w:val="00C72999"/>
    <w:rsid w:val="00C73E75"/>
    <w:rsid w:val="00C75E81"/>
    <w:rsid w:val="00C816B9"/>
    <w:rsid w:val="00C81E12"/>
    <w:rsid w:val="00C82D5A"/>
    <w:rsid w:val="00C9363A"/>
    <w:rsid w:val="00C96786"/>
    <w:rsid w:val="00CA6DDE"/>
    <w:rsid w:val="00CB7DC0"/>
    <w:rsid w:val="00CC3330"/>
    <w:rsid w:val="00CC5AF5"/>
    <w:rsid w:val="00CC768C"/>
    <w:rsid w:val="00CD1BE0"/>
    <w:rsid w:val="00CD451C"/>
    <w:rsid w:val="00CE5E50"/>
    <w:rsid w:val="00D00BE2"/>
    <w:rsid w:val="00D02AA7"/>
    <w:rsid w:val="00D044AA"/>
    <w:rsid w:val="00D157D9"/>
    <w:rsid w:val="00D17A30"/>
    <w:rsid w:val="00D25638"/>
    <w:rsid w:val="00D265AE"/>
    <w:rsid w:val="00D27945"/>
    <w:rsid w:val="00D33764"/>
    <w:rsid w:val="00D40076"/>
    <w:rsid w:val="00D42C89"/>
    <w:rsid w:val="00D470F0"/>
    <w:rsid w:val="00D55BBF"/>
    <w:rsid w:val="00D80A15"/>
    <w:rsid w:val="00D829E9"/>
    <w:rsid w:val="00D840DD"/>
    <w:rsid w:val="00D85598"/>
    <w:rsid w:val="00D92D3F"/>
    <w:rsid w:val="00D975C0"/>
    <w:rsid w:val="00DB0EEC"/>
    <w:rsid w:val="00DC5DD9"/>
    <w:rsid w:val="00DD0C69"/>
    <w:rsid w:val="00DD5638"/>
    <w:rsid w:val="00DD7F4C"/>
    <w:rsid w:val="00DE7143"/>
    <w:rsid w:val="00DE71E4"/>
    <w:rsid w:val="00DF0487"/>
    <w:rsid w:val="00E07444"/>
    <w:rsid w:val="00E1681A"/>
    <w:rsid w:val="00E2023F"/>
    <w:rsid w:val="00E30907"/>
    <w:rsid w:val="00E30AA3"/>
    <w:rsid w:val="00E34E0A"/>
    <w:rsid w:val="00E357FE"/>
    <w:rsid w:val="00E41C2A"/>
    <w:rsid w:val="00E619FF"/>
    <w:rsid w:val="00E62781"/>
    <w:rsid w:val="00E6625A"/>
    <w:rsid w:val="00E71A10"/>
    <w:rsid w:val="00E76967"/>
    <w:rsid w:val="00E81309"/>
    <w:rsid w:val="00E823AF"/>
    <w:rsid w:val="00E85526"/>
    <w:rsid w:val="00E85A3E"/>
    <w:rsid w:val="00EA1A20"/>
    <w:rsid w:val="00EE048B"/>
    <w:rsid w:val="00EE7F0E"/>
    <w:rsid w:val="00F1351E"/>
    <w:rsid w:val="00F15C61"/>
    <w:rsid w:val="00F15ED0"/>
    <w:rsid w:val="00F30D71"/>
    <w:rsid w:val="00F31EE1"/>
    <w:rsid w:val="00F35F28"/>
    <w:rsid w:val="00F37CFA"/>
    <w:rsid w:val="00F41832"/>
    <w:rsid w:val="00F47477"/>
    <w:rsid w:val="00F51BDB"/>
    <w:rsid w:val="00F534F3"/>
    <w:rsid w:val="00F54FC0"/>
    <w:rsid w:val="00F60C05"/>
    <w:rsid w:val="00F657FA"/>
    <w:rsid w:val="00F6779E"/>
    <w:rsid w:val="00F76467"/>
    <w:rsid w:val="00F92910"/>
    <w:rsid w:val="00FB31AE"/>
    <w:rsid w:val="00FC32C1"/>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C6384"/>
    <w:rsid w:val="002D4C43"/>
    <w:rsid w:val="003558A2"/>
    <w:rsid w:val="003F4465"/>
    <w:rsid w:val="0064245D"/>
    <w:rsid w:val="007663F4"/>
    <w:rsid w:val="00941C01"/>
    <w:rsid w:val="00CA7098"/>
    <w:rsid w:val="00E85D12"/>
    <w:rsid w:val="00F107E2"/>
    <w:rsid w:val="00FD6A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4.xml><?xml version="1.0" encoding="utf-8"?>
<ds:datastoreItem xmlns:ds="http://schemas.openxmlformats.org/officeDocument/2006/customXml" ds:itemID="{630EB88C-6A38-43C6-B796-5CB1F1F36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3668</Words>
  <Characters>20909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Decision Notice for Shenannigans Irish Pub - Application for Increase in Gaming Machines</vt:lpstr>
    </vt:vector>
  </TitlesOfParts>
  <Company>Northern Territory Government</Company>
  <LinksUpToDate>false</LinksUpToDate>
  <CharactersWithSpaces>24528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Nightcliff Sports Club - Application for increase in Gaming Machines</dc:title>
  <dc:creator>Cindy Bravos</dc:creator>
  <cp:lastModifiedBy>Marlene Woods</cp:lastModifiedBy>
  <cp:revision>5</cp:revision>
  <cp:lastPrinted>2016-08-28T06:14:00Z</cp:lastPrinted>
  <dcterms:created xsi:type="dcterms:W3CDTF">2016-10-11T00:53:00Z</dcterms:created>
  <dcterms:modified xsi:type="dcterms:W3CDTF">2016-10-11T05:31:00Z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