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1E124D" w:rsidRDefault="006770F2" w:rsidP="00441A6B">
      <w:pPr>
        <w:pStyle w:val="Tabformatting"/>
        <w:spacing w:after="120"/>
        <w:rPr>
          <w:rFonts w:cs="Arial"/>
          <w:b/>
        </w:rPr>
      </w:pPr>
      <w:r w:rsidRPr="00655618">
        <w:rPr>
          <w:rFonts w:cs="Arial"/>
          <w:b/>
        </w:rPr>
        <w:t>Matter:</w:t>
      </w:r>
      <w:r w:rsidRPr="00655618">
        <w:rPr>
          <w:rFonts w:cs="Arial"/>
        </w:rPr>
        <w:tab/>
      </w:r>
      <w:r w:rsidR="00D33764" w:rsidRPr="001E124D">
        <w:rPr>
          <w:rFonts w:cs="Arial"/>
          <w:b/>
        </w:rPr>
        <w:t>Application for Increase in Gaming Machines</w:t>
      </w:r>
    </w:p>
    <w:p w:rsidR="001E2178" w:rsidRPr="001E124D" w:rsidRDefault="001E2178" w:rsidP="00441A6B">
      <w:pPr>
        <w:pStyle w:val="Tabformatting"/>
        <w:spacing w:after="0"/>
        <w:rPr>
          <w:rFonts w:cs="Arial"/>
          <w:b/>
        </w:rPr>
      </w:pPr>
      <w:r w:rsidRPr="001E124D">
        <w:rPr>
          <w:rFonts w:cs="Arial"/>
          <w:b/>
        </w:rPr>
        <w:t>Premises:</w:t>
      </w:r>
      <w:r w:rsidRPr="001E124D">
        <w:rPr>
          <w:rFonts w:cs="Arial"/>
          <w:b/>
        </w:rPr>
        <w:tab/>
      </w:r>
      <w:r w:rsidR="0083282E" w:rsidRPr="001E124D">
        <w:rPr>
          <w:rFonts w:cs="Arial"/>
          <w:b/>
        </w:rPr>
        <w:t>Tennant Creek Memorial Club</w:t>
      </w:r>
    </w:p>
    <w:p w:rsidR="001E2178" w:rsidRPr="001E124D" w:rsidRDefault="001E2178" w:rsidP="00441A6B">
      <w:pPr>
        <w:pStyle w:val="Tabformatting"/>
        <w:spacing w:after="0"/>
        <w:rPr>
          <w:rFonts w:cs="Arial"/>
          <w:b/>
        </w:rPr>
      </w:pPr>
      <w:r w:rsidRPr="001E124D">
        <w:rPr>
          <w:rFonts w:cs="Arial"/>
          <w:b/>
        </w:rPr>
        <w:tab/>
      </w:r>
      <w:r w:rsidR="0083282E" w:rsidRPr="001E124D">
        <w:rPr>
          <w:rFonts w:cs="Arial"/>
          <w:b/>
        </w:rPr>
        <w:t>Schmidt Street</w:t>
      </w:r>
    </w:p>
    <w:p w:rsidR="001E2178" w:rsidRPr="001E124D" w:rsidRDefault="001E2178" w:rsidP="00441A6B">
      <w:pPr>
        <w:pStyle w:val="Tabformatting"/>
        <w:spacing w:after="120"/>
        <w:rPr>
          <w:rFonts w:cs="Arial"/>
          <w:b/>
        </w:rPr>
      </w:pPr>
      <w:r w:rsidRPr="001E124D">
        <w:rPr>
          <w:rFonts w:cs="Arial"/>
          <w:b/>
        </w:rPr>
        <w:tab/>
      </w:r>
      <w:r w:rsidR="0083282E" w:rsidRPr="001E124D">
        <w:rPr>
          <w:rFonts w:cs="Arial"/>
          <w:b/>
        </w:rPr>
        <w:t>Tennant Creek</w:t>
      </w:r>
      <w:r w:rsidR="00EA72B2" w:rsidRPr="001E124D">
        <w:rPr>
          <w:rFonts w:cs="Arial"/>
          <w:b/>
        </w:rPr>
        <w:t xml:space="preserve"> </w:t>
      </w:r>
      <w:r w:rsidR="004C5B41" w:rsidRPr="001E124D">
        <w:rPr>
          <w:rFonts w:cs="Arial"/>
          <w:b/>
        </w:rPr>
        <w:t xml:space="preserve"> NT </w:t>
      </w:r>
      <w:r w:rsidR="00EA72B2" w:rsidRPr="001E124D">
        <w:rPr>
          <w:rFonts w:cs="Arial"/>
          <w:b/>
        </w:rPr>
        <w:t xml:space="preserve"> </w:t>
      </w:r>
      <w:r w:rsidR="002D3D08" w:rsidRPr="001E124D">
        <w:rPr>
          <w:rFonts w:cs="Arial"/>
          <w:b/>
        </w:rPr>
        <w:t>08</w:t>
      </w:r>
      <w:r w:rsidR="0083282E" w:rsidRPr="001E124D">
        <w:rPr>
          <w:rFonts w:cs="Arial"/>
          <w:b/>
        </w:rPr>
        <w:t>6</w:t>
      </w:r>
      <w:r w:rsidR="004C5B41" w:rsidRPr="001E124D">
        <w:rPr>
          <w:rFonts w:cs="Arial"/>
          <w:b/>
        </w:rPr>
        <w:t>0</w:t>
      </w:r>
    </w:p>
    <w:p w:rsidR="001E2178" w:rsidRPr="001E124D" w:rsidRDefault="001E2178" w:rsidP="00441A6B">
      <w:pPr>
        <w:pStyle w:val="Tabformatting"/>
        <w:spacing w:after="120"/>
        <w:rPr>
          <w:rFonts w:cs="Arial"/>
          <w:b/>
        </w:rPr>
      </w:pPr>
      <w:r w:rsidRPr="001E124D">
        <w:rPr>
          <w:rFonts w:cs="Arial"/>
          <w:b/>
        </w:rPr>
        <w:t>Applicant:</w:t>
      </w:r>
      <w:r w:rsidRPr="001E124D">
        <w:rPr>
          <w:rFonts w:cs="Arial"/>
          <w:b/>
        </w:rPr>
        <w:tab/>
      </w:r>
      <w:r w:rsidR="0083282E" w:rsidRPr="001E124D">
        <w:rPr>
          <w:rFonts w:cs="Arial"/>
          <w:b/>
        </w:rPr>
        <w:t>Tennant Creek Memorial Club Inc.</w:t>
      </w:r>
    </w:p>
    <w:p w:rsidR="004C5B41" w:rsidRPr="001E124D" w:rsidRDefault="001E2178" w:rsidP="00441A6B">
      <w:pPr>
        <w:pStyle w:val="Tabformatting"/>
        <w:spacing w:after="120"/>
        <w:rPr>
          <w:rFonts w:cs="Arial"/>
          <w:b/>
        </w:rPr>
      </w:pPr>
      <w:r w:rsidRPr="001E124D">
        <w:rPr>
          <w:rFonts w:cs="Arial"/>
          <w:b/>
        </w:rPr>
        <w:t>Nominee:</w:t>
      </w:r>
      <w:r w:rsidRPr="001E124D">
        <w:rPr>
          <w:rFonts w:cs="Arial"/>
          <w:b/>
        </w:rPr>
        <w:tab/>
        <w:t xml:space="preserve">Mr </w:t>
      </w:r>
      <w:r w:rsidR="0083282E" w:rsidRPr="001E124D">
        <w:rPr>
          <w:rFonts w:cs="Arial"/>
          <w:b/>
        </w:rPr>
        <w:t>Jonathon Baker</w:t>
      </w:r>
    </w:p>
    <w:p w:rsidR="001E5EB4" w:rsidRPr="001E124D" w:rsidRDefault="001E2178" w:rsidP="006449BB">
      <w:pPr>
        <w:tabs>
          <w:tab w:val="left" w:pos="2835"/>
        </w:tabs>
        <w:spacing w:after="240"/>
        <w:jc w:val="both"/>
        <w:rPr>
          <w:rFonts w:cs="Arial"/>
          <w:b/>
          <w:bCs/>
          <w:szCs w:val="22"/>
        </w:rPr>
      </w:pPr>
      <w:r w:rsidRPr="001E124D">
        <w:rPr>
          <w:rFonts w:cs="Arial"/>
          <w:b/>
        </w:rPr>
        <w:t>Submissions:</w:t>
      </w:r>
      <w:r w:rsidR="00441A6B" w:rsidRPr="001E124D">
        <w:rPr>
          <w:rFonts w:cs="Arial"/>
          <w:b/>
        </w:rPr>
        <w:tab/>
      </w:r>
      <w:r w:rsidR="006449BB" w:rsidRPr="001E124D">
        <w:rPr>
          <w:rFonts w:cs="Arial"/>
          <w:b/>
          <w:bCs/>
          <w:szCs w:val="22"/>
        </w:rPr>
        <w:t>Nil</w:t>
      </w:r>
    </w:p>
    <w:p w:rsidR="001E2178" w:rsidRPr="001E124D" w:rsidRDefault="001E2178" w:rsidP="00441A6B">
      <w:pPr>
        <w:pStyle w:val="Tabformatting"/>
        <w:spacing w:after="120"/>
        <w:rPr>
          <w:rFonts w:cs="Arial"/>
          <w:b/>
          <w:i/>
        </w:rPr>
      </w:pPr>
      <w:r w:rsidRPr="001E124D">
        <w:rPr>
          <w:rFonts w:cs="Arial"/>
          <w:b/>
        </w:rPr>
        <w:t>Legislation:</w:t>
      </w:r>
      <w:r w:rsidRPr="001E124D">
        <w:rPr>
          <w:rFonts w:cs="Arial"/>
          <w:b/>
        </w:rPr>
        <w:tab/>
        <w:t xml:space="preserve">Section </w:t>
      </w:r>
      <w:r w:rsidR="006513AF" w:rsidRPr="001E124D">
        <w:rPr>
          <w:rFonts w:cs="Arial"/>
          <w:b/>
        </w:rPr>
        <w:t>41</w:t>
      </w:r>
      <w:r w:rsidRPr="001E124D">
        <w:rPr>
          <w:rFonts w:cs="Arial"/>
          <w:b/>
        </w:rPr>
        <w:t xml:space="preserve"> </w:t>
      </w:r>
      <w:r w:rsidRPr="001E124D">
        <w:rPr>
          <w:rFonts w:cs="Arial"/>
          <w:b/>
          <w:i/>
        </w:rPr>
        <w:t>Gaming Machine Act</w:t>
      </w:r>
    </w:p>
    <w:p w:rsidR="001E2178" w:rsidRPr="001E124D" w:rsidRDefault="001E2178" w:rsidP="00441A6B">
      <w:pPr>
        <w:pStyle w:val="Tabformatting"/>
        <w:spacing w:after="120"/>
        <w:rPr>
          <w:rFonts w:cs="Arial"/>
          <w:b/>
        </w:rPr>
      </w:pPr>
      <w:r w:rsidRPr="001E124D">
        <w:rPr>
          <w:rFonts w:cs="Arial"/>
          <w:b/>
        </w:rPr>
        <w:t>Decision of:</w:t>
      </w:r>
      <w:r w:rsidRPr="001E124D">
        <w:rPr>
          <w:rFonts w:cs="Arial"/>
          <w:b/>
        </w:rPr>
        <w:tab/>
      </w:r>
      <w:r w:rsidR="00C0715B">
        <w:rPr>
          <w:rFonts w:cs="Arial"/>
          <w:b/>
        </w:rPr>
        <w:t xml:space="preserve">A/Deputy </w:t>
      </w:r>
      <w:r w:rsidRPr="001E124D">
        <w:rPr>
          <w:rFonts w:cs="Arial"/>
          <w:b/>
        </w:rPr>
        <w:t xml:space="preserve">Director-General </w:t>
      </w:r>
      <w:r w:rsidR="00C0715B">
        <w:rPr>
          <w:rFonts w:cs="Arial"/>
          <w:b/>
        </w:rPr>
        <w:t>(Operations)</w:t>
      </w:r>
    </w:p>
    <w:p w:rsidR="001E2178" w:rsidRPr="001E124D" w:rsidRDefault="001E2178" w:rsidP="00441A6B">
      <w:pPr>
        <w:pStyle w:val="Tabformatting"/>
        <w:spacing w:after="120"/>
        <w:rPr>
          <w:rFonts w:cs="Arial"/>
          <w:b/>
        </w:rPr>
      </w:pPr>
      <w:r w:rsidRPr="001E124D">
        <w:rPr>
          <w:rFonts w:cs="Arial"/>
          <w:b/>
        </w:rPr>
        <w:t>Date of Decision:</w:t>
      </w:r>
      <w:r w:rsidRPr="001E124D">
        <w:rPr>
          <w:rFonts w:cs="Arial"/>
          <w:b/>
        </w:rPr>
        <w:tab/>
      </w:r>
      <w:r w:rsidR="0083282E" w:rsidRPr="001E124D">
        <w:rPr>
          <w:rFonts w:cs="Arial"/>
          <w:b/>
        </w:rPr>
        <w:t>1 September</w:t>
      </w:r>
      <w:r w:rsidR="00BF03D8" w:rsidRPr="001E124D">
        <w:rPr>
          <w:rFonts w:cs="Arial"/>
          <w:b/>
        </w:rPr>
        <w:t xml:space="preserve"> 2016</w:t>
      </w:r>
    </w:p>
    <w:p w:rsidR="001620E9" w:rsidRPr="00655618" w:rsidRDefault="001620E9" w:rsidP="001620E9">
      <w:pPr>
        <w:pStyle w:val="BottomLine"/>
        <w:rPr>
          <w:rFonts w:cs="Arial"/>
        </w:rPr>
      </w:pPr>
    </w:p>
    <w:p w:rsidR="00182C5B" w:rsidRPr="00182C5B" w:rsidRDefault="00182C5B" w:rsidP="001D1071">
      <w:pPr>
        <w:pStyle w:val="Heading2"/>
        <w:spacing w:before="120"/>
        <w:rPr>
          <w:rFonts w:eastAsia="Calibri"/>
          <w:lang w:eastAsia="en-US"/>
        </w:rPr>
      </w:pPr>
      <w:r w:rsidRPr="00182C5B">
        <w:rPr>
          <w:rFonts w:eastAsia="Calibri"/>
          <w:lang w:eastAsia="en-US"/>
        </w:rPr>
        <w:t>Background:</w:t>
      </w:r>
    </w:p>
    <w:p w:rsidR="00182C5B" w:rsidRDefault="00182C5B" w:rsidP="00182C5B">
      <w:pPr>
        <w:pStyle w:val="ListParagraph"/>
        <w:numPr>
          <w:ilvl w:val="0"/>
          <w:numId w:val="29"/>
        </w:numPr>
        <w:autoSpaceDE w:val="0"/>
        <w:autoSpaceDN w:val="0"/>
        <w:adjustRightInd w:val="0"/>
        <w:spacing w:after="120"/>
        <w:ind w:left="426" w:hanging="426"/>
        <w:jc w:val="both"/>
        <w:rPr>
          <w:rFonts w:eastAsia="Calibri" w:cs="Arial"/>
          <w:color w:val="000000"/>
          <w:szCs w:val="22"/>
          <w:lang w:eastAsia="en-US"/>
        </w:rPr>
      </w:pPr>
      <w:r w:rsidRPr="00182C5B">
        <w:rPr>
          <w:rFonts w:eastAsia="Calibri" w:cs="Arial"/>
          <w:color w:val="000000"/>
          <w:szCs w:val="22"/>
          <w:lang w:eastAsia="en-US"/>
        </w:rPr>
        <w:t>On 1</w:t>
      </w:r>
      <w:r w:rsidR="00B373B0">
        <w:rPr>
          <w:rFonts w:eastAsia="Calibri" w:cs="Arial"/>
          <w:color w:val="000000"/>
          <w:szCs w:val="22"/>
          <w:lang w:eastAsia="en-US"/>
        </w:rPr>
        <w:t>2</w:t>
      </w:r>
      <w:r w:rsidRPr="00182C5B">
        <w:rPr>
          <w:rFonts w:eastAsia="Calibri" w:cs="Arial"/>
          <w:color w:val="000000"/>
          <w:szCs w:val="22"/>
          <w:lang w:eastAsia="en-US"/>
        </w:rPr>
        <w:t xml:space="preserve"> </w:t>
      </w:r>
      <w:r w:rsidR="0083282E">
        <w:rPr>
          <w:rFonts w:eastAsia="Calibri" w:cs="Arial"/>
          <w:color w:val="000000"/>
          <w:szCs w:val="22"/>
          <w:lang w:eastAsia="en-US"/>
        </w:rPr>
        <w:t>January</w:t>
      </w:r>
      <w:r w:rsidRPr="00182C5B">
        <w:rPr>
          <w:rFonts w:eastAsia="Calibri" w:cs="Arial"/>
          <w:color w:val="000000"/>
          <w:szCs w:val="22"/>
          <w:lang w:eastAsia="en-US"/>
        </w:rPr>
        <w:t xml:space="preserve"> 2016, Mr </w:t>
      </w:r>
      <w:r w:rsidR="0083282E">
        <w:rPr>
          <w:rFonts w:eastAsia="Calibri" w:cs="Arial"/>
          <w:color w:val="000000"/>
          <w:szCs w:val="22"/>
          <w:lang w:eastAsia="en-US"/>
        </w:rPr>
        <w:t>Philip Crouch an Authorised Officer for</w:t>
      </w:r>
      <w:r w:rsidR="00A464E7">
        <w:rPr>
          <w:rFonts w:eastAsia="Calibri" w:cs="Arial"/>
          <w:color w:val="000000"/>
          <w:szCs w:val="22"/>
          <w:lang w:eastAsia="en-US"/>
        </w:rPr>
        <w:t xml:space="preserve"> Licensee of</w:t>
      </w:r>
      <w:r w:rsidR="0083282E">
        <w:rPr>
          <w:rFonts w:eastAsia="Calibri" w:cs="Arial"/>
          <w:color w:val="000000"/>
          <w:szCs w:val="22"/>
          <w:lang w:eastAsia="en-US"/>
        </w:rPr>
        <w:t xml:space="preserve"> the Tennant Creek Memorial Club</w:t>
      </w:r>
      <w:r w:rsidRPr="00182C5B">
        <w:rPr>
          <w:rFonts w:eastAsia="Calibri" w:cs="Arial"/>
          <w:color w:val="000000"/>
          <w:szCs w:val="22"/>
          <w:lang w:eastAsia="en-US"/>
        </w:rPr>
        <w:t xml:space="preserve"> (“the </w:t>
      </w:r>
      <w:r w:rsidR="00A464E7">
        <w:rPr>
          <w:rFonts w:eastAsia="Calibri" w:cs="Arial"/>
          <w:color w:val="000000"/>
          <w:szCs w:val="22"/>
          <w:lang w:eastAsia="en-US"/>
        </w:rPr>
        <w:t>Premises</w:t>
      </w:r>
      <w:r w:rsidRPr="00182C5B">
        <w:rPr>
          <w:rFonts w:eastAsia="Calibri" w:cs="Arial"/>
          <w:color w:val="000000"/>
          <w:szCs w:val="22"/>
          <w:lang w:eastAsia="en-US"/>
        </w:rPr>
        <w:t>”) submitted an application</w:t>
      </w:r>
      <w:r w:rsidR="00F62D27">
        <w:rPr>
          <w:rFonts w:eastAsia="Calibri" w:cs="Arial"/>
          <w:color w:val="000000"/>
          <w:szCs w:val="22"/>
          <w:lang w:eastAsia="en-US"/>
        </w:rPr>
        <w:t xml:space="preserve"> </w:t>
      </w:r>
      <w:r w:rsidR="00F62D27" w:rsidRPr="00182C5B">
        <w:rPr>
          <w:rFonts w:eastAsia="Calibri" w:cs="Arial"/>
          <w:color w:val="000000"/>
          <w:szCs w:val="22"/>
          <w:lang w:eastAsia="en-US"/>
        </w:rPr>
        <w:t xml:space="preserve">pursuant to section 41 of the </w:t>
      </w:r>
      <w:r w:rsidR="00F62D27" w:rsidRPr="00182C5B">
        <w:rPr>
          <w:rFonts w:eastAsia="Calibri" w:cs="Arial"/>
          <w:i/>
          <w:iCs/>
          <w:color w:val="000000"/>
          <w:szCs w:val="22"/>
          <w:lang w:eastAsia="en-US"/>
        </w:rPr>
        <w:t xml:space="preserve">Gaming Machine Act </w:t>
      </w:r>
      <w:r w:rsidR="00F62D27">
        <w:rPr>
          <w:rFonts w:eastAsia="Calibri" w:cs="Arial"/>
          <w:color w:val="000000"/>
          <w:szCs w:val="22"/>
          <w:lang w:eastAsia="en-US"/>
        </w:rPr>
        <w:t>(“the Act”)</w:t>
      </w:r>
      <w:r w:rsidRPr="00182C5B">
        <w:rPr>
          <w:rFonts w:eastAsia="Calibri" w:cs="Arial"/>
          <w:color w:val="000000"/>
          <w:szCs w:val="22"/>
          <w:lang w:eastAsia="en-US"/>
        </w:rPr>
        <w:t xml:space="preserve"> on behalf of the </w:t>
      </w:r>
      <w:r w:rsidR="00A464E7">
        <w:rPr>
          <w:rFonts w:eastAsia="Calibri" w:cs="Arial"/>
          <w:color w:val="000000"/>
          <w:szCs w:val="22"/>
          <w:lang w:eastAsia="en-US"/>
        </w:rPr>
        <w:t>Premises</w:t>
      </w:r>
      <w:r w:rsidRPr="00182C5B">
        <w:rPr>
          <w:rFonts w:eastAsia="Calibri" w:cs="Arial"/>
          <w:color w:val="000000"/>
          <w:szCs w:val="22"/>
          <w:lang w:eastAsia="en-US"/>
        </w:rPr>
        <w:t xml:space="preserve"> to increase the number of </w:t>
      </w:r>
      <w:r w:rsidR="00B373B0">
        <w:rPr>
          <w:rFonts w:eastAsia="Calibri" w:cs="Arial"/>
          <w:color w:val="000000"/>
          <w:szCs w:val="22"/>
          <w:lang w:eastAsia="en-US"/>
        </w:rPr>
        <w:t xml:space="preserve">electronic </w:t>
      </w:r>
      <w:r w:rsidRPr="00182C5B">
        <w:rPr>
          <w:rFonts w:eastAsia="Calibri" w:cs="Arial"/>
          <w:color w:val="000000"/>
          <w:szCs w:val="22"/>
          <w:lang w:eastAsia="en-US"/>
        </w:rPr>
        <w:t>gaming machines</w:t>
      </w:r>
      <w:r w:rsidR="00B373B0">
        <w:rPr>
          <w:rFonts w:eastAsia="Calibri" w:cs="Arial"/>
          <w:color w:val="000000"/>
          <w:szCs w:val="22"/>
          <w:lang w:eastAsia="en-US"/>
        </w:rPr>
        <w:t xml:space="preserve"> (gaming machines)</w:t>
      </w:r>
      <w:r w:rsidRPr="00182C5B">
        <w:rPr>
          <w:rFonts w:eastAsia="Calibri" w:cs="Arial"/>
          <w:color w:val="000000"/>
          <w:szCs w:val="22"/>
          <w:lang w:eastAsia="en-US"/>
        </w:rPr>
        <w:t xml:space="preserve"> at the </w:t>
      </w:r>
      <w:r w:rsidR="00A464E7">
        <w:rPr>
          <w:rFonts w:eastAsia="Calibri" w:cs="Arial"/>
          <w:color w:val="000000"/>
          <w:szCs w:val="22"/>
          <w:lang w:eastAsia="en-US"/>
        </w:rPr>
        <w:t>P</w:t>
      </w:r>
      <w:r w:rsidR="00F62D27">
        <w:rPr>
          <w:rFonts w:eastAsia="Calibri" w:cs="Arial"/>
          <w:color w:val="000000"/>
          <w:szCs w:val="22"/>
          <w:lang w:eastAsia="en-US"/>
        </w:rPr>
        <w:t>remises</w:t>
      </w:r>
      <w:r>
        <w:rPr>
          <w:rFonts w:eastAsia="Calibri" w:cs="Arial"/>
          <w:color w:val="000000"/>
          <w:szCs w:val="22"/>
          <w:lang w:eastAsia="en-US"/>
        </w:rPr>
        <w:t>.</w:t>
      </w:r>
    </w:p>
    <w:p w:rsidR="00863512" w:rsidRPr="005A31F8" w:rsidRDefault="00182C5B" w:rsidP="005A31F8">
      <w:pPr>
        <w:pStyle w:val="ListParagraph"/>
        <w:numPr>
          <w:ilvl w:val="0"/>
          <w:numId w:val="29"/>
        </w:numPr>
        <w:autoSpaceDE w:val="0"/>
        <w:autoSpaceDN w:val="0"/>
        <w:adjustRightInd w:val="0"/>
        <w:spacing w:after="120"/>
        <w:ind w:left="426" w:hanging="426"/>
        <w:jc w:val="both"/>
        <w:rPr>
          <w:rFonts w:eastAsia="Calibri" w:cs="Arial"/>
          <w:color w:val="000000"/>
          <w:szCs w:val="22"/>
          <w:lang w:eastAsia="en-US"/>
        </w:rPr>
      </w:pPr>
      <w:r w:rsidRPr="00182C5B">
        <w:rPr>
          <w:rFonts w:eastAsia="Calibri" w:cs="Arial"/>
          <w:color w:val="000000"/>
          <w:szCs w:val="22"/>
          <w:lang w:eastAsia="en-US"/>
        </w:rPr>
        <w:t xml:space="preserve">Regulation 3(b) of the </w:t>
      </w:r>
      <w:r w:rsidRPr="00182C5B">
        <w:rPr>
          <w:rFonts w:eastAsia="Calibri" w:cs="Arial"/>
          <w:i/>
          <w:color w:val="000000"/>
          <w:szCs w:val="22"/>
          <w:lang w:eastAsia="en-US"/>
        </w:rPr>
        <w:t>Gaming Machine Regulations</w:t>
      </w:r>
      <w:r w:rsidRPr="00182C5B">
        <w:rPr>
          <w:rFonts w:eastAsia="Calibri" w:cs="Arial"/>
          <w:color w:val="000000"/>
          <w:szCs w:val="22"/>
          <w:lang w:eastAsia="en-US"/>
        </w:rPr>
        <w:t xml:space="preserve"> (“the Regulations”) sets the maximum number of gaming machin</w:t>
      </w:r>
      <w:r w:rsidR="00F62D27">
        <w:rPr>
          <w:rFonts w:eastAsia="Calibri" w:cs="Arial"/>
          <w:color w:val="000000"/>
          <w:szCs w:val="22"/>
          <w:lang w:eastAsia="en-US"/>
        </w:rPr>
        <w:t xml:space="preserve">es that may be authorised for </w:t>
      </w:r>
      <w:r w:rsidRPr="00182C5B">
        <w:rPr>
          <w:rFonts w:eastAsia="Calibri" w:cs="Arial"/>
          <w:color w:val="000000"/>
          <w:szCs w:val="22"/>
          <w:lang w:eastAsia="en-US"/>
        </w:rPr>
        <w:t>Category 2 licensed premises as</w:t>
      </w:r>
      <w:r w:rsidR="00F62D27">
        <w:rPr>
          <w:rFonts w:eastAsia="Calibri" w:cs="Arial"/>
          <w:color w:val="000000"/>
          <w:szCs w:val="22"/>
          <w:lang w:eastAsia="en-US"/>
        </w:rPr>
        <w:t xml:space="preserve"> 55. Regulation 2(2)(b) of the Regulations defines C</w:t>
      </w:r>
      <w:r w:rsidRPr="00182C5B">
        <w:rPr>
          <w:rFonts w:eastAsia="Calibri" w:cs="Arial"/>
          <w:color w:val="000000"/>
          <w:szCs w:val="22"/>
          <w:lang w:eastAsia="en-US"/>
        </w:rPr>
        <w:t>ategory 2 licensed premises as those premises for which a club liquor licence is in force at an</w:t>
      </w:r>
      <w:r w:rsidR="00F62D27">
        <w:rPr>
          <w:rFonts w:eastAsia="Calibri" w:cs="Arial"/>
          <w:color w:val="000000"/>
          <w:szCs w:val="22"/>
          <w:lang w:eastAsia="en-US"/>
        </w:rPr>
        <w:t xml:space="preserve">y particular time. The </w:t>
      </w:r>
      <w:r w:rsidR="00A464E7">
        <w:rPr>
          <w:rFonts w:eastAsia="Calibri" w:cs="Arial"/>
          <w:color w:val="000000"/>
          <w:szCs w:val="22"/>
          <w:lang w:eastAsia="en-US"/>
        </w:rPr>
        <w:t>Applicant</w:t>
      </w:r>
      <w:r w:rsidRPr="00182C5B">
        <w:rPr>
          <w:rFonts w:eastAsia="Calibri" w:cs="Arial"/>
          <w:color w:val="000000"/>
          <w:szCs w:val="22"/>
          <w:lang w:eastAsia="en-US"/>
        </w:rPr>
        <w:t xml:space="preserve"> is the holder of </w:t>
      </w:r>
      <w:r w:rsidR="00F62D27">
        <w:rPr>
          <w:rFonts w:eastAsia="Calibri" w:cs="Arial"/>
          <w:color w:val="000000"/>
          <w:szCs w:val="22"/>
          <w:lang w:eastAsia="en-US"/>
        </w:rPr>
        <w:t xml:space="preserve">liquor </w:t>
      </w:r>
      <w:r w:rsidRPr="00182C5B">
        <w:rPr>
          <w:rFonts w:eastAsia="Calibri" w:cs="Arial"/>
          <w:color w:val="000000"/>
          <w:szCs w:val="22"/>
          <w:lang w:eastAsia="en-US"/>
        </w:rPr>
        <w:t xml:space="preserve">licence number </w:t>
      </w:r>
      <w:r w:rsidR="0083282E">
        <w:rPr>
          <w:rFonts w:eastAsia="Calibri" w:cs="Arial"/>
          <w:color w:val="000000"/>
          <w:szCs w:val="22"/>
          <w:lang w:eastAsia="en-US"/>
        </w:rPr>
        <w:t>81402774</w:t>
      </w:r>
      <w:r w:rsidRPr="00182C5B">
        <w:rPr>
          <w:rFonts w:eastAsia="Calibri" w:cs="Arial"/>
          <w:color w:val="000000"/>
          <w:szCs w:val="22"/>
          <w:lang w:eastAsia="en-US"/>
        </w:rPr>
        <w:t xml:space="preserve"> issued under the </w:t>
      </w:r>
      <w:r w:rsidRPr="00182C5B">
        <w:rPr>
          <w:rFonts w:eastAsia="Calibri" w:cs="Arial"/>
          <w:i/>
          <w:iCs/>
          <w:color w:val="000000"/>
          <w:szCs w:val="22"/>
          <w:lang w:eastAsia="en-US"/>
        </w:rPr>
        <w:t xml:space="preserve">Liquor Act </w:t>
      </w:r>
      <w:r w:rsidR="00F62D27">
        <w:rPr>
          <w:rFonts w:eastAsia="Calibri" w:cs="Arial"/>
          <w:i/>
          <w:iCs/>
          <w:color w:val="000000"/>
          <w:szCs w:val="22"/>
          <w:lang w:eastAsia="en-US"/>
        </w:rPr>
        <w:t xml:space="preserve">and </w:t>
      </w:r>
      <w:r w:rsidRPr="00182C5B">
        <w:rPr>
          <w:rFonts w:eastAsia="Calibri" w:cs="Arial"/>
          <w:color w:val="000000"/>
          <w:szCs w:val="22"/>
          <w:lang w:eastAsia="en-US"/>
        </w:rPr>
        <w:t>endorsed AUTHORITY-CLUB</w:t>
      </w:r>
      <w:r w:rsidR="00F62D27">
        <w:rPr>
          <w:rFonts w:eastAsia="Calibri" w:cs="Arial"/>
          <w:color w:val="000000"/>
          <w:szCs w:val="22"/>
          <w:lang w:eastAsia="en-US"/>
        </w:rPr>
        <w:t xml:space="preserve"> (INCORPORATED)</w:t>
      </w:r>
      <w:r w:rsidRPr="00182C5B">
        <w:rPr>
          <w:rFonts w:eastAsia="Calibri" w:cs="Arial"/>
          <w:color w:val="000000"/>
          <w:szCs w:val="22"/>
          <w:lang w:eastAsia="en-US"/>
        </w:rPr>
        <w:t>.</w:t>
      </w:r>
    </w:p>
    <w:p w:rsidR="00182C5B" w:rsidRDefault="00182C5B" w:rsidP="00182C5B">
      <w:pPr>
        <w:pStyle w:val="ListParagraph"/>
        <w:numPr>
          <w:ilvl w:val="0"/>
          <w:numId w:val="29"/>
        </w:numPr>
        <w:autoSpaceDE w:val="0"/>
        <w:autoSpaceDN w:val="0"/>
        <w:adjustRightInd w:val="0"/>
        <w:spacing w:after="120"/>
        <w:ind w:left="426" w:hanging="426"/>
        <w:jc w:val="both"/>
        <w:rPr>
          <w:rFonts w:eastAsia="Calibri" w:cs="Arial"/>
          <w:color w:val="000000"/>
          <w:szCs w:val="22"/>
          <w:lang w:eastAsia="en-US"/>
        </w:rPr>
      </w:pPr>
      <w:r w:rsidRPr="00182C5B">
        <w:rPr>
          <w:rFonts w:eastAsia="Calibri" w:cs="Arial"/>
          <w:color w:val="000000"/>
          <w:szCs w:val="22"/>
          <w:lang w:eastAsia="en-US"/>
        </w:rPr>
        <w:t>Und</w:t>
      </w:r>
      <w:r w:rsidR="00A464E7">
        <w:rPr>
          <w:rFonts w:eastAsia="Calibri" w:cs="Arial"/>
          <w:color w:val="000000"/>
          <w:szCs w:val="22"/>
          <w:lang w:eastAsia="en-US"/>
        </w:rPr>
        <w:t>er section 41(1) of the Act, a L</w:t>
      </w:r>
      <w:r w:rsidRPr="00182C5B">
        <w:rPr>
          <w:rFonts w:eastAsia="Calibri" w:cs="Arial"/>
          <w:color w:val="000000"/>
          <w:szCs w:val="22"/>
          <w:lang w:eastAsia="en-US"/>
        </w:rPr>
        <w:t>icensee may apply to have the number of gaming machines authorised</w:t>
      </w:r>
      <w:r>
        <w:rPr>
          <w:rFonts w:eastAsia="Calibri" w:cs="Arial"/>
          <w:color w:val="000000"/>
          <w:szCs w:val="22"/>
          <w:lang w:eastAsia="en-US"/>
        </w:rPr>
        <w:t xml:space="preserve"> </w:t>
      </w:r>
      <w:r w:rsidRPr="00182C5B">
        <w:rPr>
          <w:rFonts w:eastAsia="Calibri" w:cs="Arial"/>
          <w:color w:val="000000"/>
          <w:szCs w:val="22"/>
          <w:lang w:eastAsia="en-US"/>
        </w:rPr>
        <w:t>for use under the licence increased. The Director-General of Licensing (“Director-General”) may grant or</w:t>
      </w:r>
      <w:r>
        <w:rPr>
          <w:rFonts w:eastAsia="Calibri" w:cs="Arial"/>
          <w:color w:val="000000"/>
          <w:szCs w:val="22"/>
          <w:lang w:eastAsia="en-US"/>
        </w:rPr>
        <w:t xml:space="preserve"> </w:t>
      </w:r>
      <w:r w:rsidRPr="00182C5B">
        <w:rPr>
          <w:rFonts w:eastAsia="Calibri" w:cs="Arial"/>
          <w:color w:val="000000"/>
          <w:szCs w:val="22"/>
          <w:lang w:eastAsia="en-US"/>
        </w:rPr>
        <w:t>refuse such an application and in determining the application shall have regard to Part 3, Division 5 of</w:t>
      </w:r>
      <w:r>
        <w:rPr>
          <w:rFonts w:eastAsia="Calibri" w:cs="Arial"/>
          <w:color w:val="000000"/>
          <w:szCs w:val="22"/>
          <w:lang w:eastAsia="en-US"/>
        </w:rPr>
        <w:t xml:space="preserve"> </w:t>
      </w:r>
      <w:r w:rsidRPr="00182C5B">
        <w:rPr>
          <w:rFonts w:eastAsia="Calibri" w:cs="Arial"/>
          <w:color w:val="000000"/>
          <w:szCs w:val="22"/>
          <w:lang w:eastAsia="en-US"/>
        </w:rPr>
        <w:t>the Act.</w:t>
      </w:r>
    </w:p>
    <w:p w:rsidR="00182C5B" w:rsidRDefault="00182C5B" w:rsidP="002D3D08">
      <w:pPr>
        <w:pStyle w:val="ListParagraph"/>
        <w:numPr>
          <w:ilvl w:val="0"/>
          <w:numId w:val="29"/>
        </w:numPr>
        <w:autoSpaceDE w:val="0"/>
        <w:autoSpaceDN w:val="0"/>
        <w:adjustRightInd w:val="0"/>
        <w:spacing w:after="120"/>
        <w:ind w:left="426" w:hanging="426"/>
        <w:jc w:val="both"/>
        <w:rPr>
          <w:rFonts w:eastAsia="Calibri" w:cs="Arial"/>
          <w:color w:val="000000"/>
          <w:szCs w:val="22"/>
          <w:lang w:eastAsia="en-US"/>
        </w:rPr>
      </w:pPr>
      <w:r w:rsidRPr="00182C5B">
        <w:rPr>
          <w:rFonts w:eastAsia="Calibri" w:cs="Arial"/>
          <w:color w:val="000000"/>
          <w:szCs w:val="22"/>
          <w:lang w:eastAsia="en-US"/>
        </w:rPr>
        <w:t xml:space="preserve">The </w:t>
      </w:r>
      <w:r w:rsidR="00A464E7">
        <w:rPr>
          <w:rFonts w:eastAsia="Calibri" w:cs="Arial"/>
          <w:color w:val="000000"/>
          <w:szCs w:val="22"/>
          <w:lang w:eastAsia="en-US"/>
        </w:rPr>
        <w:t>Licensee</w:t>
      </w:r>
      <w:r w:rsidRPr="00182C5B">
        <w:rPr>
          <w:rFonts w:eastAsia="Calibri" w:cs="Arial"/>
          <w:color w:val="000000"/>
          <w:szCs w:val="22"/>
          <w:lang w:eastAsia="en-US"/>
        </w:rPr>
        <w:t xml:space="preserve"> holds Gaming Machine Licence Number </w:t>
      </w:r>
      <w:r w:rsidR="005A31F8">
        <w:rPr>
          <w:rFonts w:eastAsia="Calibri" w:cs="Arial"/>
          <w:color w:val="000000"/>
          <w:szCs w:val="22"/>
          <w:lang w:eastAsia="en-US"/>
        </w:rPr>
        <w:t>116</w:t>
      </w:r>
      <w:r w:rsidRPr="00182C5B">
        <w:rPr>
          <w:rFonts w:eastAsia="Calibri" w:cs="Arial"/>
          <w:color w:val="000000"/>
          <w:szCs w:val="22"/>
          <w:lang w:eastAsia="en-US"/>
        </w:rPr>
        <w:t xml:space="preserve"> and seeks to increase the number of gaming machines from </w:t>
      </w:r>
      <w:r w:rsidR="005A31F8">
        <w:rPr>
          <w:rFonts w:eastAsia="Calibri" w:cs="Arial"/>
          <w:color w:val="000000"/>
          <w:szCs w:val="22"/>
          <w:lang w:eastAsia="en-US"/>
        </w:rPr>
        <w:t>its current approved level of 25 to a proposed new number of 4</w:t>
      </w:r>
      <w:r w:rsidRPr="00182C5B">
        <w:rPr>
          <w:rFonts w:eastAsia="Calibri" w:cs="Arial"/>
          <w:color w:val="000000"/>
          <w:szCs w:val="22"/>
          <w:lang w:eastAsia="en-US"/>
        </w:rPr>
        <w:t>5 ga</w:t>
      </w:r>
      <w:r w:rsidR="00F62D27">
        <w:rPr>
          <w:rFonts w:eastAsia="Calibri" w:cs="Arial"/>
          <w:color w:val="000000"/>
          <w:szCs w:val="22"/>
          <w:lang w:eastAsia="en-US"/>
        </w:rPr>
        <w:t>m</w:t>
      </w:r>
      <w:r w:rsidR="005A31F8">
        <w:rPr>
          <w:rFonts w:eastAsia="Calibri" w:cs="Arial"/>
          <w:color w:val="000000"/>
          <w:szCs w:val="22"/>
          <w:lang w:eastAsia="en-US"/>
        </w:rPr>
        <w:t>ing machines, an increase of 20</w:t>
      </w:r>
      <w:r w:rsidR="00F62D27">
        <w:rPr>
          <w:rFonts w:eastAsia="Calibri" w:cs="Arial"/>
          <w:color w:val="000000"/>
          <w:szCs w:val="22"/>
          <w:lang w:eastAsia="en-US"/>
        </w:rPr>
        <w:t xml:space="preserve"> gaming</w:t>
      </w:r>
      <w:r w:rsidRPr="00182C5B">
        <w:rPr>
          <w:rFonts w:eastAsia="Calibri" w:cs="Arial"/>
          <w:color w:val="000000"/>
          <w:szCs w:val="22"/>
          <w:lang w:eastAsia="en-US"/>
        </w:rPr>
        <w:t xml:space="preserve"> machines. </w:t>
      </w:r>
      <w:r w:rsidRPr="00614B32">
        <w:rPr>
          <w:rFonts w:eastAsia="Calibri" w:cs="Arial"/>
          <w:color w:val="000000"/>
          <w:szCs w:val="22"/>
          <w:lang w:eastAsia="en-US"/>
        </w:rPr>
        <w:t>The application was accompanied by the prescribed ap</w:t>
      </w:r>
      <w:r w:rsidR="005A31F8" w:rsidRPr="00614B32">
        <w:rPr>
          <w:rFonts w:eastAsia="Calibri" w:cs="Arial"/>
          <w:color w:val="000000"/>
          <w:szCs w:val="22"/>
          <w:lang w:eastAsia="en-US"/>
        </w:rPr>
        <w:t>plication fee but under Regulation 31B of the Gaming Machine Regulations</w:t>
      </w:r>
      <w:r w:rsidR="00B373B0">
        <w:rPr>
          <w:rFonts w:eastAsia="Calibri" w:cs="Arial"/>
          <w:color w:val="000000"/>
          <w:szCs w:val="22"/>
          <w:lang w:eastAsia="en-US"/>
        </w:rPr>
        <w:t>,</w:t>
      </w:r>
      <w:r w:rsidR="005A31F8" w:rsidRPr="00614B32">
        <w:rPr>
          <w:rFonts w:eastAsia="Calibri" w:cs="Arial"/>
          <w:color w:val="000000"/>
          <w:szCs w:val="22"/>
          <w:lang w:eastAsia="en-US"/>
        </w:rPr>
        <w:t xml:space="preserve"> the application is exempt from the levy as it was lodged prior to 1 July </w:t>
      </w:r>
      <w:r w:rsidR="00B373B0">
        <w:rPr>
          <w:rFonts w:eastAsia="Calibri" w:cs="Arial"/>
          <w:color w:val="000000"/>
          <w:szCs w:val="22"/>
          <w:lang w:eastAsia="en-US"/>
        </w:rPr>
        <w:t xml:space="preserve">2016 </w:t>
      </w:r>
      <w:r w:rsidR="005A31F8" w:rsidRPr="00614B32">
        <w:rPr>
          <w:rFonts w:eastAsia="Calibri" w:cs="Arial"/>
          <w:color w:val="000000"/>
          <w:szCs w:val="22"/>
          <w:lang w:eastAsia="en-US"/>
        </w:rPr>
        <w:t xml:space="preserve">and if the application were to be successful the number of machines would not exceed the pre July 2015 maximum number of 45 machines for a Club. </w:t>
      </w:r>
      <w:r w:rsidR="00F62D27" w:rsidRPr="00421FCF">
        <w:rPr>
          <w:rFonts w:eastAsia="Calibri" w:cs="Arial"/>
          <w:color w:val="FFC000"/>
          <w:szCs w:val="22"/>
          <w:lang w:eastAsia="en-US"/>
        </w:rPr>
        <w:t xml:space="preserve"> </w:t>
      </w:r>
      <w:r w:rsidRPr="00182C5B">
        <w:rPr>
          <w:rFonts w:eastAsia="Calibri" w:cs="Arial"/>
          <w:color w:val="000000"/>
          <w:szCs w:val="22"/>
          <w:lang w:eastAsia="en-US"/>
        </w:rPr>
        <w:t xml:space="preserve">The Application </w:t>
      </w:r>
      <w:r>
        <w:rPr>
          <w:rFonts w:eastAsia="Calibri" w:cs="Arial"/>
          <w:color w:val="000000"/>
          <w:szCs w:val="22"/>
          <w:lang w:eastAsia="en-US"/>
        </w:rPr>
        <w:t>was accompanied by</w:t>
      </w:r>
      <w:r w:rsidRPr="00182C5B">
        <w:rPr>
          <w:rFonts w:eastAsia="Calibri" w:cs="Arial"/>
          <w:color w:val="000000"/>
          <w:szCs w:val="22"/>
          <w:lang w:eastAsia="en-US"/>
        </w:rPr>
        <w:t xml:space="preserve"> a Community Impact Analysis (“CIA”) prepared by </w:t>
      </w:r>
      <w:r w:rsidR="005A31F8">
        <w:rPr>
          <w:rFonts w:eastAsia="Calibri" w:cs="Arial"/>
          <w:color w:val="000000"/>
          <w:szCs w:val="22"/>
          <w:lang w:eastAsia="en-US"/>
        </w:rPr>
        <w:t>DWS Hospitality Specialists</w:t>
      </w:r>
      <w:r w:rsidRPr="00182C5B">
        <w:rPr>
          <w:rFonts w:eastAsia="Calibri" w:cs="Arial"/>
          <w:color w:val="000000"/>
          <w:szCs w:val="22"/>
          <w:lang w:eastAsia="en-US"/>
        </w:rPr>
        <w:t>.</w:t>
      </w:r>
    </w:p>
    <w:p w:rsidR="00E217A2" w:rsidRDefault="00E217A2" w:rsidP="002D3D08">
      <w:pPr>
        <w:pStyle w:val="ListParagraph"/>
        <w:numPr>
          <w:ilvl w:val="0"/>
          <w:numId w:val="29"/>
        </w:numPr>
        <w:autoSpaceDE w:val="0"/>
        <w:autoSpaceDN w:val="0"/>
        <w:adjustRightInd w:val="0"/>
        <w:spacing w:after="120"/>
        <w:ind w:left="426" w:hanging="426"/>
        <w:jc w:val="both"/>
        <w:rPr>
          <w:rFonts w:eastAsia="Calibri" w:cs="Arial"/>
          <w:color w:val="000000"/>
          <w:szCs w:val="22"/>
          <w:lang w:eastAsia="en-US"/>
        </w:rPr>
      </w:pPr>
      <w:r>
        <w:rPr>
          <w:rFonts w:eastAsia="Calibri" w:cs="Arial"/>
          <w:color w:val="000000"/>
          <w:szCs w:val="22"/>
          <w:lang w:eastAsia="en-US"/>
        </w:rPr>
        <w:t xml:space="preserve">The </w:t>
      </w:r>
      <w:r w:rsidR="00A464E7">
        <w:rPr>
          <w:rFonts w:eastAsia="Calibri" w:cs="Arial"/>
          <w:color w:val="000000"/>
          <w:szCs w:val="22"/>
          <w:lang w:eastAsia="en-US"/>
        </w:rPr>
        <w:t>Licensees</w:t>
      </w:r>
      <w:r>
        <w:rPr>
          <w:rFonts w:eastAsia="Calibri" w:cs="Arial"/>
          <w:color w:val="000000"/>
          <w:szCs w:val="22"/>
          <w:lang w:eastAsia="en-US"/>
        </w:rPr>
        <w:t xml:space="preserve"> application was advertised in the Tennant and District Times on Friday 22 January 2016 with a redacted version of its CIA posted on the Licensing NT website on Wednesday 27 January 2016. </w:t>
      </w:r>
    </w:p>
    <w:p w:rsidR="0071166E" w:rsidRDefault="0071166E">
      <w:pPr>
        <w:spacing w:after="0"/>
        <w:rPr>
          <w:rFonts w:eastAsia="Calibri" w:cs="Arial"/>
          <w:b/>
          <w:bCs/>
          <w:color w:val="000000"/>
          <w:sz w:val="24"/>
          <w:szCs w:val="24"/>
          <w:lang w:eastAsia="en-US"/>
        </w:rPr>
      </w:pPr>
      <w:r>
        <w:rPr>
          <w:rFonts w:eastAsia="Calibri" w:cs="Arial"/>
          <w:b/>
          <w:bCs/>
          <w:color w:val="000000"/>
          <w:sz w:val="24"/>
          <w:szCs w:val="24"/>
          <w:lang w:eastAsia="en-US"/>
        </w:rPr>
        <w:br w:type="page"/>
      </w:r>
    </w:p>
    <w:p w:rsidR="002D3D08" w:rsidRPr="005C4AF5" w:rsidRDefault="00182C5B" w:rsidP="001D1071">
      <w:pPr>
        <w:pStyle w:val="Heading2"/>
        <w:rPr>
          <w:rFonts w:eastAsia="Calibri"/>
          <w:szCs w:val="22"/>
          <w:lang w:eastAsia="en-US"/>
        </w:rPr>
      </w:pPr>
      <w:r w:rsidRPr="005C4AF5">
        <w:rPr>
          <w:rFonts w:eastAsia="Calibri"/>
          <w:lang w:eastAsia="en-US"/>
        </w:rPr>
        <w:lastRenderedPageBreak/>
        <w:t>Consideration and Reasons</w:t>
      </w:r>
    </w:p>
    <w:p w:rsidR="00182C5B" w:rsidRPr="002D3D08" w:rsidRDefault="00182C5B" w:rsidP="002D3D08">
      <w:pPr>
        <w:pStyle w:val="ListParagraph"/>
        <w:numPr>
          <w:ilvl w:val="0"/>
          <w:numId w:val="29"/>
        </w:numPr>
        <w:autoSpaceDE w:val="0"/>
        <w:autoSpaceDN w:val="0"/>
        <w:adjustRightInd w:val="0"/>
        <w:spacing w:after="120"/>
        <w:ind w:left="426" w:hanging="426"/>
        <w:jc w:val="both"/>
        <w:rPr>
          <w:rFonts w:eastAsia="Calibri" w:cs="Arial"/>
          <w:color w:val="000000"/>
          <w:szCs w:val="22"/>
          <w:lang w:eastAsia="en-US"/>
        </w:rPr>
      </w:pPr>
      <w:r w:rsidRPr="002D3D08">
        <w:rPr>
          <w:rFonts w:eastAsia="Calibri" w:cs="Arial"/>
          <w:color w:val="000000"/>
          <w:szCs w:val="22"/>
          <w:lang w:eastAsia="en-US"/>
        </w:rPr>
        <w:t>When determining this application, the Director-General must have regard to relevant provisions of the</w:t>
      </w:r>
      <w:r w:rsidR="002D3D08">
        <w:rPr>
          <w:rFonts w:eastAsia="Calibri" w:cs="Arial"/>
          <w:color w:val="000000"/>
          <w:szCs w:val="22"/>
          <w:lang w:eastAsia="en-US"/>
        </w:rPr>
        <w:t xml:space="preserve"> </w:t>
      </w:r>
      <w:r w:rsidRPr="002D3D08">
        <w:rPr>
          <w:rFonts w:eastAsia="Calibri" w:cs="Arial"/>
          <w:color w:val="000000"/>
          <w:szCs w:val="22"/>
          <w:lang w:eastAsia="en-US"/>
        </w:rPr>
        <w:t>Act and regulations, including but not limited to the statutory objects of the Act which are:</w:t>
      </w:r>
    </w:p>
    <w:p w:rsidR="00182C5B" w:rsidRDefault="00182C5B" w:rsidP="002D3D08">
      <w:pPr>
        <w:autoSpaceDE w:val="0"/>
        <w:autoSpaceDN w:val="0"/>
        <w:adjustRightInd w:val="0"/>
        <w:spacing w:after="120"/>
        <w:ind w:left="426"/>
        <w:rPr>
          <w:rFonts w:eastAsia="Calibri" w:cs="Arial"/>
          <w:i/>
          <w:iCs/>
          <w:color w:val="0E0E0E"/>
          <w:szCs w:val="22"/>
          <w:lang w:eastAsia="en-US"/>
        </w:rPr>
      </w:pPr>
      <w:r>
        <w:rPr>
          <w:rFonts w:eastAsia="Calibri" w:cs="Arial"/>
          <w:i/>
          <w:iCs/>
          <w:color w:val="0E0E0E"/>
          <w:szCs w:val="22"/>
          <w:lang w:eastAsia="en-US"/>
        </w:rPr>
        <w:t>(a) to promote probity and integrity in gaming;</w:t>
      </w:r>
    </w:p>
    <w:p w:rsidR="00182C5B" w:rsidRDefault="00182C5B" w:rsidP="002D3D08">
      <w:pPr>
        <w:autoSpaceDE w:val="0"/>
        <w:autoSpaceDN w:val="0"/>
        <w:adjustRightInd w:val="0"/>
        <w:spacing w:after="120"/>
        <w:ind w:left="426"/>
        <w:rPr>
          <w:rFonts w:eastAsia="Calibri" w:cs="Arial"/>
          <w:i/>
          <w:iCs/>
          <w:color w:val="0E0E0E"/>
          <w:szCs w:val="22"/>
          <w:lang w:eastAsia="en-US"/>
        </w:rPr>
      </w:pPr>
      <w:r>
        <w:rPr>
          <w:rFonts w:eastAsia="Calibri" w:cs="Arial"/>
          <w:i/>
          <w:iCs/>
          <w:color w:val="0E0E0E"/>
          <w:szCs w:val="22"/>
          <w:lang w:eastAsia="en-US"/>
        </w:rPr>
        <w:t>(b) to maintain the probity and integrity of persons engaged in gaming in the</w:t>
      </w:r>
      <w:r w:rsidR="002D3D08">
        <w:rPr>
          <w:rFonts w:eastAsia="Calibri" w:cs="Arial"/>
          <w:i/>
          <w:iCs/>
          <w:color w:val="0E0E0E"/>
          <w:szCs w:val="22"/>
          <w:lang w:eastAsia="en-US"/>
        </w:rPr>
        <w:t xml:space="preserve"> </w:t>
      </w:r>
      <w:r>
        <w:rPr>
          <w:rFonts w:eastAsia="Calibri" w:cs="Arial"/>
          <w:i/>
          <w:iCs/>
          <w:color w:val="0E0E0E"/>
          <w:szCs w:val="22"/>
          <w:lang w:eastAsia="en-US"/>
        </w:rPr>
        <w:t>Territory;</w:t>
      </w:r>
    </w:p>
    <w:p w:rsidR="00182C5B" w:rsidRDefault="00182C5B" w:rsidP="002D3D08">
      <w:pPr>
        <w:autoSpaceDE w:val="0"/>
        <w:autoSpaceDN w:val="0"/>
        <w:adjustRightInd w:val="0"/>
        <w:spacing w:after="0"/>
        <w:ind w:left="851" w:hanging="425"/>
        <w:rPr>
          <w:rFonts w:eastAsia="Calibri" w:cs="Arial"/>
          <w:i/>
          <w:iCs/>
          <w:color w:val="0E0E0E"/>
          <w:szCs w:val="22"/>
          <w:lang w:eastAsia="en-US"/>
        </w:rPr>
      </w:pPr>
      <w:r>
        <w:rPr>
          <w:rFonts w:eastAsia="Calibri" w:cs="Arial"/>
          <w:i/>
          <w:iCs/>
          <w:color w:val="0E0E0E"/>
          <w:szCs w:val="22"/>
          <w:lang w:eastAsia="en-US"/>
        </w:rPr>
        <w:t>(c) to promote fairness, integrity and efficiency in the operations of persons engaged in</w:t>
      </w:r>
    </w:p>
    <w:p w:rsidR="00182C5B" w:rsidRDefault="00182C5B" w:rsidP="002D3D08">
      <w:pPr>
        <w:autoSpaceDE w:val="0"/>
        <w:autoSpaceDN w:val="0"/>
        <w:adjustRightInd w:val="0"/>
        <w:spacing w:after="120"/>
        <w:ind w:left="851" w:hanging="131"/>
        <w:rPr>
          <w:rFonts w:eastAsia="Calibri" w:cs="Arial"/>
          <w:i/>
          <w:iCs/>
          <w:color w:val="0E0E0E"/>
          <w:szCs w:val="22"/>
          <w:lang w:eastAsia="en-US"/>
        </w:rPr>
      </w:pPr>
      <w:r>
        <w:rPr>
          <w:rFonts w:eastAsia="Calibri" w:cs="Arial"/>
          <w:i/>
          <w:iCs/>
          <w:color w:val="0E0E0E"/>
          <w:szCs w:val="22"/>
          <w:lang w:eastAsia="en-US"/>
        </w:rPr>
        <w:t>gaming in the Territory;</w:t>
      </w:r>
    </w:p>
    <w:p w:rsidR="00182C5B" w:rsidRDefault="00182C5B" w:rsidP="002D3D08">
      <w:pPr>
        <w:autoSpaceDE w:val="0"/>
        <w:autoSpaceDN w:val="0"/>
        <w:adjustRightInd w:val="0"/>
        <w:spacing w:after="120"/>
        <w:ind w:left="426"/>
        <w:rPr>
          <w:rFonts w:eastAsia="Calibri" w:cs="Arial"/>
          <w:i/>
          <w:iCs/>
          <w:color w:val="0E0E0E"/>
          <w:szCs w:val="22"/>
          <w:lang w:eastAsia="en-US"/>
        </w:rPr>
      </w:pPr>
      <w:r>
        <w:rPr>
          <w:rFonts w:eastAsia="Calibri" w:cs="Arial"/>
          <w:i/>
          <w:iCs/>
          <w:color w:val="0E0E0E"/>
          <w:szCs w:val="22"/>
          <w:lang w:eastAsia="en-US"/>
        </w:rPr>
        <w:t>(d) to reduce any adverse social impact of gaming; and</w:t>
      </w:r>
    </w:p>
    <w:p w:rsidR="00182C5B" w:rsidRDefault="00182C5B" w:rsidP="002D3D08">
      <w:pPr>
        <w:autoSpaceDE w:val="0"/>
        <w:autoSpaceDN w:val="0"/>
        <w:adjustRightInd w:val="0"/>
        <w:spacing w:after="0"/>
        <w:ind w:left="426"/>
        <w:rPr>
          <w:rFonts w:eastAsia="Calibri" w:cs="Arial"/>
          <w:i/>
          <w:iCs/>
          <w:color w:val="0E0E0E"/>
          <w:szCs w:val="22"/>
          <w:lang w:eastAsia="en-US"/>
        </w:rPr>
      </w:pPr>
      <w:r>
        <w:rPr>
          <w:rFonts w:eastAsia="Calibri" w:cs="Arial"/>
          <w:i/>
          <w:iCs/>
          <w:color w:val="0E0E0E"/>
          <w:szCs w:val="22"/>
          <w:lang w:eastAsia="en-US"/>
        </w:rPr>
        <w:t xml:space="preserve">(e) to promote </w:t>
      </w:r>
      <w:r>
        <w:rPr>
          <w:rFonts w:ascii="Times New Roman" w:eastAsia="Calibri" w:hAnsi="Times New Roman"/>
          <w:color w:val="0E0E0E"/>
          <w:sz w:val="26"/>
          <w:szCs w:val="26"/>
          <w:lang w:eastAsia="en-US"/>
        </w:rPr>
        <w:t xml:space="preserve">a </w:t>
      </w:r>
      <w:r>
        <w:rPr>
          <w:rFonts w:eastAsia="Calibri" w:cs="Arial"/>
          <w:i/>
          <w:iCs/>
          <w:color w:val="0E0E0E"/>
          <w:szCs w:val="22"/>
          <w:lang w:eastAsia="en-US"/>
        </w:rPr>
        <w:t>balanced contribution by the gaming industry to general community</w:t>
      </w:r>
    </w:p>
    <w:p w:rsidR="00182C5B" w:rsidRDefault="00182C5B" w:rsidP="002D3D08">
      <w:pPr>
        <w:autoSpaceDE w:val="0"/>
        <w:autoSpaceDN w:val="0"/>
        <w:adjustRightInd w:val="0"/>
        <w:spacing w:after="120"/>
        <w:ind w:left="426" w:firstLine="294"/>
        <w:rPr>
          <w:rFonts w:eastAsia="Calibri" w:cs="Arial"/>
          <w:i/>
          <w:iCs/>
          <w:color w:val="0E0E0E"/>
          <w:szCs w:val="22"/>
          <w:lang w:eastAsia="en-US"/>
        </w:rPr>
      </w:pPr>
      <w:r>
        <w:rPr>
          <w:rFonts w:eastAsia="Calibri" w:cs="Arial"/>
          <w:i/>
          <w:iCs/>
          <w:color w:val="0E0E0E"/>
          <w:szCs w:val="22"/>
          <w:lang w:eastAsia="en-US"/>
        </w:rPr>
        <w:t>benefit and amenity.</w:t>
      </w:r>
    </w:p>
    <w:p w:rsidR="00182C5B" w:rsidRPr="002D3D08" w:rsidRDefault="00182C5B" w:rsidP="002D3D08">
      <w:pPr>
        <w:pStyle w:val="ListParagraph"/>
        <w:numPr>
          <w:ilvl w:val="0"/>
          <w:numId w:val="29"/>
        </w:numPr>
        <w:autoSpaceDE w:val="0"/>
        <w:autoSpaceDN w:val="0"/>
        <w:adjustRightInd w:val="0"/>
        <w:spacing w:after="120"/>
        <w:ind w:left="426" w:hanging="426"/>
        <w:jc w:val="both"/>
        <w:rPr>
          <w:rFonts w:eastAsia="Calibri" w:cs="Arial"/>
          <w:color w:val="000000"/>
          <w:szCs w:val="22"/>
          <w:lang w:eastAsia="en-US"/>
        </w:rPr>
      </w:pPr>
      <w:r w:rsidRPr="002D3D08">
        <w:rPr>
          <w:rFonts w:eastAsia="Calibri" w:cs="Arial"/>
          <w:color w:val="000000"/>
          <w:szCs w:val="22"/>
          <w:lang w:eastAsia="en-US"/>
        </w:rPr>
        <w:t>Additionally, pursuant to section 41(4) of the Act, the Director-General shall</w:t>
      </w:r>
      <w:r w:rsidR="00721FB6">
        <w:rPr>
          <w:rFonts w:eastAsia="Calibri" w:cs="Arial"/>
          <w:color w:val="000000"/>
          <w:szCs w:val="22"/>
          <w:lang w:eastAsia="en-US"/>
        </w:rPr>
        <w:t>,</w:t>
      </w:r>
      <w:r w:rsidRPr="002D3D08">
        <w:rPr>
          <w:rFonts w:eastAsia="Calibri" w:cs="Arial"/>
          <w:color w:val="000000"/>
          <w:szCs w:val="22"/>
          <w:lang w:eastAsia="en-US"/>
        </w:rPr>
        <w:t xml:space="preserve"> when determining an</w:t>
      </w:r>
      <w:r w:rsidR="002D3D08">
        <w:rPr>
          <w:rFonts w:eastAsia="Calibri" w:cs="Arial"/>
          <w:color w:val="000000"/>
          <w:szCs w:val="22"/>
          <w:lang w:eastAsia="en-US"/>
        </w:rPr>
        <w:t xml:space="preserve"> </w:t>
      </w:r>
      <w:r w:rsidRPr="002D3D08">
        <w:rPr>
          <w:rFonts w:eastAsia="Calibri" w:cs="Arial"/>
          <w:color w:val="000000"/>
          <w:szCs w:val="22"/>
          <w:lang w:eastAsia="en-US"/>
        </w:rPr>
        <w:t>application for an increase in the number of gaming ma</w:t>
      </w:r>
      <w:r w:rsidR="002D3D08">
        <w:rPr>
          <w:rFonts w:eastAsia="Calibri" w:cs="Arial"/>
          <w:color w:val="000000"/>
          <w:szCs w:val="22"/>
          <w:lang w:eastAsia="en-US"/>
        </w:rPr>
        <w:t xml:space="preserve">chines authorised for use, have </w:t>
      </w:r>
      <w:r w:rsidRPr="002D3D08">
        <w:rPr>
          <w:rFonts w:eastAsia="Calibri" w:cs="Arial"/>
          <w:color w:val="000000"/>
          <w:szCs w:val="22"/>
          <w:lang w:eastAsia="en-US"/>
        </w:rPr>
        <w:t>regard to:</w:t>
      </w:r>
    </w:p>
    <w:p w:rsidR="00182C5B" w:rsidRDefault="00182C5B" w:rsidP="005C4AF5">
      <w:pPr>
        <w:autoSpaceDE w:val="0"/>
        <w:autoSpaceDN w:val="0"/>
        <w:adjustRightInd w:val="0"/>
        <w:spacing w:after="120"/>
        <w:ind w:left="709" w:hanging="283"/>
        <w:rPr>
          <w:rFonts w:eastAsia="Calibri" w:cs="Arial"/>
          <w:i/>
          <w:iCs/>
          <w:color w:val="0E0E0E"/>
          <w:szCs w:val="22"/>
          <w:lang w:eastAsia="en-US"/>
        </w:rPr>
      </w:pPr>
      <w:r>
        <w:rPr>
          <w:rFonts w:eastAsia="Calibri" w:cs="Arial"/>
          <w:i/>
          <w:iCs/>
          <w:color w:val="0E0E0E"/>
          <w:szCs w:val="22"/>
          <w:lang w:eastAsia="en-US"/>
        </w:rPr>
        <w:t>(a) the increased number of gaming machines that the applicant seeks to have</w:t>
      </w:r>
      <w:r w:rsidR="002D3D08">
        <w:rPr>
          <w:rFonts w:eastAsia="Calibri" w:cs="Arial"/>
          <w:i/>
          <w:iCs/>
          <w:color w:val="0E0E0E"/>
          <w:szCs w:val="22"/>
          <w:lang w:eastAsia="en-US"/>
        </w:rPr>
        <w:t xml:space="preserve"> authorised for </w:t>
      </w:r>
      <w:r>
        <w:rPr>
          <w:rFonts w:eastAsia="Calibri" w:cs="Arial"/>
          <w:i/>
          <w:iCs/>
          <w:color w:val="0E0E0E"/>
          <w:szCs w:val="22"/>
          <w:lang w:eastAsia="en-US"/>
        </w:rPr>
        <w:t>use under the gaming machine licence;</w:t>
      </w:r>
    </w:p>
    <w:p w:rsidR="00182C5B" w:rsidRDefault="00182C5B" w:rsidP="002D3D08">
      <w:pPr>
        <w:autoSpaceDE w:val="0"/>
        <w:autoSpaceDN w:val="0"/>
        <w:adjustRightInd w:val="0"/>
        <w:spacing w:after="120"/>
        <w:ind w:left="851" w:hanging="425"/>
        <w:rPr>
          <w:rFonts w:eastAsia="Calibri" w:cs="Arial"/>
          <w:i/>
          <w:iCs/>
          <w:color w:val="0E0E0E"/>
          <w:szCs w:val="22"/>
          <w:lang w:eastAsia="en-US"/>
        </w:rPr>
      </w:pPr>
      <w:r>
        <w:rPr>
          <w:rFonts w:eastAsia="Calibri" w:cs="Arial"/>
          <w:i/>
          <w:iCs/>
          <w:color w:val="0E0E0E"/>
          <w:szCs w:val="22"/>
          <w:lang w:eastAsia="en-US"/>
        </w:rPr>
        <w:t xml:space="preserve">(b) if section 41A applies </w:t>
      </w:r>
      <w:r>
        <w:rPr>
          <w:rFonts w:eastAsia="Calibri" w:cs="Arial"/>
          <w:color w:val="0E0E0E"/>
          <w:szCs w:val="22"/>
          <w:lang w:eastAsia="en-US"/>
        </w:rPr>
        <w:t>-</w:t>
      </w:r>
      <w:r>
        <w:rPr>
          <w:rFonts w:eastAsia="Calibri" w:cs="Arial"/>
          <w:i/>
          <w:iCs/>
          <w:color w:val="0E0E0E"/>
          <w:szCs w:val="22"/>
          <w:lang w:eastAsia="en-US"/>
        </w:rPr>
        <w:t>the community impact analysis;</w:t>
      </w:r>
    </w:p>
    <w:p w:rsidR="00182C5B" w:rsidRDefault="00721FB6" w:rsidP="002D3D08">
      <w:pPr>
        <w:autoSpaceDE w:val="0"/>
        <w:autoSpaceDN w:val="0"/>
        <w:adjustRightInd w:val="0"/>
        <w:spacing w:after="120"/>
        <w:ind w:left="851" w:hanging="425"/>
        <w:rPr>
          <w:rFonts w:eastAsia="Calibri" w:cs="Arial"/>
          <w:i/>
          <w:iCs/>
          <w:color w:val="0E0E0E"/>
          <w:szCs w:val="22"/>
          <w:lang w:eastAsia="en-US"/>
        </w:rPr>
      </w:pPr>
      <w:r>
        <w:rPr>
          <w:rFonts w:eastAsia="Calibri" w:cs="Arial"/>
          <w:i/>
          <w:iCs/>
          <w:color w:val="0E0E0E"/>
          <w:szCs w:val="22"/>
          <w:lang w:eastAsia="en-US"/>
        </w:rPr>
        <w:t>(ba) if section 41B</w:t>
      </w:r>
      <w:r w:rsidR="00182C5B">
        <w:rPr>
          <w:rFonts w:eastAsia="Calibri" w:cs="Arial"/>
          <w:i/>
          <w:iCs/>
          <w:color w:val="0E0E0E"/>
          <w:szCs w:val="22"/>
          <w:lang w:eastAsia="en-US"/>
        </w:rPr>
        <w:t xml:space="preserve"> applies - any submissions received under the section;</w:t>
      </w:r>
    </w:p>
    <w:p w:rsidR="00182C5B" w:rsidRDefault="00182C5B" w:rsidP="002D3D08">
      <w:pPr>
        <w:autoSpaceDE w:val="0"/>
        <w:autoSpaceDN w:val="0"/>
        <w:adjustRightInd w:val="0"/>
        <w:spacing w:after="120"/>
        <w:ind w:left="851" w:hanging="425"/>
        <w:rPr>
          <w:rFonts w:eastAsia="Calibri" w:cs="Arial"/>
          <w:i/>
          <w:iCs/>
          <w:color w:val="0E0E0E"/>
          <w:szCs w:val="22"/>
          <w:lang w:eastAsia="en-US"/>
        </w:rPr>
      </w:pPr>
      <w:r>
        <w:rPr>
          <w:rFonts w:eastAsia="Calibri" w:cs="Arial"/>
          <w:i/>
          <w:iCs/>
          <w:color w:val="0E0E0E"/>
          <w:szCs w:val="22"/>
          <w:lang w:eastAsia="en-US"/>
        </w:rPr>
        <w:t>(c) the gross monthly profit of existing gaming machines operated on the premises;</w:t>
      </w:r>
    </w:p>
    <w:p w:rsidR="00182C5B" w:rsidRDefault="00182C5B" w:rsidP="002D3D08">
      <w:pPr>
        <w:autoSpaceDE w:val="0"/>
        <w:autoSpaceDN w:val="0"/>
        <w:adjustRightInd w:val="0"/>
        <w:spacing w:after="120"/>
        <w:ind w:left="851" w:hanging="425"/>
        <w:rPr>
          <w:rFonts w:eastAsia="Calibri" w:cs="Arial"/>
          <w:i/>
          <w:iCs/>
          <w:color w:val="0E0E0E"/>
          <w:szCs w:val="22"/>
          <w:lang w:eastAsia="en-US"/>
        </w:rPr>
      </w:pPr>
      <w:r>
        <w:rPr>
          <w:rFonts w:eastAsia="Calibri" w:cs="Arial"/>
          <w:i/>
          <w:iCs/>
          <w:color w:val="0E0E0E"/>
          <w:szCs w:val="22"/>
          <w:lang w:eastAsia="en-US"/>
        </w:rPr>
        <w:t>(d) the hours and days when the premises are open for the sale of liquor;</w:t>
      </w:r>
    </w:p>
    <w:p w:rsidR="00182C5B" w:rsidRDefault="00182C5B" w:rsidP="005C4AF5">
      <w:pPr>
        <w:autoSpaceDE w:val="0"/>
        <w:autoSpaceDN w:val="0"/>
        <w:adjustRightInd w:val="0"/>
        <w:spacing w:after="120"/>
        <w:ind w:left="709" w:hanging="283"/>
        <w:rPr>
          <w:rFonts w:eastAsia="Calibri" w:cs="Arial"/>
          <w:i/>
          <w:iCs/>
          <w:color w:val="0E0E0E"/>
          <w:szCs w:val="22"/>
          <w:lang w:eastAsia="en-US"/>
        </w:rPr>
      </w:pPr>
      <w:r>
        <w:rPr>
          <w:rFonts w:eastAsia="Calibri" w:cs="Arial"/>
          <w:i/>
          <w:iCs/>
          <w:color w:val="0E0E0E"/>
          <w:szCs w:val="22"/>
          <w:lang w:eastAsia="en-US"/>
        </w:rPr>
        <w:t>(e) the size, layout and facilities of the premises together with any proposed</w:t>
      </w:r>
      <w:r w:rsidR="002D3D08">
        <w:rPr>
          <w:rFonts w:eastAsia="Calibri" w:cs="Arial"/>
          <w:i/>
          <w:iCs/>
          <w:color w:val="0E0E0E"/>
          <w:szCs w:val="22"/>
          <w:lang w:eastAsia="en-US"/>
        </w:rPr>
        <w:t xml:space="preserve"> </w:t>
      </w:r>
      <w:r w:rsidR="005C4AF5">
        <w:rPr>
          <w:rFonts w:eastAsia="Calibri" w:cs="Arial"/>
          <w:i/>
          <w:iCs/>
          <w:color w:val="0E0E0E"/>
          <w:szCs w:val="22"/>
          <w:lang w:eastAsia="en-US"/>
        </w:rPr>
        <w:t xml:space="preserve">modification or </w:t>
      </w:r>
      <w:r>
        <w:rPr>
          <w:rFonts w:eastAsia="Calibri" w:cs="Arial"/>
          <w:i/>
          <w:iCs/>
          <w:color w:val="0E0E0E"/>
          <w:szCs w:val="22"/>
          <w:lang w:eastAsia="en-US"/>
        </w:rPr>
        <w:t>relocation of the gaming machine areas of the premises; and</w:t>
      </w:r>
    </w:p>
    <w:p w:rsidR="00182C5B" w:rsidRDefault="00182C5B" w:rsidP="002D3D08">
      <w:pPr>
        <w:autoSpaceDE w:val="0"/>
        <w:autoSpaceDN w:val="0"/>
        <w:adjustRightInd w:val="0"/>
        <w:spacing w:after="120"/>
        <w:ind w:left="426"/>
        <w:rPr>
          <w:rFonts w:eastAsia="Calibri" w:cs="Arial"/>
          <w:i/>
          <w:iCs/>
          <w:color w:val="0E0E0E"/>
          <w:szCs w:val="22"/>
          <w:lang w:eastAsia="en-US"/>
        </w:rPr>
      </w:pPr>
      <w:r>
        <w:rPr>
          <w:rFonts w:eastAsia="Calibri" w:cs="Arial"/>
          <w:i/>
          <w:iCs/>
          <w:color w:val="0E0E0E"/>
          <w:szCs w:val="22"/>
          <w:lang w:eastAsia="en-US"/>
        </w:rPr>
        <w:t>(f) such other matters as the Director-General considers are relevant.</w:t>
      </w:r>
    </w:p>
    <w:p w:rsidR="00182C5B" w:rsidRDefault="00182C5B" w:rsidP="00182C5B">
      <w:pPr>
        <w:pStyle w:val="ListParagraph"/>
        <w:numPr>
          <w:ilvl w:val="0"/>
          <w:numId w:val="29"/>
        </w:numPr>
        <w:autoSpaceDE w:val="0"/>
        <w:autoSpaceDN w:val="0"/>
        <w:adjustRightInd w:val="0"/>
        <w:spacing w:after="0"/>
        <w:ind w:left="426" w:hanging="426"/>
        <w:rPr>
          <w:rFonts w:eastAsia="Calibri" w:cs="Arial"/>
          <w:color w:val="000000"/>
          <w:szCs w:val="22"/>
          <w:lang w:eastAsia="en-US"/>
        </w:rPr>
      </w:pPr>
      <w:r w:rsidRPr="005C4AF5">
        <w:rPr>
          <w:rFonts w:eastAsia="Calibri" w:cs="Arial"/>
          <w:color w:val="000000"/>
          <w:szCs w:val="22"/>
          <w:lang w:eastAsia="en-US"/>
        </w:rPr>
        <w:t>In addition, section 41(2)(ca) of t</w:t>
      </w:r>
      <w:r w:rsidR="00A464E7">
        <w:rPr>
          <w:rFonts w:eastAsia="Calibri" w:cs="Arial"/>
          <w:color w:val="000000"/>
          <w:szCs w:val="22"/>
          <w:lang w:eastAsia="en-US"/>
        </w:rPr>
        <w:t>he Act provides that where the A</w:t>
      </w:r>
      <w:r w:rsidRPr="005C4AF5">
        <w:rPr>
          <w:rFonts w:eastAsia="Calibri" w:cs="Arial"/>
          <w:color w:val="000000"/>
          <w:szCs w:val="22"/>
          <w:lang w:eastAsia="en-US"/>
        </w:rPr>
        <w:t>pplicant for an increase in gaming</w:t>
      </w:r>
      <w:r w:rsidR="005C4AF5">
        <w:rPr>
          <w:rFonts w:eastAsia="Calibri" w:cs="Arial"/>
          <w:color w:val="000000"/>
          <w:szCs w:val="22"/>
          <w:lang w:eastAsia="en-US"/>
        </w:rPr>
        <w:t xml:space="preserve"> </w:t>
      </w:r>
      <w:r w:rsidRPr="005C4AF5">
        <w:rPr>
          <w:rFonts w:eastAsia="Calibri" w:cs="Arial"/>
          <w:color w:val="000000"/>
          <w:szCs w:val="22"/>
          <w:lang w:eastAsia="en-US"/>
        </w:rPr>
        <w:t>machines is a club the application must contain details of the extent to which the club’s profits have been</w:t>
      </w:r>
      <w:r w:rsidR="005C4AF5">
        <w:rPr>
          <w:rFonts w:eastAsia="Calibri" w:cs="Arial"/>
          <w:color w:val="000000"/>
          <w:szCs w:val="22"/>
          <w:lang w:eastAsia="en-US"/>
        </w:rPr>
        <w:t xml:space="preserve"> </w:t>
      </w:r>
      <w:r w:rsidRPr="005C4AF5">
        <w:rPr>
          <w:rFonts w:eastAsia="Calibri" w:cs="Arial"/>
          <w:color w:val="000000"/>
          <w:szCs w:val="22"/>
          <w:lang w:eastAsia="en-US"/>
        </w:rPr>
        <w:t>allocated or distributed:</w:t>
      </w:r>
    </w:p>
    <w:p w:rsidR="005C4AF5" w:rsidRPr="005C4AF5" w:rsidRDefault="005C4AF5" w:rsidP="005C4AF5">
      <w:pPr>
        <w:pStyle w:val="ListParagraph"/>
        <w:autoSpaceDE w:val="0"/>
        <w:autoSpaceDN w:val="0"/>
        <w:adjustRightInd w:val="0"/>
        <w:spacing w:after="0"/>
        <w:ind w:left="426"/>
        <w:rPr>
          <w:rFonts w:eastAsia="Calibri" w:cs="Arial"/>
          <w:color w:val="000000"/>
          <w:szCs w:val="22"/>
          <w:lang w:eastAsia="en-US"/>
        </w:rPr>
      </w:pPr>
    </w:p>
    <w:p w:rsidR="005C4AF5" w:rsidRDefault="00182C5B" w:rsidP="005C4AF5">
      <w:pPr>
        <w:pStyle w:val="ListParagraph"/>
        <w:numPr>
          <w:ilvl w:val="0"/>
          <w:numId w:val="31"/>
        </w:numPr>
        <w:autoSpaceDE w:val="0"/>
        <w:autoSpaceDN w:val="0"/>
        <w:adjustRightInd w:val="0"/>
        <w:spacing w:after="120"/>
        <w:ind w:left="709" w:hanging="349"/>
        <w:rPr>
          <w:rFonts w:eastAsia="Calibri" w:cs="Arial"/>
          <w:i/>
          <w:iCs/>
          <w:color w:val="0E0E0E"/>
          <w:szCs w:val="22"/>
          <w:lang w:eastAsia="en-US"/>
        </w:rPr>
      </w:pPr>
      <w:r w:rsidRPr="005C4AF5">
        <w:rPr>
          <w:rFonts w:eastAsia="Calibri" w:cs="Arial"/>
          <w:i/>
          <w:iCs/>
          <w:color w:val="0E0E0E"/>
          <w:szCs w:val="22"/>
          <w:lang w:eastAsia="en-US"/>
        </w:rPr>
        <w:t>towards development of the club</w:t>
      </w:r>
      <w:r w:rsidRPr="005C4AF5">
        <w:rPr>
          <w:rFonts w:ascii="Times New Roman" w:eastAsia="Calibri" w:hAnsi="Times New Roman"/>
          <w:i/>
          <w:iCs/>
          <w:color w:val="0E0E0E"/>
          <w:szCs w:val="22"/>
          <w:lang w:eastAsia="en-US"/>
        </w:rPr>
        <w:t>’</w:t>
      </w:r>
      <w:r w:rsidRPr="005C4AF5">
        <w:rPr>
          <w:rFonts w:eastAsia="Calibri" w:cs="Arial"/>
          <w:i/>
          <w:iCs/>
          <w:color w:val="0E0E0E"/>
          <w:szCs w:val="22"/>
          <w:lang w:eastAsia="en-US"/>
        </w:rPr>
        <w:t>s neighbourhood; and</w:t>
      </w:r>
    </w:p>
    <w:p w:rsidR="00182C5B" w:rsidRPr="005C4AF5" w:rsidRDefault="00182C5B" w:rsidP="005C4AF5">
      <w:pPr>
        <w:pStyle w:val="ListParagraph"/>
        <w:numPr>
          <w:ilvl w:val="0"/>
          <w:numId w:val="31"/>
        </w:numPr>
        <w:autoSpaceDE w:val="0"/>
        <w:autoSpaceDN w:val="0"/>
        <w:adjustRightInd w:val="0"/>
        <w:spacing w:after="0"/>
        <w:ind w:left="709" w:hanging="349"/>
        <w:rPr>
          <w:rFonts w:eastAsia="Calibri" w:cs="Arial"/>
          <w:i/>
          <w:iCs/>
          <w:color w:val="0E0E0E"/>
          <w:szCs w:val="22"/>
          <w:lang w:eastAsia="en-US"/>
        </w:rPr>
      </w:pPr>
      <w:r w:rsidRPr="005C4AF5">
        <w:rPr>
          <w:rFonts w:eastAsia="Calibri" w:cs="Arial"/>
          <w:i/>
          <w:iCs/>
          <w:color w:val="0E0E0E"/>
          <w:szCs w:val="22"/>
          <w:lang w:eastAsia="en-US"/>
        </w:rPr>
        <w:t>as donations to or funding for community, recreation or service organisations</w:t>
      </w:r>
    </w:p>
    <w:p w:rsidR="005C4AF5" w:rsidRDefault="00182C5B" w:rsidP="00EE2950">
      <w:pPr>
        <w:autoSpaceDE w:val="0"/>
        <w:autoSpaceDN w:val="0"/>
        <w:adjustRightInd w:val="0"/>
        <w:spacing w:after="360"/>
        <w:ind w:left="709"/>
        <w:rPr>
          <w:rFonts w:eastAsia="Calibri" w:cs="Arial"/>
          <w:i/>
          <w:iCs/>
          <w:color w:val="0E0E0E"/>
          <w:szCs w:val="22"/>
          <w:lang w:eastAsia="en-US"/>
        </w:rPr>
      </w:pPr>
      <w:r>
        <w:rPr>
          <w:rFonts w:eastAsia="Calibri" w:cs="Arial"/>
          <w:i/>
          <w:iCs/>
          <w:color w:val="0E0E0E"/>
          <w:szCs w:val="22"/>
          <w:lang w:eastAsia="en-US"/>
        </w:rPr>
        <w:t>operating in the club</w:t>
      </w:r>
      <w:r>
        <w:rPr>
          <w:rFonts w:ascii="Calibri-Italic" w:eastAsia="Calibri" w:hAnsi="Calibri-Italic" w:cs="Calibri-Italic"/>
          <w:i/>
          <w:iCs/>
          <w:color w:val="0E0E0E"/>
          <w:szCs w:val="22"/>
          <w:lang w:eastAsia="en-US"/>
        </w:rPr>
        <w:t>’</w:t>
      </w:r>
      <w:r>
        <w:rPr>
          <w:rFonts w:eastAsia="Calibri" w:cs="Arial"/>
          <w:i/>
          <w:iCs/>
          <w:color w:val="0E0E0E"/>
          <w:szCs w:val="22"/>
          <w:lang w:eastAsia="en-US"/>
        </w:rPr>
        <w:t>s neighbourhood.</w:t>
      </w:r>
    </w:p>
    <w:p w:rsidR="00EE2950" w:rsidRPr="001D1071" w:rsidRDefault="00182C5B" w:rsidP="001D1071">
      <w:pPr>
        <w:pStyle w:val="Heading3"/>
      </w:pPr>
      <w:r w:rsidRPr="001D1071">
        <w:t>Community Impact Analysis</w:t>
      </w:r>
    </w:p>
    <w:p w:rsidR="00182C5B" w:rsidRPr="005C4AF5" w:rsidRDefault="00721FB6" w:rsidP="00EE2950">
      <w:pPr>
        <w:autoSpaceDE w:val="0"/>
        <w:autoSpaceDN w:val="0"/>
        <w:adjustRightInd w:val="0"/>
        <w:spacing w:after="120"/>
        <w:ind w:firstLine="426"/>
        <w:rPr>
          <w:rFonts w:eastAsia="Calibri" w:cs="Arial"/>
          <w:color w:val="000000"/>
          <w:szCs w:val="22"/>
          <w:lang w:eastAsia="en-US"/>
        </w:rPr>
      </w:pPr>
      <w:r>
        <w:rPr>
          <w:rFonts w:eastAsia="Calibri" w:cs="Arial"/>
          <w:color w:val="000000"/>
          <w:szCs w:val="22"/>
          <w:lang w:eastAsia="en-US"/>
        </w:rPr>
        <w:t xml:space="preserve">Pursuant to section </w:t>
      </w:r>
      <w:proofErr w:type="gramStart"/>
      <w:r>
        <w:rPr>
          <w:rFonts w:eastAsia="Calibri" w:cs="Arial"/>
          <w:color w:val="000000"/>
          <w:szCs w:val="22"/>
          <w:lang w:eastAsia="en-US"/>
        </w:rPr>
        <w:t>41A</w:t>
      </w:r>
      <w:r w:rsidR="00182C5B" w:rsidRPr="005C4AF5">
        <w:rPr>
          <w:rFonts w:eastAsia="Calibri" w:cs="Arial"/>
          <w:color w:val="000000"/>
          <w:szCs w:val="22"/>
          <w:lang w:eastAsia="en-US"/>
        </w:rPr>
        <w:t>(</w:t>
      </w:r>
      <w:proofErr w:type="gramEnd"/>
      <w:r w:rsidR="00182C5B" w:rsidRPr="005C4AF5">
        <w:rPr>
          <w:rFonts w:eastAsia="Calibri" w:cs="Arial"/>
          <w:color w:val="000000"/>
          <w:szCs w:val="22"/>
          <w:lang w:eastAsia="en-US"/>
        </w:rPr>
        <w:t>2) of the Act, the CIA must provide details pertaining to:</w:t>
      </w:r>
    </w:p>
    <w:p w:rsidR="00182C5B" w:rsidRDefault="00182C5B" w:rsidP="00423ACB">
      <w:pPr>
        <w:autoSpaceDE w:val="0"/>
        <w:autoSpaceDN w:val="0"/>
        <w:adjustRightInd w:val="0"/>
        <w:spacing w:after="120"/>
        <w:ind w:left="851" w:hanging="425"/>
        <w:jc w:val="both"/>
        <w:rPr>
          <w:rFonts w:eastAsia="Calibri" w:cs="Arial"/>
          <w:i/>
          <w:iCs/>
          <w:color w:val="0F0F0F"/>
          <w:szCs w:val="22"/>
          <w:lang w:eastAsia="en-US"/>
        </w:rPr>
      </w:pPr>
      <w:r>
        <w:rPr>
          <w:rFonts w:eastAsia="Calibri" w:cs="Arial"/>
          <w:color w:val="0F0F0F"/>
          <w:szCs w:val="22"/>
          <w:lang w:eastAsia="en-US"/>
        </w:rPr>
        <w:t xml:space="preserve">(a) </w:t>
      </w:r>
      <w:r w:rsidR="005A31F8">
        <w:rPr>
          <w:rFonts w:eastAsia="Calibri" w:cs="Arial"/>
          <w:color w:val="0F0F0F"/>
          <w:szCs w:val="22"/>
          <w:lang w:eastAsia="en-US"/>
        </w:rPr>
        <w:tab/>
      </w:r>
      <w:r>
        <w:rPr>
          <w:rFonts w:eastAsia="Calibri" w:cs="Arial"/>
          <w:i/>
          <w:iCs/>
          <w:color w:val="0F0F0F"/>
          <w:szCs w:val="22"/>
          <w:lang w:eastAsia="en-US"/>
        </w:rPr>
        <w:t>the suitability of the premises to which the application relates having regard to the</w:t>
      </w:r>
      <w:r w:rsidR="005C4AF5">
        <w:rPr>
          <w:rFonts w:eastAsia="Calibri" w:cs="Arial"/>
          <w:i/>
          <w:iCs/>
          <w:color w:val="0F0F0F"/>
          <w:szCs w:val="22"/>
          <w:lang w:eastAsia="en-US"/>
        </w:rPr>
        <w:t xml:space="preserve"> </w:t>
      </w:r>
      <w:r>
        <w:rPr>
          <w:rFonts w:eastAsia="Calibri" w:cs="Arial"/>
          <w:i/>
          <w:iCs/>
          <w:color w:val="0F0F0F"/>
          <w:szCs w:val="22"/>
          <w:lang w:eastAsia="en-US"/>
        </w:rPr>
        <w:t>size, layout and facilities of the premises;</w:t>
      </w:r>
    </w:p>
    <w:p w:rsidR="00182C5B" w:rsidRDefault="00182C5B" w:rsidP="00423ACB">
      <w:pPr>
        <w:autoSpaceDE w:val="0"/>
        <w:autoSpaceDN w:val="0"/>
        <w:adjustRightInd w:val="0"/>
        <w:spacing w:after="120"/>
        <w:ind w:left="851" w:hanging="425"/>
        <w:jc w:val="both"/>
        <w:rPr>
          <w:rFonts w:eastAsia="Calibri" w:cs="Arial"/>
          <w:i/>
          <w:iCs/>
          <w:color w:val="0F0F0F"/>
          <w:szCs w:val="22"/>
          <w:lang w:eastAsia="en-US"/>
        </w:rPr>
      </w:pPr>
      <w:r>
        <w:rPr>
          <w:rFonts w:eastAsia="Calibri" w:cs="Arial"/>
          <w:i/>
          <w:iCs/>
          <w:color w:val="0F0F0F"/>
          <w:szCs w:val="22"/>
          <w:lang w:eastAsia="en-US"/>
        </w:rPr>
        <w:t xml:space="preserve">(b) </w:t>
      </w:r>
      <w:r w:rsidR="005A31F8">
        <w:rPr>
          <w:rFonts w:eastAsia="Calibri" w:cs="Arial"/>
          <w:i/>
          <w:iCs/>
          <w:color w:val="0F0F0F"/>
          <w:szCs w:val="22"/>
          <w:lang w:eastAsia="en-US"/>
        </w:rPr>
        <w:tab/>
      </w:r>
      <w:r>
        <w:rPr>
          <w:rFonts w:eastAsia="Calibri" w:cs="Arial"/>
          <w:i/>
          <w:iCs/>
          <w:color w:val="0F0F0F"/>
          <w:szCs w:val="22"/>
          <w:lang w:eastAsia="en-US"/>
        </w:rPr>
        <w:t>the suitability of the premises to which the application relates having regard to the</w:t>
      </w:r>
      <w:r w:rsidR="005C4AF5">
        <w:rPr>
          <w:rFonts w:eastAsia="Calibri" w:cs="Arial"/>
          <w:i/>
          <w:iCs/>
          <w:color w:val="0F0F0F"/>
          <w:szCs w:val="22"/>
          <w:lang w:eastAsia="en-US"/>
        </w:rPr>
        <w:t xml:space="preserve"> </w:t>
      </w:r>
      <w:r>
        <w:rPr>
          <w:rFonts w:eastAsia="Calibri" w:cs="Arial"/>
          <w:i/>
          <w:iCs/>
          <w:color w:val="0F0F0F"/>
          <w:szCs w:val="22"/>
          <w:lang w:eastAsia="en-US"/>
        </w:rPr>
        <w:t>primary activity conducted at the premises;</w:t>
      </w:r>
    </w:p>
    <w:p w:rsidR="00182C5B" w:rsidRDefault="00182C5B" w:rsidP="00423ACB">
      <w:pPr>
        <w:autoSpaceDE w:val="0"/>
        <w:autoSpaceDN w:val="0"/>
        <w:adjustRightInd w:val="0"/>
        <w:spacing w:after="120"/>
        <w:ind w:left="851" w:hanging="425"/>
        <w:jc w:val="both"/>
        <w:rPr>
          <w:rFonts w:eastAsia="Calibri" w:cs="Arial"/>
          <w:i/>
          <w:iCs/>
          <w:color w:val="0F0F0F"/>
          <w:szCs w:val="22"/>
          <w:lang w:eastAsia="en-US"/>
        </w:rPr>
      </w:pPr>
      <w:r>
        <w:rPr>
          <w:rFonts w:eastAsia="Calibri" w:cs="Arial"/>
          <w:i/>
          <w:iCs/>
          <w:color w:val="0F0F0F"/>
          <w:szCs w:val="22"/>
          <w:lang w:eastAsia="en-US"/>
        </w:rPr>
        <w:t xml:space="preserve">(c) </w:t>
      </w:r>
      <w:r w:rsidR="005A31F8">
        <w:rPr>
          <w:rFonts w:eastAsia="Calibri" w:cs="Arial"/>
          <w:i/>
          <w:iCs/>
          <w:color w:val="0F0F0F"/>
          <w:szCs w:val="22"/>
          <w:lang w:eastAsia="en-US"/>
        </w:rPr>
        <w:tab/>
      </w:r>
      <w:r>
        <w:rPr>
          <w:rFonts w:eastAsia="Calibri" w:cs="Arial"/>
          <w:i/>
          <w:iCs/>
          <w:color w:val="0F0F0F"/>
          <w:szCs w:val="22"/>
          <w:lang w:eastAsia="en-US"/>
        </w:rPr>
        <w:t>the suitability of the location to which the application relates having regard to the</w:t>
      </w:r>
      <w:r w:rsidR="005C4AF5">
        <w:rPr>
          <w:rFonts w:eastAsia="Calibri" w:cs="Arial"/>
          <w:i/>
          <w:iCs/>
          <w:color w:val="0F0F0F"/>
          <w:szCs w:val="22"/>
          <w:lang w:eastAsia="en-US"/>
        </w:rPr>
        <w:t xml:space="preserve"> </w:t>
      </w:r>
      <w:r>
        <w:rPr>
          <w:rFonts w:eastAsia="Calibri" w:cs="Arial"/>
          <w:i/>
          <w:iCs/>
          <w:color w:val="0F0F0F"/>
          <w:szCs w:val="22"/>
          <w:lang w:eastAsia="en-US"/>
        </w:rPr>
        <w:t>population of the local area, the proximity of the premises to other gaming venues and</w:t>
      </w:r>
      <w:r w:rsidR="00423ACB">
        <w:rPr>
          <w:rFonts w:eastAsia="Calibri" w:cs="Arial"/>
          <w:i/>
          <w:iCs/>
          <w:color w:val="0F0F0F"/>
          <w:szCs w:val="22"/>
          <w:lang w:eastAsia="en-US"/>
        </w:rPr>
        <w:t xml:space="preserve"> </w:t>
      </w:r>
      <w:r>
        <w:rPr>
          <w:rFonts w:eastAsia="Calibri" w:cs="Arial"/>
          <w:i/>
          <w:iCs/>
          <w:color w:val="0F0F0F"/>
          <w:szCs w:val="22"/>
          <w:lang w:eastAsia="en-US"/>
        </w:rPr>
        <w:t xml:space="preserve">the proximity of the premises to sensitive areas </w:t>
      </w:r>
      <w:r w:rsidR="00423ACB">
        <w:rPr>
          <w:rFonts w:eastAsia="Calibri" w:cs="Arial"/>
          <w:i/>
          <w:iCs/>
          <w:color w:val="0F0F0F"/>
          <w:szCs w:val="22"/>
          <w:lang w:eastAsia="en-US"/>
        </w:rPr>
        <w:t>such as schools, shopping centre</w:t>
      </w:r>
      <w:r>
        <w:rPr>
          <w:rFonts w:eastAsia="Calibri" w:cs="Arial"/>
          <w:i/>
          <w:iCs/>
          <w:color w:val="0F0F0F"/>
          <w:szCs w:val="22"/>
          <w:lang w:eastAsia="en-US"/>
        </w:rPr>
        <w:t>s,</w:t>
      </w:r>
      <w:r w:rsidR="00423ACB">
        <w:rPr>
          <w:rFonts w:eastAsia="Calibri" w:cs="Arial"/>
          <w:i/>
          <w:iCs/>
          <w:color w:val="0F0F0F"/>
          <w:szCs w:val="22"/>
          <w:lang w:eastAsia="en-US"/>
        </w:rPr>
        <w:t xml:space="preserve"> </w:t>
      </w:r>
      <w:r>
        <w:rPr>
          <w:rFonts w:eastAsia="Calibri" w:cs="Arial"/>
          <w:i/>
          <w:iCs/>
          <w:color w:val="0F0F0F"/>
          <w:szCs w:val="22"/>
          <w:lang w:eastAsia="en-US"/>
        </w:rPr>
        <w:t>other community congregation facilities, welfare agencies, banks and pawn brokers;</w:t>
      </w:r>
    </w:p>
    <w:p w:rsidR="00182C5B" w:rsidRDefault="00182C5B" w:rsidP="00423ACB">
      <w:pPr>
        <w:autoSpaceDE w:val="0"/>
        <w:autoSpaceDN w:val="0"/>
        <w:adjustRightInd w:val="0"/>
        <w:spacing w:after="120"/>
        <w:ind w:left="851" w:hanging="425"/>
        <w:jc w:val="both"/>
        <w:rPr>
          <w:rFonts w:eastAsia="Calibri" w:cs="Arial"/>
          <w:i/>
          <w:iCs/>
          <w:color w:val="0F0F0F"/>
          <w:szCs w:val="22"/>
          <w:lang w:eastAsia="en-US"/>
        </w:rPr>
      </w:pPr>
      <w:r>
        <w:rPr>
          <w:rFonts w:eastAsia="Calibri" w:cs="Arial"/>
          <w:i/>
          <w:iCs/>
          <w:color w:val="0F0F0F"/>
          <w:szCs w:val="22"/>
          <w:lang w:eastAsia="en-US"/>
        </w:rPr>
        <w:t>(d) the appropriateness of problem gambling risk management and responsible gambling</w:t>
      </w:r>
      <w:r w:rsidR="00423ACB">
        <w:rPr>
          <w:rFonts w:eastAsia="Calibri" w:cs="Arial"/>
          <w:i/>
          <w:iCs/>
          <w:color w:val="0F0F0F"/>
          <w:szCs w:val="22"/>
          <w:lang w:eastAsia="en-US"/>
        </w:rPr>
        <w:t xml:space="preserve"> </w:t>
      </w:r>
      <w:r>
        <w:rPr>
          <w:rFonts w:eastAsia="Calibri" w:cs="Arial"/>
          <w:i/>
          <w:iCs/>
          <w:color w:val="0F0F0F"/>
          <w:szCs w:val="22"/>
          <w:lang w:eastAsia="en-US"/>
        </w:rPr>
        <w:t>strategies;</w:t>
      </w:r>
    </w:p>
    <w:p w:rsidR="00423ACB" w:rsidRDefault="00182C5B" w:rsidP="00423ACB">
      <w:pPr>
        <w:autoSpaceDE w:val="0"/>
        <w:autoSpaceDN w:val="0"/>
        <w:adjustRightInd w:val="0"/>
        <w:spacing w:after="120"/>
        <w:ind w:left="851" w:hanging="425"/>
        <w:jc w:val="both"/>
        <w:rPr>
          <w:rFonts w:eastAsia="Calibri" w:cs="Arial"/>
          <w:i/>
          <w:iCs/>
          <w:color w:val="0F0F0F"/>
          <w:szCs w:val="22"/>
          <w:lang w:eastAsia="en-US"/>
        </w:rPr>
      </w:pPr>
      <w:r>
        <w:rPr>
          <w:rFonts w:eastAsia="Calibri" w:cs="Arial"/>
          <w:i/>
          <w:iCs/>
          <w:color w:val="0F0F0F"/>
          <w:szCs w:val="22"/>
          <w:lang w:eastAsia="en-US"/>
        </w:rPr>
        <w:lastRenderedPageBreak/>
        <w:t>(e) economic impact of the proposal including contribution to the community,</w:t>
      </w:r>
      <w:r w:rsidR="00423ACB">
        <w:rPr>
          <w:rFonts w:eastAsia="Calibri" w:cs="Arial"/>
          <w:i/>
          <w:iCs/>
          <w:color w:val="0F0F0F"/>
          <w:szCs w:val="22"/>
          <w:lang w:eastAsia="en-US"/>
        </w:rPr>
        <w:t xml:space="preserve"> </w:t>
      </w:r>
      <w:r>
        <w:rPr>
          <w:rFonts w:eastAsia="Calibri" w:cs="Arial"/>
          <w:i/>
          <w:iCs/>
          <w:color w:val="0F0F0F"/>
          <w:szCs w:val="22"/>
          <w:lang w:eastAsia="en-US"/>
        </w:rPr>
        <w:t>employment creation and significance or reliance of the venue to or on tourism.</w:t>
      </w:r>
    </w:p>
    <w:p w:rsidR="00182C5B" w:rsidRPr="00546257" w:rsidRDefault="00182C5B" w:rsidP="001D1071">
      <w:pPr>
        <w:pStyle w:val="Heading4"/>
        <w:rPr>
          <w:rFonts w:eastAsia="Calibri"/>
          <w:color w:val="0F0F0F"/>
        </w:rPr>
      </w:pPr>
      <w:r w:rsidRPr="00546257">
        <w:rPr>
          <w:rFonts w:eastAsia="Calibri"/>
        </w:rPr>
        <w:t>Suitability of Premises</w:t>
      </w:r>
    </w:p>
    <w:p w:rsidR="00423ACB" w:rsidRDefault="00850A20" w:rsidP="00362F63">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eastAsia="Calibri" w:cs="Arial"/>
          <w:color w:val="000000"/>
          <w:szCs w:val="22"/>
          <w:lang w:eastAsia="en-US"/>
        </w:rPr>
        <w:t>Tennant Creek Memorial Club Inc.</w:t>
      </w:r>
      <w:r w:rsidR="00182C5B" w:rsidRPr="00423ACB">
        <w:rPr>
          <w:rFonts w:eastAsia="Calibri" w:cs="Arial"/>
          <w:color w:val="000000"/>
          <w:szCs w:val="22"/>
          <w:lang w:eastAsia="en-US"/>
        </w:rPr>
        <w:t xml:space="preserve"> </w:t>
      </w:r>
      <w:r>
        <w:rPr>
          <w:rFonts w:eastAsia="Calibri" w:cs="Arial"/>
          <w:color w:val="000000"/>
          <w:szCs w:val="22"/>
          <w:lang w:eastAsia="en-US"/>
        </w:rPr>
        <w:t>is</w:t>
      </w:r>
      <w:r w:rsidR="00182C5B" w:rsidRPr="00423ACB">
        <w:rPr>
          <w:rFonts w:eastAsia="Calibri" w:cs="Arial"/>
          <w:color w:val="000000"/>
          <w:szCs w:val="22"/>
          <w:lang w:eastAsia="en-US"/>
        </w:rPr>
        <w:t xml:space="preserve"> the sole owner of </w:t>
      </w:r>
      <w:r w:rsidR="00B373B0">
        <w:rPr>
          <w:rFonts w:eastAsia="Calibri" w:cs="Arial"/>
          <w:color w:val="000000"/>
          <w:szCs w:val="22"/>
          <w:lang w:eastAsia="en-US"/>
        </w:rPr>
        <w:t>its</w:t>
      </w:r>
      <w:r w:rsidR="00182C5B" w:rsidRPr="00423ACB">
        <w:rPr>
          <w:rFonts w:eastAsia="Calibri" w:cs="Arial"/>
          <w:color w:val="000000"/>
          <w:szCs w:val="22"/>
          <w:lang w:eastAsia="en-US"/>
        </w:rPr>
        <w:t xml:space="preserve"> </w:t>
      </w:r>
      <w:r w:rsidR="00B373B0">
        <w:rPr>
          <w:rFonts w:eastAsia="Calibri" w:cs="Arial"/>
          <w:color w:val="000000"/>
          <w:szCs w:val="22"/>
          <w:lang w:eastAsia="en-US"/>
        </w:rPr>
        <w:t>P</w:t>
      </w:r>
      <w:r w:rsidR="00182C5B" w:rsidRPr="00423ACB">
        <w:rPr>
          <w:rFonts w:eastAsia="Calibri" w:cs="Arial"/>
          <w:color w:val="000000"/>
          <w:szCs w:val="22"/>
          <w:lang w:eastAsia="en-US"/>
        </w:rPr>
        <w:t>remises</w:t>
      </w:r>
      <w:r w:rsidR="00B373B0">
        <w:rPr>
          <w:rFonts w:eastAsia="Calibri" w:cs="Arial"/>
          <w:color w:val="000000"/>
          <w:szCs w:val="22"/>
          <w:lang w:eastAsia="en-US"/>
        </w:rPr>
        <w:t xml:space="preserve"> at 48 Schmidt Street, Tennant Creek</w:t>
      </w:r>
      <w:proofErr w:type="gramStart"/>
      <w:r w:rsidR="00721FB6">
        <w:rPr>
          <w:rFonts w:eastAsia="Calibri" w:cs="Arial"/>
          <w:color w:val="000000"/>
          <w:szCs w:val="22"/>
          <w:lang w:eastAsia="en-US"/>
        </w:rPr>
        <w:t xml:space="preserve">.  </w:t>
      </w:r>
      <w:proofErr w:type="gramEnd"/>
      <w:r w:rsidR="00721FB6">
        <w:rPr>
          <w:rFonts w:eastAsia="Calibri" w:cs="Arial"/>
          <w:color w:val="000000"/>
          <w:szCs w:val="22"/>
          <w:lang w:eastAsia="en-US"/>
        </w:rPr>
        <w:t xml:space="preserve">The </w:t>
      </w:r>
      <w:r w:rsidR="00A464E7">
        <w:rPr>
          <w:rFonts w:eastAsia="Calibri" w:cs="Arial"/>
          <w:color w:val="000000"/>
          <w:szCs w:val="22"/>
          <w:lang w:eastAsia="en-US"/>
        </w:rPr>
        <w:t>Premises</w:t>
      </w:r>
      <w:r w:rsidR="00182C5B" w:rsidRPr="00423ACB">
        <w:rPr>
          <w:rFonts w:eastAsia="Calibri" w:cs="Arial"/>
          <w:color w:val="000000"/>
          <w:szCs w:val="22"/>
          <w:lang w:eastAsia="en-US"/>
        </w:rPr>
        <w:t xml:space="preserve"> covers an area of </w:t>
      </w:r>
      <w:r>
        <w:rPr>
          <w:rFonts w:eastAsia="Calibri" w:cs="Arial"/>
          <w:color w:val="000000"/>
          <w:szCs w:val="22"/>
          <w:lang w:eastAsia="en-US"/>
        </w:rPr>
        <w:t>773</w:t>
      </w:r>
      <w:r w:rsidR="00182C5B" w:rsidRPr="00423ACB">
        <w:rPr>
          <w:rFonts w:eastAsia="Calibri" w:cs="Arial"/>
          <w:color w:val="000000"/>
          <w:szCs w:val="22"/>
          <w:lang w:eastAsia="en-US"/>
        </w:rPr>
        <w:t xml:space="preserve"> square metres and has parking for </w:t>
      </w:r>
      <w:r>
        <w:rPr>
          <w:rFonts w:eastAsia="Calibri" w:cs="Arial"/>
          <w:color w:val="000000"/>
          <w:szCs w:val="22"/>
          <w:lang w:eastAsia="en-US"/>
        </w:rPr>
        <w:t>25</w:t>
      </w:r>
      <w:r w:rsidR="00182C5B" w:rsidRPr="00423ACB">
        <w:rPr>
          <w:rFonts w:eastAsia="Calibri" w:cs="Arial"/>
          <w:color w:val="000000"/>
          <w:szCs w:val="22"/>
          <w:lang w:eastAsia="en-US"/>
        </w:rPr>
        <w:t xml:space="preserve"> vehicles.</w:t>
      </w:r>
      <w:r w:rsidR="00A464E7">
        <w:rPr>
          <w:rFonts w:eastAsia="Calibri" w:cs="Arial"/>
          <w:color w:val="000000"/>
          <w:szCs w:val="22"/>
          <w:lang w:eastAsia="en-US"/>
        </w:rPr>
        <w:t xml:space="preserve"> The interior of the P</w:t>
      </w:r>
      <w:r>
        <w:rPr>
          <w:rFonts w:eastAsia="Calibri" w:cs="Arial"/>
          <w:color w:val="000000"/>
          <w:szCs w:val="22"/>
          <w:lang w:eastAsia="en-US"/>
        </w:rPr>
        <w:t xml:space="preserve">remises is made up of bar (391m2), dining area (182m2), TAB (122m2) and electronic gaming machine area (78m2). The outdoor area leads off from the main bar and has smoking and non-smoking areas (approximately 100m2 combined). </w:t>
      </w:r>
    </w:p>
    <w:p w:rsidR="00423ACB" w:rsidRDefault="00850A20" w:rsidP="00423ACB">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eastAsia="Calibri" w:cs="Arial"/>
          <w:color w:val="000000"/>
          <w:szCs w:val="22"/>
          <w:lang w:eastAsia="en-US"/>
        </w:rPr>
        <w:t>The floor plans show that the current gaming area is insufficient to contain the additional requested machines. Additional gaming machines would be located in an adjoining function room.</w:t>
      </w:r>
      <w:r w:rsidR="00182C5B" w:rsidRPr="00423ACB">
        <w:rPr>
          <w:rFonts w:eastAsia="Calibri" w:cs="Arial"/>
          <w:color w:val="000000"/>
          <w:szCs w:val="22"/>
          <w:lang w:eastAsia="en-US"/>
        </w:rPr>
        <w:t xml:space="preserve"> </w:t>
      </w:r>
      <w:r>
        <w:rPr>
          <w:rFonts w:eastAsia="Calibri" w:cs="Arial"/>
          <w:color w:val="000000"/>
          <w:szCs w:val="22"/>
          <w:lang w:eastAsia="en-US"/>
        </w:rPr>
        <w:t>The wall that would need to be removed is non-</w:t>
      </w:r>
      <w:r w:rsidR="00A464E7">
        <w:rPr>
          <w:rFonts w:eastAsia="Calibri" w:cs="Arial"/>
          <w:color w:val="000000"/>
          <w:szCs w:val="22"/>
          <w:lang w:eastAsia="en-US"/>
        </w:rPr>
        <w:t xml:space="preserve">load </w:t>
      </w:r>
      <w:r>
        <w:rPr>
          <w:rFonts w:eastAsia="Calibri" w:cs="Arial"/>
          <w:color w:val="000000"/>
          <w:szCs w:val="22"/>
          <w:lang w:eastAsia="en-US"/>
        </w:rPr>
        <w:t xml:space="preserve">bearing and the work required would not be substantial. </w:t>
      </w:r>
    </w:p>
    <w:p w:rsidR="00423ACB" w:rsidRPr="00546257" w:rsidRDefault="00182C5B" w:rsidP="001D1071">
      <w:pPr>
        <w:pStyle w:val="Heading4"/>
        <w:rPr>
          <w:rFonts w:eastAsia="Calibri"/>
        </w:rPr>
      </w:pPr>
      <w:r w:rsidRPr="00546257">
        <w:rPr>
          <w:rFonts w:eastAsia="Calibri"/>
        </w:rPr>
        <w:t>Suitability of premises – primary activity</w:t>
      </w:r>
    </w:p>
    <w:p w:rsidR="006275C0" w:rsidRDefault="00182C5B" w:rsidP="006275C0">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423ACB">
        <w:rPr>
          <w:rFonts w:eastAsia="Calibri" w:cs="Arial"/>
          <w:color w:val="000000"/>
          <w:szCs w:val="22"/>
          <w:lang w:eastAsia="en-US"/>
        </w:rPr>
        <w:t xml:space="preserve">The </w:t>
      </w:r>
      <w:r w:rsidR="00A464E7">
        <w:rPr>
          <w:rFonts w:eastAsia="Calibri" w:cs="Arial"/>
          <w:color w:val="000000"/>
          <w:szCs w:val="22"/>
          <w:lang w:eastAsia="en-US"/>
        </w:rPr>
        <w:t>Premises</w:t>
      </w:r>
      <w:r w:rsidRPr="00423ACB">
        <w:rPr>
          <w:rFonts w:eastAsia="Calibri" w:cs="Arial"/>
          <w:color w:val="000000"/>
          <w:szCs w:val="22"/>
          <w:lang w:eastAsia="en-US"/>
        </w:rPr>
        <w:t xml:space="preserve"> is </w:t>
      </w:r>
      <w:r w:rsidR="00923C2D">
        <w:rPr>
          <w:rFonts w:eastAsia="Calibri" w:cs="Arial"/>
          <w:color w:val="000000"/>
          <w:szCs w:val="22"/>
          <w:lang w:eastAsia="en-US"/>
        </w:rPr>
        <w:t xml:space="preserve">approximately 200 metres west of the towns Post Office in an </w:t>
      </w:r>
      <w:proofErr w:type="gramStart"/>
      <w:r w:rsidR="00923C2D">
        <w:rPr>
          <w:rFonts w:eastAsia="Calibri" w:cs="Arial"/>
          <w:color w:val="000000"/>
          <w:szCs w:val="22"/>
          <w:lang w:eastAsia="en-US"/>
        </w:rPr>
        <w:t>established</w:t>
      </w:r>
      <w:proofErr w:type="gramEnd"/>
      <w:r w:rsidR="00923C2D">
        <w:rPr>
          <w:rFonts w:eastAsia="Calibri" w:cs="Arial"/>
          <w:color w:val="000000"/>
          <w:szCs w:val="22"/>
          <w:lang w:eastAsia="en-US"/>
        </w:rPr>
        <w:t xml:space="preserve"> mixed use commercial and residential area. It has been at this location since it was formed shortly after World War II. The CIA states that the Club increased its membership from 993 in 2012 to 1336 members by 2015, an increase of 35%.</w:t>
      </w:r>
      <w:r w:rsidR="009E5E99">
        <w:rPr>
          <w:rFonts w:eastAsia="Calibri" w:cs="Arial"/>
          <w:color w:val="000000"/>
          <w:szCs w:val="22"/>
          <w:lang w:eastAsia="en-US"/>
        </w:rPr>
        <w:t xml:space="preserve"> This equates to 69% of the town’s adult population.</w:t>
      </w:r>
    </w:p>
    <w:p w:rsidR="006275C0" w:rsidRDefault="00923C2D" w:rsidP="006275C0">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eastAsia="Calibri" w:cs="Arial"/>
          <w:color w:val="000000"/>
          <w:szCs w:val="22"/>
          <w:lang w:eastAsia="en-US"/>
        </w:rPr>
        <w:t xml:space="preserve">The CIA states that the primary objectives of the Club is to support sporting, literacy and social associations </w:t>
      </w:r>
      <w:r w:rsidR="007654C0">
        <w:rPr>
          <w:rFonts w:eastAsia="Calibri" w:cs="Arial"/>
          <w:color w:val="000000"/>
          <w:szCs w:val="22"/>
          <w:lang w:eastAsia="en-US"/>
        </w:rPr>
        <w:t>and charities in the local community as well as any other lawful activities of its members</w:t>
      </w:r>
      <w:r w:rsidR="00182C5B" w:rsidRPr="006275C0">
        <w:rPr>
          <w:rFonts w:eastAsia="Calibri" w:cs="Arial"/>
          <w:color w:val="000000"/>
          <w:szCs w:val="22"/>
          <w:lang w:eastAsia="en-US"/>
        </w:rPr>
        <w:t>.</w:t>
      </w:r>
    </w:p>
    <w:p w:rsidR="006275C0" w:rsidRDefault="00182C5B" w:rsidP="006275C0">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6275C0">
        <w:rPr>
          <w:rFonts w:eastAsia="Calibri" w:cs="Arial"/>
          <w:color w:val="000000"/>
          <w:szCs w:val="22"/>
          <w:lang w:eastAsia="en-US"/>
        </w:rPr>
        <w:t xml:space="preserve">The CIA provides information regarding the </w:t>
      </w:r>
      <w:r w:rsidR="00B373B0">
        <w:rPr>
          <w:rFonts w:eastAsia="Calibri" w:cs="Arial"/>
          <w:color w:val="000000"/>
          <w:szCs w:val="22"/>
          <w:lang w:eastAsia="en-US"/>
        </w:rPr>
        <w:t>Licensee’s</w:t>
      </w:r>
      <w:r w:rsidRPr="006275C0">
        <w:rPr>
          <w:rFonts w:eastAsia="Calibri" w:cs="Arial"/>
          <w:color w:val="000000"/>
          <w:szCs w:val="22"/>
          <w:lang w:eastAsia="en-US"/>
        </w:rPr>
        <w:t xml:space="preserve"> financial performance in</w:t>
      </w:r>
      <w:r w:rsidR="00B373B0">
        <w:rPr>
          <w:rFonts w:eastAsia="Calibri" w:cs="Arial"/>
          <w:color w:val="000000"/>
          <w:szCs w:val="22"/>
          <w:lang w:eastAsia="en-US"/>
        </w:rPr>
        <w:t xml:space="preserve"> the</w:t>
      </w:r>
      <w:r w:rsidRPr="006275C0">
        <w:rPr>
          <w:rFonts w:eastAsia="Calibri" w:cs="Arial"/>
          <w:color w:val="000000"/>
          <w:szCs w:val="22"/>
          <w:lang w:eastAsia="en-US"/>
        </w:rPr>
        <w:t xml:space="preserve"> 2015</w:t>
      </w:r>
      <w:r w:rsidR="007654C0">
        <w:rPr>
          <w:rFonts w:eastAsia="Calibri" w:cs="Arial"/>
          <w:color w:val="000000"/>
          <w:szCs w:val="22"/>
          <w:lang w:eastAsia="en-US"/>
        </w:rPr>
        <w:t xml:space="preserve"> calendar year</w:t>
      </w:r>
      <w:r w:rsidRPr="006275C0">
        <w:rPr>
          <w:rFonts w:eastAsia="Calibri" w:cs="Arial"/>
          <w:color w:val="000000"/>
          <w:szCs w:val="22"/>
          <w:lang w:eastAsia="en-US"/>
        </w:rPr>
        <w:t>.</w:t>
      </w:r>
      <w:r w:rsidR="00ED78D0">
        <w:rPr>
          <w:rFonts w:eastAsia="Calibri" w:cs="Arial"/>
          <w:color w:val="000000"/>
          <w:szCs w:val="22"/>
          <w:lang w:eastAsia="en-US"/>
        </w:rPr>
        <w:t xml:space="preserve">  </w:t>
      </w:r>
      <w:r w:rsidRPr="006275C0">
        <w:rPr>
          <w:rFonts w:eastAsia="Calibri" w:cs="Arial"/>
          <w:color w:val="000000"/>
          <w:szCs w:val="22"/>
          <w:lang w:eastAsia="en-US"/>
        </w:rPr>
        <w:t>The Profit</w:t>
      </w:r>
      <w:r w:rsidR="006275C0">
        <w:rPr>
          <w:rFonts w:eastAsia="Calibri" w:cs="Arial"/>
          <w:color w:val="000000"/>
          <w:szCs w:val="22"/>
          <w:lang w:eastAsia="en-US"/>
        </w:rPr>
        <w:t xml:space="preserve"> </w:t>
      </w:r>
      <w:r w:rsidRPr="006275C0">
        <w:rPr>
          <w:rFonts w:eastAsia="Calibri" w:cs="Arial"/>
          <w:color w:val="000000"/>
          <w:szCs w:val="22"/>
          <w:lang w:eastAsia="en-US"/>
        </w:rPr>
        <w:t xml:space="preserve">and Loss </w:t>
      </w:r>
      <w:r w:rsidR="00ED78D0">
        <w:rPr>
          <w:rFonts w:eastAsia="Calibri" w:cs="Arial"/>
          <w:color w:val="000000"/>
          <w:szCs w:val="22"/>
          <w:lang w:eastAsia="en-US"/>
        </w:rPr>
        <w:t>statements</w:t>
      </w:r>
      <w:r w:rsidRPr="006275C0">
        <w:rPr>
          <w:rFonts w:eastAsia="Calibri" w:cs="Arial"/>
          <w:color w:val="000000"/>
          <w:szCs w:val="22"/>
          <w:lang w:eastAsia="en-US"/>
        </w:rPr>
        <w:t xml:space="preserve"> for 201</w:t>
      </w:r>
      <w:r w:rsidR="007654C0">
        <w:rPr>
          <w:rFonts w:eastAsia="Calibri" w:cs="Arial"/>
          <w:color w:val="000000"/>
          <w:szCs w:val="22"/>
          <w:lang w:eastAsia="en-US"/>
        </w:rPr>
        <w:t>5</w:t>
      </w:r>
      <w:r w:rsidRPr="006275C0">
        <w:rPr>
          <w:rFonts w:eastAsia="Calibri" w:cs="Arial"/>
          <w:color w:val="000000"/>
          <w:szCs w:val="22"/>
          <w:lang w:eastAsia="en-US"/>
        </w:rPr>
        <w:t xml:space="preserve"> show </w:t>
      </w:r>
      <w:r w:rsidR="00ED78D0">
        <w:rPr>
          <w:rFonts w:eastAsia="Calibri" w:cs="Arial"/>
          <w:color w:val="000000"/>
          <w:szCs w:val="22"/>
          <w:lang w:eastAsia="en-US"/>
        </w:rPr>
        <w:t>that</w:t>
      </w:r>
      <w:r w:rsidRPr="006275C0">
        <w:rPr>
          <w:rFonts w:eastAsia="Calibri" w:cs="Arial"/>
          <w:color w:val="000000"/>
          <w:szCs w:val="22"/>
          <w:lang w:eastAsia="en-US"/>
        </w:rPr>
        <w:t xml:space="preserve"> 5</w:t>
      </w:r>
      <w:r w:rsidR="007654C0">
        <w:rPr>
          <w:rFonts w:eastAsia="Calibri" w:cs="Arial"/>
          <w:color w:val="000000"/>
          <w:szCs w:val="22"/>
          <w:lang w:eastAsia="en-US"/>
        </w:rPr>
        <w:t>7</w:t>
      </w:r>
      <w:r w:rsidRPr="006275C0">
        <w:rPr>
          <w:rFonts w:eastAsia="Calibri" w:cs="Arial"/>
          <w:color w:val="000000"/>
          <w:szCs w:val="22"/>
          <w:lang w:eastAsia="en-US"/>
        </w:rPr>
        <w:t xml:space="preserve">% of </w:t>
      </w:r>
      <w:r w:rsidR="00ED78D0">
        <w:rPr>
          <w:rFonts w:eastAsia="Calibri" w:cs="Arial"/>
          <w:color w:val="000000"/>
          <w:szCs w:val="22"/>
          <w:lang w:eastAsia="en-US"/>
        </w:rPr>
        <w:t>the Club’s overall</w:t>
      </w:r>
      <w:r w:rsidRPr="006275C0">
        <w:rPr>
          <w:rFonts w:eastAsia="Calibri" w:cs="Arial"/>
          <w:color w:val="000000"/>
          <w:szCs w:val="22"/>
          <w:lang w:eastAsia="en-US"/>
        </w:rPr>
        <w:t xml:space="preserve"> revenue </w:t>
      </w:r>
      <w:r w:rsidR="00ED78D0">
        <w:rPr>
          <w:rFonts w:eastAsia="Calibri" w:cs="Arial"/>
          <w:color w:val="000000"/>
          <w:szCs w:val="22"/>
          <w:lang w:eastAsia="en-US"/>
        </w:rPr>
        <w:t>for that financial year was derived</w:t>
      </w:r>
      <w:r w:rsidRPr="006275C0">
        <w:rPr>
          <w:rFonts w:eastAsia="Calibri" w:cs="Arial"/>
          <w:color w:val="000000"/>
          <w:szCs w:val="22"/>
          <w:lang w:eastAsia="en-US"/>
        </w:rPr>
        <w:t xml:space="preserve"> from the kitchen and</w:t>
      </w:r>
      <w:r w:rsidR="006275C0">
        <w:rPr>
          <w:rFonts w:eastAsia="Calibri" w:cs="Arial"/>
          <w:color w:val="000000"/>
          <w:szCs w:val="22"/>
          <w:lang w:eastAsia="en-US"/>
        </w:rPr>
        <w:t xml:space="preserve"> </w:t>
      </w:r>
      <w:r w:rsidR="007654C0">
        <w:rPr>
          <w:rFonts w:eastAsia="Calibri" w:cs="Arial"/>
          <w:color w:val="000000"/>
          <w:szCs w:val="22"/>
          <w:lang w:eastAsia="en-US"/>
        </w:rPr>
        <w:t>bar, 6</w:t>
      </w:r>
      <w:r w:rsidRPr="006275C0">
        <w:rPr>
          <w:rFonts w:eastAsia="Calibri" w:cs="Arial"/>
          <w:color w:val="000000"/>
          <w:szCs w:val="22"/>
          <w:lang w:eastAsia="en-US"/>
        </w:rPr>
        <w:t xml:space="preserve">% from other revenue </w:t>
      </w:r>
      <w:r w:rsidR="00ED78D0">
        <w:rPr>
          <w:rFonts w:eastAsia="Calibri" w:cs="Arial"/>
          <w:color w:val="000000"/>
          <w:szCs w:val="22"/>
          <w:lang w:eastAsia="en-US"/>
        </w:rPr>
        <w:t xml:space="preserve">streams </w:t>
      </w:r>
      <w:r w:rsidRPr="006275C0">
        <w:rPr>
          <w:rFonts w:eastAsia="Calibri" w:cs="Arial"/>
          <w:color w:val="000000"/>
          <w:szCs w:val="22"/>
          <w:lang w:eastAsia="en-US"/>
        </w:rPr>
        <w:t>such as Keno</w:t>
      </w:r>
      <w:r w:rsidR="00ED78D0">
        <w:rPr>
          <w:rFonts w:eastAsia="Calibri" w:cs="Arial"/>
          <w:color w:val="000000"/>
          <w:szCs w:val="22"/>
          <w:lang w:eastAsia="en-US"/>
        </w:rPr>
        <w:t>,</w:t>
      </w:r>
      <w:r w:rsidRPr="006275C0">
        <w:rPr>
          <w:rFonts w:eastAsia="Calibri" w:cs="Arial"/>
          <w:color w:val="000000"/>
          <w:szCs w:val="22"/>
          <w:lang w:eastAsia="en-US"/>
        </w:rPr>
        <w:t xml:space="preserve"> TAB</w:t>
      </w:r>
      <w:r w:rsidR="00ED78D0">
        <w:rPr>
          <w:rFonts w:eastAsia="Calibri" w:cs="Arial"/>
          <w:color w:val="000000"/>
          <w:szCs w:val="22"/>
          <w:lang w:eastAsia="en-US"/>
        </w:rPr>
        <w:t xml:space="preserve"> and memberships fees</w:t>
      </w:r>
      <w:r w:rsidR="007654C0">
        <w:rPr>
          <w:rFonts w:eastAsia="Calibri" w:cs="Arial"/>
          <w:color w:val="000000"/>
          <w:szCs w:val="22"/>
          <w:lang w:eastAsia="en-US"/>
        </w:rPr>
        <w:t xml:space="preserve"> and 33</w:t>
      </w:r>
      <w:r w:rsidRPr="006275C0">
        <w:rPr>
          <w:rFonts w:eastAsia="Calibri" w:cs="Arial"/>
          <w:color w:val="000000"/>
          <w:szCs w:val="22"/>
          <w:lang w:eastAsia="en-US"/>
        </w:rPr>
        <w:t xml:space="preserve">% </w:t>
      </w:r>
      <w:r w:rsidR="00ED78D0">
        <w:rPr>
          <w:rFonts w:eastAsia="Calibri" w:cs="Arial"/>
          <w:color w:val="000000"/>
          <w:szCs w:val="22"/>
          <w:lang w:eastAsia="en-US"/>
        </w:rPr>
        <w:t xml:space="preserve">of total revenue </w:t>
      </w:r>
      <w:r w:rsidRPr="006275C0">
        <w:rPr>
          <w:rFonts w:eastAsia="Calibri" w:cs="Arial"/>
          <w:color w:val="000000"/>
          <w:szCs w:val="22"/>
          <w:lang w:eastAsia="en-US"/>
        </w:rPr>
        <w:t>from gaming.</w:t>
      </w:r>
      <w:r w:rsidR="006275C0">
        <w:rPr>
          <w:rFonts w:eastAsia="Calibri" w:cs="Arial"/>
          <w:color w:val="000000"/>
          <w:szCs w:val="22"/>
          <w:lang w:eastAsia="en-US"/>
        </w:rPr>
        <w:t xml:space="preserve">  </w:t>
      </w:r>
    </w:p>
    <w:p w:rsidR="006170FB" w:rsidRPr="00EE2950" w:rsidRDefault="006275C0" w:rsidP="006170FB">
      <w:pPr>
        <w:pStyle w:val="ListParagraph"/>
        <w:numPr>
          <w:ilvl w:val="0"/>
          <w:numId w:val="34"/>
        </w:numPr>
        <w:autoSpaceDE w:val="0"/>
        <w:autoSpaceDN w:val="0"/>
        <w:adjustRightInd w:val="0"/>
        <w:spacing w:after="120"/>
        <w:ind w:left="426" w:hanging="426"/>
        <w:jc w:val="both"/>
        <w:rPr>
          <w:rFonts w:eastAsia="Calibri" w:cs="Arial"/>
          <w:b/>
          <w:bCs/>
          <w:i/>
          <w:iCs/>
          <w:szCs w:val="22"/>
          <w:lang w:eastAsia="en-US"/>
        </w:rPr>
      </w:pPr>
      <w:r w:rsidRPr="00396411">
        <w:rPr>
          <w:rFonts w:eastAsia="Calibri" w:cs="Arial"/>
          <w:szCs w:val="22"/>
          <w:lang w:eastAsia="en-US"/>
        </w:rPr>
        <w:t>T</w:t>
      </w:r>
      <w:r w:rsidR="00182C5B" w:rsidRPr="00396411">
        <w:rPr>
          <w:rFonts w:eastAsia="Calibri" w:cs="Arial"/>
          <w:szCs w:val="22"/>
          <w:lang w:eastAsia="en-US"/>
        </w:rPr>
        <w:t>he CIA proj</w:t>
      </w:r>
      <w:r w:rsidRPr="00396411">
        <w:rPr>
          <w:rFonts w:eastAsia="Calibri" w:cs="Arial"/>
          <w:szCs w:val="22"/>
          <w:lang w:eastAsia="en-US"/>
        </w:rPr>
        <w:t>e</w:t>
      </w:r>
      <w:r w:rsidR="007654C0" w:rsidRPr="00396411">
        <w:rPr>
          <w:rFonts w:eastAsia="Calibri" w:cs="Arial"/>
          <w:szCs w:val="22"/>
          <w:lang w:eastAsia="en-US"/>
        </w:rPr>
        <w:t>cts that with an addition of 20</w:t>
      </w:r>
      <w:r w:rsidRPr="00396411">
        <w:rPr>
          <w:rFonts w:eastAsia="Calibri" w:cs="Arial"/>
          <w:szCs w:val="22"/>
          <w:lang w:eastAsia="en-US"/>
        </w:rPr>
        <w:t xml:space="preserve"> gaming machines</w:t>
      </w:r>
      <w:r w:rsidR="00182C5B" w:rsidRPr="00396411">
        <w:rPr>
          <w:rFonts w:eastAsia="Calibri" w:cs="Arial"/>
          <w:szCs w:val="22"/>
          <w:lang w:eastAsia="en-US"/>
        </w:rPr>
        <w:t xml:space="preserve"> the income from gaming</w:t>
      </w:r>
      <w:r w:rsidR="00ED78D0" w:rsidRPr="00396411">
        <w:rPr>
          <w:rFonts w:eastAsia="Calibri" w:cs="Arial"/>
          <w:szCs w:val="22"/>
          <w:lang w:eastAsia="en-US"/>
        </w:rPr>
        <w:t xml:space="preserve"> machine activity</w:t>
      </w:r>
      <w:r w:rsidR="00D74B1D">
        <w:rPr>
          <w:rFonts w:eastAsia="Calibri" w:cs="Arial"/>
          <w:szCs w:val="22"/>
          <w:lang w:eastAsia="en-US"/>
        </w:rPr>
        <w:t xml:space="preserve"> would</w:t>
      </w:r>
      <w:r w:rsidR="00182C5B" w:rsidRPr="00396411">
        <w:rPr>
          <w:rFonts w:eastAsia="Calibri" w:cs="Arial"/>
          <w:szCs w:val="22"/>
          <w:lang w:eastAsia="en-US"/>
        </w:rPr>
        <w:t xml:space="preserve"> increase </w:t>
      </w:r>
      <w:r w:rsidR="006170FB" w:rsidRPr="00396411">
        <w:rPr>
          <w:rFonts w:eastAsia="Calibri" w:cs="Arial"/>
          <w:szCs w:val="22"/>
          <w:lang w:eastAsia="en-US"/>
        </w:rPr>
        <w:t>f</w:t>
      </w:r>
      <w:r w:rsidR="00CB0625" w:rsidRPr="00396411">
        <w:rPr>
          <w:rFonts w:eastAsia="Calibri" w:cs="Arial"/>
          <w:szCs w:val="22"/>
          <w:lang w:eastAsia="en-US"/>
        </w:rPr>
        <w:t>rom $1,</w:t>
      </w:r>
      <w:r w:rsidR="00D74B1D">
        <w:rPr>
          <w:rFonts w:eastAsia="Calibri" w:cs="Arial"/>
          <w:szCs w:val="22"/>
          <w:lang w:eastAsia="en-US"/>
        </w:rPr>
        <w:t>346,300</w:t>
      </w:r>
      <w:r w:rsidR="006170FB" w:rsidRPr="00396411">
        <w:rPr>
          <w:rFonts w:eastAsia="Calibri" w:cs="Arial"/>
          <w:szCs w:val="22"/>
          <w:lang w:eastAsia="en-US"/>
        </w:rPr>
        <w:t xml:space="preserve"> in 2014 to $1,841,000 in 2016</w:t>
      </w:r>
      <w:r w:rsidR="00182C5B" w:rsidRPr="00396411">
        <w:rPr>
          <w:rFonts w:eastAsia="Calibri" w:cs="Arial"/>
          <w:szCs w:val="22"/>
          <w:lang w:eastAsia="en-US"/>
        </w:rPr>
        <w:t xml:space="preserve">. </w:t>
      </w:r>
      <w:r w:rsidR="006170FB" w:rsidRPr="00396411">
        <w:rPr>
          <w:rFonts w:eastAsia="Calibri" w:cs="Arial"/>
          <w:szCs w:val="22"/>
          <w:lang w:eastAsia="en-US"/>
        </w:rPr>
        <w:t xml:space="preserve">Although overall revenue from gaming machine activity will rise the gross monthly profit per machine will drop from $5,431 in 2014 to $3,409 in 2016. </w:t>
      </w:r>
    </w:p>
    <w:p w:rsidR="0090268B" w:rsidRPr="006170FB" w:rsidRDefault="00182C5B" w:rsidP="001D1071">
      <w:pPr>
        <w:pStyle w:val="Heading4"/>
        <w:rPr>
          <w:rFonts w:eastAsia="Calibri"/>
        </w:rPr>
      </w:pPr>
      <w:r w:rsidRPr="006170FB">
        <w:rPr>
          <w:rFonts w:eastAsia="Calibri"/>
        </w:rPr>
        <w:t>Suitability of location-population of local area, proximity to other gaming venues and</w:t>
      </w:r>
      <w:r w:rsidR="0090268B" w:rsidRPr="006170FB">
        <w:rPr>
          <w:rFonts w:eastAsia="Calibri"/>
        </w:rPr>
        <w:t xml:space="preserve"> </w:t>
      </w:r>
      <w:r w:rsidRPr="006170FB">
        <w:rPr>
          <w:rFonts w:eastAsia="Calibri"/>
        </w:rPr>
        <w:t>proximity to sensitive areas</w:t>
      </w:r>
    </w:p>
    <w:p w:rsidR="0090268B" w:rsidRPr="0090268B" w:rsidRDefault="00182C5B" w:rsidP="0090268B">
      <w:pPr>
        <w:pStyle w:val="ListParagraph"/>
        <w:numPr>
          <w:ilvl w:val="0"/>
          <w:numId w:val="34"/>
        </w:numPr>
        <w:autoSpaceDE w:val="0"/>
        <w:autoSpaceDN w:val="0"/>
        <w:adjustRightInd w:val="0"/>
        <w:spacing w:after="120"/>
        <w:ind w:left="426" w:hanging="426"/>
        <w:jc w:val="both"/>
        <w:rPr>
          <w:rFonts w:eastAsia="Calibri" w:cs="Arial"/>
          <w:b/>
          <w:bCs/>
          <w:i/>
          <w:iCs/>
          <w:color w:val="000000"/>
          <w:szCs w:val="22"/>
          <w:lang w:eastAsia="en-US"/>
        </w:rPr>
      </w:pPr>
      <w:r w:rsidRPr="0090268B">
        <w:rPr>
          <w:rFonts w:eastAsia="Calibri" w:cs="Arial"/>
          <w:color w:val="000000"/>
          <w:szCs w:val="22"/>
          <w:lang w:eastAsia="en-US"/>
        </w:rPr>
        <w:t>The Local Community Area (“LCA”) agreed to with Licensing NT for use in the preparation of the CIA</w:t>
      </w:r>
      <w:r w:rsidR="0090268B">
        <w:rPr>
          <w:rFonts w:eastAsia="Calibri" w:cs="Arial"/>
          <w:color w:val="000000"/>
          <w:szCs w:val="22"/>
          <w:lang w:eastAsia="en-US"/>
        </w:rPr>
        <w:t xml:space="preserve"> </w:t>
      </w:r>
      <w:r w:rsidRPr="0090268B">
        <w:rPr>
          <w:rFonts w:eastAsia="Calibri" w:cs="Arial"/>
          <w:color w:val="000000"/>
          <w:szCs w:val="22"/>
          <w:lang w:eastAsia="en-US"/>
        </w:rPr>
        <w:t xml:space="preserve">incorporates </w:t>
      </w:r>
      <w:r w:rsidR="009E5E99">
        <w:rPr>
          <w:rFonts w:eastAsia="Calibri" w:cs="Arial"/>
          <w:color w:val="000000"/>
          <w:szCs w:val="22"/>
          <w:lang w:eastAsia="en-US"/>
        </w:rPr>
        <w:t xml:space="preserve">a five kilometre radius of the </w:t>
      </w:r>
      <w:r w:rsidR="00B373B0">
        <w:rPr>
          <w:rFonts w:eastAsia="Calibri" w:cs="Arial"/>
          <w:color w:val="000000"/>
          <w:szCs w:val="22"/>
          <w:lang w:eastAsia="en-US"/>
        </w:rPr>
        <w:t>Premises</w:t>
      </w:r>
      <w:r w:rsidRPr="0090268B">
        <w:rPr>
          <w:rFonts w:eastAsia="Calibri" w:cs="Arial"/>
          <w:color w:val="000000"/>
          <w:szCs w:val="22"/>
          <w:lang w:eastAsia="en-US"/>
        </w:rPr>
        <w:t>.</w:t>
      </w:r>
      <w:r w:rsidR="009E5E99">
        <w:rPr>
          <w:rFonts w:eastAsia="Calibri" w:cs="Arial"/>
          <w:color w:val="000000"/>
          <w:szCs w:val="22"/>
          <w:lang w:eastAsia="en-US"/>
        </w:rPr>
        <w:t xml:space="preserve"> This area takes in the whole township of Tennant Creek. </w:t>
      </w:r>
      <w:r w:rsidRPr="0090268B">
        <w:rPr>
          <w:rFonts w:eastAsia="Calibri" w:cs="Arial"/>
          <w:color w:val="000000"/>
          <w:szCs w:val="22"/>
          <w:lang w:eastAsia="en-US"/>
        </w:rPr>
        <w:t xml:space="preserve">The CIA </w:t>
      </w:r>
      <w:r w:rsidR="0090268B">
        <w:rPr>
          <w:rFonts w:eastAsia="Calibri" w:cs="Arial"/>
          <w:color w:val="000000"/>
          <w:szCs w:val="22"/>
          <w:lang w:eastAsia="en-US"/>
        </w:rPr>
        <w:t>refers to</w:t>
      </w:r>
      <w:r w:rsidRPr="0090268B">
        <w:rPr>
          <w:rFonts w:eastAsia="Calibri" w:cs="Arial"/>
          <w:color w:val="000000"/>
          <w:szCs w:val="22"/>
          <w:lang w:eastAsia="en-US"/>
        </w:rPr>
        <w:t xml:space="preserve"> statistical information obtained through the Austr</w:t>
      </w:r>
      <w:r w:rsidR="00ED78D0">
        <w:rPr>
          <w:rFonts w:eastAsia="Calibri" w:cs="Arial"/>
          <w:color w:val="000000"/>
          <w:szCs w:val="22"/>
          <w:lang w:eastAsia="en-US"/>
        </w:rPr>
        <w:t>alian Bureau of Statistics</w:t>
      </w:r>
      <w:r w:rsidRPr="0090268B">
        <w:rPr>
          <w:rFonts w:eastAsia="Calibri" w:cs="Arial"/>
          <w:color w:val="000000"/>
          <w:szCs w:val="22"/>
          <w:lang w:eastAsia="en-US"/>
        </w:rPr>
        <w:t xml:space="preserve"> </w:t>
      </w:r>
      <w:r w:rsidR="007F56D2">
        <w:rPr>
          <w:rFonts w:eastAsia="Calibri" w:cs="Arial"/>
          <w:color w:val="000000"/>
          <w:szCs w:val="22"/>
          <w:lang w:eastAsia="en-US"/>
        </w:rPr>
        <w:t xml:space="preserve">(“ABS”) </w:t>
      </w:r>
      <w:r w:rsidRPr="0090268B">
        <w:rPr>
          <w:rFonts w:eastAsia="Calibri" w:cs="Arial"/>
          <w:color w:val="000000"/>
          <w:szCs w:val="22"/>
          <w:lang w:eastAsia="en-US"/>
        </w:rPr>
        <w:t>2011</w:t>
      </w:r>
      <w:r w:rsidR="0090268B">
        <w:rPr>
          <w:rFonts w:eastAsia="Calibri" w:cs="Arial"/>
          <w:color w:val="000000"/>
          <w:szCs w:val="22"/>
          <w:lang w:eastAsia="en-US"/>
        </w:rPr>
        <w:t xml:space="preserve"> </w:t>
      </w:r>
      <w:r w:rsidRPr="0090268B">
        <w:rPr>
          <w:rFonts w:eastAsia="Calibri" w:cs="Arial"/>
          <w:color w:val="000000"/>
          <w:szCs w:val="22"/>
          <w:lang w:eastAsia="en-US"/>
        </w:rPr>
        <w:t xml:space="preserve">Census Data. </w:t>
      </w:r>
      <w:r w:rsidR="0090268B">
        <w:rPr>
          <w:rFonts w:eastAsia="Calibri" w:cs="Arial"/>
          <w:color w:val="000000"/>
          <w:szCs w:val="22"/>
          <w:lang w:eastAsia="en-US"/>
        </w:rPr>
        <w:t xml:space="preserve">  </w:t>
      </w:r>
      <w:r w:rsidRPr="0090268B">
        <w:rPr>
          <w:rFonts w:eastAsia="Calibri" w:cs="Arial"/>
          <w:color w:val="000000"/>
          <w:szCs w:val="22"/>
          <w:lang w:eastAsia="en-US"/>
        </w:rPr>
        <w:t xml:space="preserve">The CIA </w:t>
      </w:r>
      <w:r w:rsidR="0090268B">
        <w:rPr>
          <w:rFonts w:eastAsia="Calibri" w:cs="Arial"/>
          <w:color w:val="000000"/>
          <w:szCs w:val="22"/>
          <w:lang w:eastAsia="en-US"/>
        </w:rPr>
        <w:t xml:space="preserve">reports that in 2011 the LCA </w:t>
      </w:r>
      <w:r w:rsidRPr="0090268B">
        <w:rPr>
          <w:rFonts w:eastAsia="Calibri" w:cs="Arial"/>
          <w:color w:val="000000"/>
          <w:szCs w:val="22"/>
          <w:lang w:eastAsia="en-US"/>
        </w:rPr>
        <w:t xml:space="preserve">had a population of </w:t>
      </w:r>
      <w:r w:rsidR="009E5E99">
        <w:rPr>
          <w:rFonts w:eastAsia="Calibri" w:cs="Arial"/>
          <w:color w:val="000000"/>
          <w:szCs w:val="22"/>
          <w:lang w:eastAsia="en-US"/>
        </w:rPr>
        <w:t xml:space="preserve">3,061 of which 2,202 are adults with 51% identifying as Indigenous. </w:t>
      </w:r>
      <w:r w:rsidRPr="0090268B">
        <w:rPr>
          <w:rFonts w:eastAsia="Calibri" w:cs="Arial"/>
          <w:color w:val="000000"/>
          <w:szCs w:val="22"/>
          <w:lang w:eastAsia="en-US"/>
        </w:rPr>
        <w:t xml:space="preserve"> </w:t>
      </w:r>
    </w:p>
    <w:p w:rsidR="0090268B" w:rsidRPr="0090268B" w:rsidRDefault="009E5E99" w:rsidP="0090268B">
      <w:pPr>
        <w:pStyle w:val="ListParagraph"/>
        <w:numPr>
          <w:ilvl w:val="0"/>
          <w:numId w:val="34"/>
        </w:numPr>
        <w:autoSpaceDE w:val="0"/>
        <w:autoSpaceDN w:val="0"/>
        <w:adjustRightInd w:val="0"/>
        <w:spacing w:after="120"/>
        <w:ind w:left="426" w:hanging="426"/>
        <w:jc w:val="both"/>
        <w:rPr>
          <w:rFonts w:eastAsia="Calibri" w:cs="Arial"/>
          <w:b/>
          <w:bCs/>
          <w:i/>
          <w:iCs/>
          <w:color w:val="000000"/>
          <w:szCs w:val="22"/>
          <w:lang w:eastAsia="en-US"/>
        </w:rPr>
      </w:pPr>
      <w:r>
        <w:rPr>
          <w:rFonts w:eastAsia="Calibri" w:cs="Arial"/>
          <w:color w:val="000000"/>
          <w:szCs w:val="22"/>
          <w:lang w:eastAsia="en-US"/>
        </w:rPr>
        <w:t xml:space="preserve">According to NT Treasury predictions, the population of the LCA is predicted to remain relatively static over the next 10 years. The CIA cites a predicted population of 3,533 in the LCA by 2026, with the resident population of the LCA projected to take on a more aged profile. </w:t>
      </w:r>
      <w:r w:rsidR="00182C5B" w:rsidRPr="0090268B">
        <w:rPr>
          <w:rFonts w:eastAsia="Calibri" w:cs="Arial"/>
          <w:color w:val="000000"/>
          <w:szCs w:val="22"/>
          <w:lang w:eastAsia="en-US"/>
        </w:rPr>
        <w:t xml:space="preserve">The </w:t>
      </w:r>
      <w:r w:rsidR="0090268B">
        <w:rPr>
          <w:rFonts w:eastAsia="Calibri" w:cs="Arial"/>
          <w:color w:val="000000"/>
          <w:szCs w:val="22"/>
          <w:lang w:eastAsia="en-US"/>
        </w:rPr>
        <w:t>CIA reports</w:t>
      </w:r>
      <w:r w:rsidR="00182C5B" w:rsidRPr="0090268B">
        <w:rPr>
          <w:rFonts w:eastAsia="Calibri" w:cs="Arial"/>
          <w:color w:val="000000"/>
          <w:szCs w:val="22"/>
          <w:lang w:eastAsia="en-US"/>
        </w:rPr>
        <w:t xml:space="preserve"> that </w:t>
      </w:r>
      <w:r w:rsidR="005B78EE">
        <w:rPr>
          <w:rFonts w:eastAsia="Calibri" w:cs="Arial"/>
          <w:color w:val="000000"/>
          <w:szCs w:val="22"/>
          <w:lang w:eastAsia="en-US"/>
        </w:rPr>
        <w:t>the</w:t>
      </w:r>
      <w:r>
        <w:rPr>
          <w:rFonts w:eastAsia="Calibri" w:cs="Arial"/>
          <w:color w:val="000000"/>
          <w:szCs w:val="22"/>
          <w:lang w:eastAsia="en-US"/>
        </w:rPr>
        <w:t xml:space="preserve"> LCA has a lower proportion of people that are qualified with a postgraduate, bachelor degree or advanced diploma in comparison with all Territorians.</w:t>
      </w:r>
    </w:p>
    <w:p w:rsidR="00D841C9" w:rsidRDefault="00182C5B" w:rsidP="00D841C9">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D841C9">
        <w:rPr>
          <w:rFonts w:eastAsia="Calibri" w:cs="Arial"/>
          <w:color w:val="000000"/>
          <w:szCs w:val="22"/>
          <w:lang w:eastAsia="en-US"/>
        </w:rPr>
        <w:t xml:space="preserve">The CIA states </w:t>
      </w:r>
      <w:r w:rsidR="00D841C9" w:rsidRPr="00D841C9">
        <w:rPr>
          <w:rFonts w:eastAsia="Calibri" w:cs="Arial"/>
          <w:color w:val="000000"/>
          <w:szCs w:val="22"/>
          <w:lang w:eastAsia="en-US"/>
        </w:rPr>
        <w:t xml:space="preserve">that the unemployment rate for the LCA is </w:t>
      </w:r>
      <w:r w:rsidR="009E5E99">
        <w:rPr>
          <w:rFonts w:eastAsia="Calibri" w:cs="Arial"/>
          <w:color w:val="000000"/>
          <w:szCs w:val="22"/>
          <w:lang w:eastAsia="en-US"/>
        </w:rPr>
        <w:t>5.4</w:t>
      </w:r>
      <w:r w:rsidRPr="00D841C9">
        <w:rPr>
          <w:rFonts w:eastAsia="Calibri" w:cs="Arial"/>
          <w:color w:val="000000"/>
          <w:szCs w:val="22"/>
          <w:lang w:eastAsia="en-US"/>
        </w:rPr>
        <w:t>%</w:t>
      </w:r>
      <w:r w:rsidR="00D841C9" w:rsidRPr="00D841C9">
        <w:rPr>
          <w:rFonts w:eastAsia="Calibri" w:cs="Arial"/>
          <w:color w:val="000000"/>
          <w:szCs w:val="22"/>
          <w:lang w:eastAsia="en-US"/>
        </w:rPr>
        <w:t xml:space="preserve">, </w:t>
      </w:r>
      <w:r w:rsidR="009E5E99">
        <w:rPr>
          <w:rFonts w:eastAsia="Calibri" w:cs="Arial"/>
          <w:color w:val="000000"/>
          <w:szCs w:val="22"/>
          <w:lang w:eastAsia="en-US"/>
        </w:rPr>
        <w:t xml:space="preserve">compared to </w:t>
      </w:r>
      <w:r w:rsidR="007F56D2">
        <w:rPr>
          <w:rFonts w:eastAsia="Calibri" w:cs="Arial"/>
          <w:color w:val="000000"/>
          <w:szCs w:val="22"/>
          <w:lang w:eastAsia="en-US"/>
        </w:rPr>
        <w:t>the Northern T</w:t>
      </w:r>
      <w:r w:rsidR="00D841C9" w:rsidRPr="00D841C9">
        <w:rPr>
          <w:rFonts w:eastAsia="Calibri" w:cs="Arial"/>
          <w:color w:val="000000"/>
          <w:szCs w:val="22"/>
          <w:lang w:eastAsia="en-US"/>
        </w:rPr>
        <w:t xml:space="preserve">erritory </w:t>
      </w:r>
      <w:r w:rsidR="009E5E99">
        <w:rPr>
          <w:rFonts w:eastAsia="Calibri" w:cs="Arial"/>
          <w:color w:val="000000"/>
          <w:szCs w:val="22"/>
          <w:lang w:eastAsia="en-US"/>
        </w:rPr>
        <w:t>rate</w:t>
      </w:r>
      <w:r w:rsidR="007F56D2">
        <w:rPr>
          <w:rFonts w:eastAsia="Calibri" w:cs="Arial"/>
          <w:color w:val="000000"/>
          <w:szCs w:val="22"/>
          <w:lang w:eastAsia="en-US"/>
        </w:rPr>
        <w:t xml:space="preserve"> which is recorded</w:t>
      </w:r>
      <w:r w:rsidR="009E5E99">
        <w:rPr>
          <w:rFonts w:eastAsia="Calibri" w:cs="Arial"/>
          <w:color w:val="000000"/>
          <w:szCs w:val="22"/>
          <w:lang w:eastAsia="en-US"/>
        </w:rPr>
        <w:t xml:space="preserve"> at 4</w:t>
      </w:r>
      <w:r w:rsidR="00D841C9" w:rsidRPr="00D841C9">
        <w:rPr>
          <w:rFonts w:eastAsia="Calibri" w:cs="Arial"/>
          <w:color w:val="000000"/>
          <w:szCs w:val="22"/>
          <w:lang w:eastAsia="en-US"/>
        </w:rPr>
        <w:t>.</w:t>
      </w:r>
      <w:r w:rsidR="009E5E99">
        <w:rPr>
          <w:rFonts w:eastAsia="Calibri" w:cs="Arial"/>
          <w:color w:val="000000"/>
          <w:szCs w:val="22"/>
          <w:lang w:eastAsia="en-US"/>
        </w:rPr>
        <w:t>2</w:t>
      </w:r>
      <w:r w:rsidR="00D841C9" w:rsidRPr="00D841C9">
        <w:rPr>
          <w:rFonts w:eastAsia="Calibri" w:cs="Arial"/>
          <w:color w:val="000000"/>
          <w:szCs w:val="22"/>
          <w:lang w:eastAsia="en-US"/>
        </w:rPr>
        <w:t>%</w:t>
      </w:r>
      <w:r w:rsidR="00D841C9">
        <w:rPr>
          <w:rFonts w:eastAsia="Calibri" w:cs="Arial"/>
          <w:color w:val="000000"/>
          <w:szCs w:val="22"/>
          <w:lang w:eastAsia="en-US"/>
        </w:rPr>
        <w:t xml:space="preserve">.  </w:t>
      </w:r>
      <w:r w:rsidR="00E3243A">
        <w:rPr>
          <w:rFonts w:eastAsia="Calibri" w:cs="Arial"/>
          <w:color w:val="000000"/>
          <w:szCs w:val="22"/>
          <w:lang w:eastAsia="en-US"/>
        </w:rPr>
        <w:t xml:space="preserve">It also states that 57% of households </w:t>
      </w:r>
      <w:r w:rsidR="00E3243A">
        <w:rPr>
          <w:rFonts w:eastAsia="Calibri" w:cs="Arial"/>
          <w:color w:val="000000"/>
          <w:szCs w:val="22"/>
          <w:lang w:eastAsia="en-US"/>
        </w:rPr>
        <w:lastRenderedPageBreak/>
        <w:t>in the LCA earn $1,000 or more per week which is markedly lower than the Territory average of 62%</w:t>
      </w:r>
      <w:r w:rsidRPr="00D841C9">
        <w:rPr>
          <w:rFonts w:eastAsia="Calibri" w:cs="Arial"/>
          <w:color w:val="000000"/>
          <w:szCs w:val="22"/>
          <w:lang w:eastAsia="en-US"/>
        </w:rPr>
        <w:t xml:space="preserve">. </w:t>
      </w:r>
      <w:r w:rsidR="00D841C9">
        <w:rPr>
          <w:rFonts w:eastAsia="Calibri" w:cs="Arial"/>
          <w:color w:val="000000"/>
          <w:szCs w:val="22"/>
          <w:lang w:eastAsia="en-US"/>
        </w:rPr>
        <w:t xml:space="preserve"> </w:t>
      </w:r>
      <w:r w:rsidR="00E3243A">
        <w:rPr>
          <w:rFonts w:eastAsia="Calibri" w:cs="Arial"/>
          <w:color w:val="000000"/>
          <w:szCs w:val="22"/>
          <w:lang w:eastAsia="en-US"/>
        </w:rPr>
        <w:t>The CIA states that the level of home ownership is 20% compared to the Northern Territory average of 31%.</w:t>
      </w:r>
      <w:r w:rsidR="00D841C9">
        <w:rPr>
          <w:rFonts w:eastAsia="Calibri" w:cs="Arial"/>
          <w:color w:val="000000"/>
          <w:szCs w:val="22"/>
          <w:lang w:eastAsia="en-US"/>
        </w:rPr>
        <w:t xml:space="preserve"> </w:t>
      </w:r>
      <w:r w:rsidR="00E3243A">
        <w:rPr>
          <w:rFonts w:eastAsia="Calibri" w:cs="Arial"/>
          <w:color w:val="000000"/>
          <w:szCs w:val="22"/>
          <w:lang w:eastAsia="en-US"/>
        </w:rPr>
        <w:t>Conversely, rental levels in the LCA is 57% compared to the Northern Territory average of 49% with the</w:t>
      </w:r>
      <w:r w:rsidRPr="00D841C9">
        <w:rPr>
          <w:rFonts w:eastAsia="Calibri" w:cs="Arial"/>
          <w:color w:val="000000"/>
          <w:szCs w:val="22"/>
          <w:lang w:eastAsia="en-US"/>
        </w:rPr>
        <w:t xml:space="preserve"> LCA </w:t>
      </w:r>
      <w:r w:rsidR="00E3243A">
        <w:rPr>
          <w:rFonts w:eastAsia="Calibri" w:cs="Arial"/>
          <w:color w:val="000000"/>
          <w:szCs w:val="22"/>
          <w:lang w:eastAsia="en-US"/>
        </w:rPr>
        <w:t>having</w:t>
      </w:r>
      <w:r w:rsidRPr="00D841C9">
        <w:rPr>
          <w:rFonts w:eastAsia="Calibri" w:cs="Arial"/>
          <w:color w:val="000000"/>
          <w:szCs w:val="22"/>
          <w:lang w:eastAsia="en-US"/>
        </w:rPr>
        <w:t xml:space="preserve"> a higher proportion of dwellings being rented from</w:t>
      </w:r>
      <w:r w:rsidR="00D841C9">
        <w:rPr>
          <w:rFonts w:eastAsia="Calibri" w:cs="Arial"/>
          <w:color w:val="000000"/>
          <w:szCs w:val="22"/>
          <w:lang w:eastAsia="en-US"/>
        </w:rPr>
        <w:t xml:space="preserve"> Territory H</w:t>
      </w:r>
      <w:r w:rsidRPr="00D841C9">
        <w:rPr>
          <w:rFonts w:eastAsia="Calibri" w:cs="Arial"/>
          <w:color w:val="000000"/>
          <w:szCs w:val="22"/>
          <w:lang w:eastAsia="en-US"/>
        </w:rPr>
        <w:t xml:space="preserve">ousing </w:t>
      </w:r>
      <w:r w:rsidR="00D841C9">
        <w:rPr>
          <w:rFonts w:eastAsia="Calibri" w:cs="Arial"/>
          <w:color w:val="000000"/>
          <w:szCs w:val="22"/>
          <w:lang w:eastAsia="en-US"/>
        </w:rPr>
        <w:t xml:space="preserve">at </w:t>
      </w:r>
      <w:r w:rsidR="00E3243A">
        <w:rPr>
          <w:rFonts w:eastAsia="Calibri" w:cs="Arial"/>
          <w:color w:val="000000"/>
          <w:szCs w:val="22"/>
          <w:lang w:eastAsia="en-US"/>
        </w:rPr>
        <w:t>17.4</w:t>
      </w:r>
      <w:r w:rsidRPr="00D841C9">
        <w:rPr>
          <w:rFonts w:eastAsia="Calibri" w:cs="Arial"/>
          <w:color w:val="000000"/>
          <w:szCs w:val="22"/>
          <w:lang w:eastAsia="en-US"/>
        </w:rPr>
        <w:t xml:space="preserve">% </w:t>
      </w:r>
      <w:r w:rsidR="00D841C9">
        <w:rPr>
          <w:rFonts w:eastAsia="Calibri" w:cs="Arial"/>
          <w:color w:val="000000"/>
          <w:szCs w:val="22"/>
          <w:lang w:eastAsia="en-US"/>
        </w:rPr>
        <w:t xml:space="preserve">compared to </w:t>
      </w:r>
      <w:r w:rsidRPr="00D841C9">
        <w:rPr>
          <w:rFonts w:eastAsia="Calibri" w:cs="Arial"/>
          <w:color w:val="000000"/>
          <w:szCs w:val="22"/>
          <w:lang w:eastAsia="en-US"/>
        </w:rPr>
        <w:t xml:space="preserve">the </w:t>
      </w:r>
      <w:r w:rsidR="00D841C9">
        <w:rPr>
          <w:rFonts w:eastAsia="Calibri" w:cs="Arial"/>
          <w:color w:val="000000"/>
          <w:szCs w:val="22"/>
          <w:lang w:eastAsia="en-US"/>
        </w:rPr>
        <w:t>N</w:t>
      </w:r>
      <w:r w:rsidR="00E3243A">
        <w:rPr>
          <w:rFonts w:eastAsia="Calibri" w:cs="Arial"/>
          <w:color w:val="000000"/>
          <w:szCs w:val="22"/>
          <w:lang w:eastAsia="en-US"/>
        </w:rPr>
        <w:t xml:space="preserve">orthern </w:t>
      </w:r>
      <w:r w:rsidR="00D841C9">
        <w:rPr>
          <w:rFonts w:eastAsia="Calibri" w:cs="Arial"/>
          <w:color w:val="000000"/>
          <w:szCs w:val="22"/>
          <w:lang w:eastAsia="en-US"/>
        </w:rPr>
        <w:t>T</w:t>
      </w:r>
      <w:r w:rsidR="00E3243A">
        <w:rPr>
          <w:rFonts w:eastAsia="Calibri" w:cs="Arial"/>
          <w:color w:val="000000"/>
          <w:szCs w:val="22"/>
          <w:lang w:eastAsia="en-US"/>
        </w:rPr>
        <w:t>erritory</w:t>
      </w:r>
      <w:r w:rsidR="00D841C9">
        <w:rPr>
          <w:rFonts w:eastAsia="Calibri" w:cs="Arial"/>
          <w:color w:val="000000"/>
          <w:szCs w:val="22"/>
          <w:lang w:eastAsia="en-US"/>
        </w:rPr>
        <w:t xml:space="preserve"> overall </w:t>
      </w:r>
      <w:r w:rsidR="007F56D2">
        <w:rPr>
          <w:rFonts w:eastAsia="Calibri" w:cs="Arial"/>
          <w:color w:val="000000"/>
          <w:szCs w:val="22"/>
          <w:lang w:eastAsia="en-US"/>
        </w:rPr>
        <w:t xml:space="preserve">which is assessed </w:t>
      </w:r>
      <w:r w:rsidR="00D841C9">
        <w:rPr>
          <w:rFonts w:eastAsia="Calibri" w:cs="Arial"/>
          <w:color w:val="000000"/>
          <w:szCs w:val="22"/>
          <w:lang w:eastAsia="en-US"/>
        </w:rPr>
        <w:t>at</w:t>
      </w:r>
      <w:r w:rsidRPr="00D841C9">
        <w:rPr>
          <w:rFonts w:eastAsia="Calibri" w:cs="Arial"/>
          <w:color w:val="000000"/>
          <w:szCs w:val="22"/>
          <w:lang w:eastAsia="en-US"/>
        </w:rPr>
        <w:t xml:space="preserve"> 12.3%.</w:t>
      </w:r>
    </w:p>
    <w:p w:rsidR="00E3243A" w:rsidRDefault="00182C5B" w:rsidP="00117718">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E3243A">
        <w:rPr>
          <w:rFonts w:eastAsia="Calibri" w:cs="Arial"/>
          <w:color w:val="000000"/>
          <w:szCs w:val="22"/>
          <w:lang w:eastAsia="en-US"/>
        </w:rPr>
        <w:t>The CIA also contains information in relation to the ABS Socio-Economic Indexes for Areas (“SEIFA”)</w:t>
      </w:r>
      <w:r w:rsidR="00E3243A" w:rsidRPr="00E3243A">
        <w:rPr>
          <w:rFonts w:eastAsia="Calibri" w:cs="Arial"/>
          <w:color w:val="000000"/>
          <w:szCs w:val="22"/>
          <w:lang w:eastAsia="en-US"/>
        </w:rPr>
        <w:t xml:space="preserve"> </w:t>
      </w:r>
      <w:r w:rsidRPr="00E3243A">
        <w:rPr>
          <w:rFonts w:eastAsia="Calibri" w:cs="Arial"/>
          <w:color w:val="000000"/>
          <w:szCs w:val="22"/>
          <w:lang w:eastAsia="en-US"/>
        </w:rPr>
        <w:t>which is a product that enables the assessment of the welfare of Australian communities based on</w:t>
      </w:r>
      <w:r w:rsidR="00D841C9" w:rsidRPr="00E3243A">
        <w:rPr>
          <w:rFonts w:eastAsia="Calibri" w:cs="Arial"/>
          <w:color w:val="000000"/>
          <w:szCs w:val="22"/>
          <w:lang w:eastAsia="en-US"/>
        </w:rPr>
        <w:t xml:space="preserve"> </w:t>
      </w:r>
      <w:r w:rsidRPr="00E3243A">
        <w:rPr>
          <w:rFonts w:eastAsia="Calibri" w:cs="Arial"/>
          <w:color w:val="000000"/>
          <w:szCs w:val="22"/>
          <w:lang w:eastAsia="en-US"/>
        </w:rPr>
        <w:t>census data relating to household income, education, employment, occupation, housing and other</w:t>
      </w:r>
      <w:r w:rsidR="00D841C9" w:rsidRPr="00E3243A">
        <w:rPr>
          <w:rFonts w:eastAsia="Calibri" w:cs="Arial"/>
          <w:color w:val="000000"/>
          <w:szCs w:val="22"/>
          <w:lang w:eastAsia="en-US"/>
        </w:rPr>
        <w:t xml:space="preserve"> </w:t>
      </w:r>
      <w:r w:rsidRPr="00E3243A">
        <w:rPr>
          <w:rFonts w:eastAsia="Calibri" w:cs="Arial"/>
          <w:color w:val="000000"/>
          <w:szCs w:val="22"/>
          <w:lang w:eastAsia="en-US"/>
        </w:rPr>
        <w:t xml:space="preserve">indicators of advantage and disadvantage. The CIA states that the </w:t>
      </w:r>
      <w:r w:rsidR="00E3243A">
        <w:rPr>
          <w:rFonts w:eastAsia="Calibri" w:cs="Arial"/>
          <w:color w:val="000000"/>
          <w:szCs w:val="22"/>
          <w:lang w:eastAsia="en-US"/>
        </w:rPr>
        <w:t xml:space="preserve">SEIFA analysis shows the entire town of Tennant Creek is classified as being severely disadvantaged. </w:t>
      </w:r>
    </w:p>
    <w:p w:rsidR="00E608AE" w:rsidRDefault="00E608AE" w:rsidP="00117718">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eastAsia="Calibri" w:cs="Arial"/>
          <w:color w:val="000000"/>
          <w:szCs w:val="22"/>
          <w:lang w:eastAsia="en-US"/>
        </w:rPr>
        <w:t>The CIA cites a Productivity Commission (PC) Inquiry Report (2010) that identified social costs of problem gambling with the Northern Territory included suicide, depression, relationship breakdowns and criminal activity. The PC also noted that in the Northern Territory almost 8% of the Indigenous population are pathological gamblers compared to just over 2% for the Non-Indigenous population.</w:t>
      </w:r>
    </w:p>
    <w:p w:rsidR="0096251B" w:rsidRDefault="00182C5B" w:rsidP="00117718">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117718">
        <w:rPr>
          <w:rFonts w:eastAsia="Calibri" w:cs="Arial"/>
          <w:color w:val="000000"/>
          <w:szCs w:val="22"/>
          <w:lang w:eastAsia="en-US"/>
        </w:rPr>
        <w:t>Section 41A(2)(c) of the Act states that the CIA must provide details with respect to the proximity of the</w:t>
      </w:r>
      <w:r w:rsidR="00117718">
        <w:rPr>
          <w:rFonts w:eastAsia="Calibri" w:cs="Arial"/>
          <w:color w:val="000000"/>
          <w:szCs w:val="22"/>
          <w:lang w:eastAsia="en-US"/>
        </w:rPr>
        <w:t xml:space="preserve"> </w:t>
      </w:r>
      <w:r w:rsidR="00B373B0">
        <w:rPr>
          <w:rFonts w:eastAsia="Calibri" w:cs="Arial"/>
          <w:color w:val="000000"/>
          <w:szCs w:val="22"/>
          <w:lang w:eastAsia="en-US"/>
        </w:rPr>
        <w:t>Premises</w:t>
      </w:r>
      <w:r w:rsidRPr="00117718">
        <w:rPr>
          <w:rFonts w:eastAsia="Calibri" w:cs="Arial"/>
          <w:color w:val="000000"/>
          <w:szCs w:val="22"/>
          <w:lang w:eastAsia="en-US"/>
        </w:rPr>
        <w:t xml:space="preserve"> to </w:t>
      </w:r>
      <w:r w:rsidR="00117718">
        <w:rPr>
          <w:rFonts w:eastAsia="Calibri" w:cs="Arial"/>
          <w:color w:val="000000"/>
          <w:szCs w:val="22"/>
          <w:lang w:eastAsia="en-US"/>
        </w:rPr>
        <w:t xml:space="preserve">gambling </w:t>
      </w:r>
      <w:r w:rsidR="00B700BD">
        <w:rPr>
          <w:rFonts w:eastAsia="Calibri" w:cs="Arial"/>
          <w:color w:val="000000"/>
          <w:szCs w:val="22"/>
          <w:lang w:eastAsia="en-US"/>
        </w:rPr>
        <w:t>sensitive site</w:t>
      </w:r>
      <w:r w:rsidRPr="00117718">
        <w:rPr>
          <w:rFonts w:eastAsia="Calibri" w:cs="Arial"/>
          <w:color w:val="000000"/>
          <w:szCs w:val="22"/>
          <w:lang w:eastAsia="en-US"/>
        </w:rPr>
        <w:t>s such as schools, shopping centres, other congregation facilities, welfare</w:t>
      </w:r>
      <w:r w:rsidR="00117718">
        <w:rPr>
          <w:rFonts w:eastAsia="Calibri" w:cs="Arial"/>
          <w:color w:val="000000"/>
          <w:szCs w:val="22"/>
          <w:lang w:eastAsia="en-US"/>
        </w:rPr>
        <w:t xml:space="preserve"> </w:t>
      </w:r>
      <w:r w:rsidRPr="00117718">
        <w:rPr>
          <w:rFonts w:eastAsia="Calibri" w:cs="Arial"/>
          <w:color w:val="000000"/>
          <w:szCs w:val="22"/>
          <w:lang w:eastAsia="en-US"/>
        </w:rPr>
        <w:t xml:space="preserve">agencies, banks and pawn brokers. The CIA reports there are </w:t>
      </w:r>
      <w:r w:rsidR="00E3243A">
        <w:rPr>
          <w:rFonts w:eastAsia="Calibri" w:cs="Arial"/>
          <w:color w:val="000000"/>
          <w:szCs w:val="22"/>
          <w:lang w:eastAsia="en-US"/>
        </w:rPr>
        <w:t>six</w:t>
      </w:r>
      <w:r w:rsidRPr="00117718">
        <w:rPr>
          <w:rFonts w:eastAsia="Calibri" w:cs="Arial"/>
          <w:color w:val="000000"/>
          <w:szCs w:val="22"/>
          <w:lang w:eastAsia="en-US"/>
        </w:rPr>
        <w:t xml:space="preserve"> sensitive sites within a </w:t>
      </w:r>
      <w:r w:rsidR="00E3243A">
        <w:rPr>
          <w:rFonts w:eastAsia="Calibri" w:cs="Arial"/>
          <w:color w:val="000000"/>
          <w:szCs w:val="22"/>
          <w:lang w:eastAsia="en-US"/>
        </w:rPr>
        <w:t>5</w:t>
      </w:r>
      <w:r w:rsidRPr="00117718">
        <w:rPr>
          <w:rFonts w:eastAsia="Calibri" w:cs="Arial"/>
          <w:color w:val="000000"/>
          <w:szCs w:val="22"/>
          <w:lang w:eastAsia="en-US"/>
        </w:rPr>
        <w:t>00</w:t>
      </w:r>
      <w:r w:rsidR="00117718">
        <w:rPr>
          <w:rFonts w:eastAsia="Calibri" w:cs="Arial"/>
          <w:color w:val="000000"/>
          <w:szCs w:val="22"/>
          <w:lang w:eastAsia="en-US"/>
        </w:rPr>
        <w:t xml:space="preserve"> </w:t>
      </w:r>
      <w:r w:rsidRPr="00117718">
        <w:rPr>
          <w:rFonts w:eastAsia="Calibri" w:cs="Arial"/>
          <w:color w:val="000000"/>
          <w:szCs w:val="22"/>
          <w:lang w:eastAsia="en-US"/>
        </w:rPr>
        <w:t>m</w:t>
      </w:r>
      <w:r w:rsidR="00117718">
        <w:rPr>
          <w:rFonts w:eastAsia="Calibri" w:cs="Arial"/>
          <w:color w:val="000000"/>
          <w:szCs w:val="22"/>
          <w:lang w:eastAsia="en-US"/>
        </w:rPr>
        <w:t>etre</w:t>
      </w:r>
      <w:r w:rsidRPr="00117718">
        <w:rPr>
          <w:rFonts w:eastAsia="Calibri" w:cs="Arial"/>
          <w:color w:val="000000"/>
          <w:szCs w:val="22"/>
          <w:lang w:eastAsia="en-US"/>
        </w:rPr>
        <w:t xml:space="preserve"> radius</w:t>
      </w:r>
      <w:r w:rsidR="00117718">
        <w:rPr>
          <w:rFonts w:eastAsia="Calibri" w:cs="Arial"/>
          <w:color w:val="000000"/>
          <w:szCs w:val="22"/>
          <w:lang w:eastAsia="en-US"/>
        </w:rPr>
        <w:t xml:space="preserve"> </w:t>
      </w:r>
      <w:r w:rsidRPr="00117718">
        <w:rPr>
          <w:rFonts w:eastAsia="Calibri" w:cs="Arial"/>
          <w:color w:val="000000"/>
          <w:szCs w:val="22"/>
          <w:lang w:eastAsia="en-US"/>
        </w:rPr>
        <w:t xml:space="preserve">of the </w:t>
      </w:r>
      <w:r w:rsidR="00117718">
        <w:rPr>
          <w:rFonts w:eastAsia="Calibri" w:cs="Arial"/>
          <w:color w:val="000000"/>
          <w:szCs w:val="22"/>
          <w:lang w:eastAsia="en-US"/>
        </w:rPr>
        <w:t>Club being</w:t>
      </w:r>
      <w:r w:rsidRPr="00117718">
        <w:rPr>
          <w:rFonts w:eastAsia="Calibri" w:cs="Arial"/>
          <w:color w:val="000000"/>
          <w:szCs w:val="22"/>
          <w:lang w:eastAsia="en-US"/>
        </w:rPr>
        <w:t xml:space="preserve"> </w:t>
      </w:r>
      <w:r w:rsidR="00FA3E58">
        <w:rPr>
          <w:rFonts w:eastAsia="Calibri" w:cs="Arial"/>
          <w:color w:val="000000"/>
          <w:szCs w:val="22"/>
          <w:lang w:eastAsia="en-US"/>
        </w:rPr>
        <w:t>Anyinginyi Health Aboriginal Corp</w:t>
      </w:r>
      <w:r w:rsidRPr="00117718">
        <w:rPr>
          <w:rFonts w:eastAsia="Calibri" w:cs="Arial"/>
          <w:color w:val="000000"/>
          <w:szCs w:val="22"/>
          <w:lang w:eastAsia="en-US"/>
        </w:rPr>
        <w:t>.</w:t>
      </w:r>
      <w:r w:rsidR="00FA3E58">
        <w:rPr>
          <w:rFonts w:eastAsia="Calibri" w:cs="Arial"/>
          <w:color w:val="000000"/>
          <w:szCs w:val="22"/>
          <w:lang w:eastAsia="en-US"/>
        </w:rPr>
        <w:t xml:space="preserve">, Aboriginal Legal Services, Australian Red Cross, Family Support Service, Catholic Care (Gambling Help Provider) and Graeme’s Place (Pawn Broker). </w:t>
      </w:r>
      <w:r w:rsidRPr="00117718">
        <w:rPr>
          <w:rFonts w:eastAsia="Calibri" w:cs="Arial"/>
          <w:color w:val="000000"/>
          <w:szCs w:val="22"/>
          <w:lang w:eastAsia="en-US"/>
        </w:rPr>
        <w:t xml:space="preserve"> The CIA </w:t>
      </w:r>
      <w:r w:rsidR="00FA3E58">
        <w:rPr>
          <w:rFonts w:eastAsia="Calibri" w:cs="Arial"/>
          <w:color w:val="000000"/>
          <w:szCs w:val="22"/>
          <w:lang w:eastAsia="en-US"/>
        </w:rPr>
        <w:t>also identifies the Tennant Creek Pre-School, Tennant Creek Childcare Centre and the Tennant Creek Primary school as being within 100 metres of the Venue. The venue operates from noon weekdays.</w:t>
      </w:r>
      <w:r w:rsidRPr="00117718">
        <w:rPr>
          <w:rFonts w:eastAsia="Calibri" w:cs="Arial"/>
          <w:color w:val="000000"/>
          <w:szCs w:val="22"/>
          <w:lang w:eastAsia="en-US"/>
        </w:rPr>
        <w:t xml:space="preserve"> </w:t>
      </w:r>
      <w:r w:rsidR="00FA3E58">
        <w:rPr>
          <w:rFonts w:eastAsia="Calibri" w:cs="Arial"/>
          <w:color w:val="000000"/>
          <w:szCs w:val="22"/>
          <w:lang w:eastAsia="en-US"/>
        </w:rPr>
        <w:t>As primary schools finish at 14:30 any risk to school children would be negligible if more machines were at the Venue.</w:t>
      </w:r>
    </w:p>
    <w:p w:rsidR="00EE2950" w:rsidRPr="001D1071" w:rsidRDefault="00FA3E58" w:rsidP="00EE2950">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1D1071">
        <w:rPr>
          <w:rFonts w:eastAsia="Calibri" w:cs="Arial"/>
          <w:color w:val="000000"/>
          <w:szCs w:val="22"/>
          <w:lang w:eastAsia="en-US"/>
        </w:rPr>
        <w:t xml:space="preserve">There are three other licensed gaming </w:t>
      </w:r>
      <w:r w:rsidR="00F0352B" w:rsidRPr="001D1071">
        <w:rPr>
          <w:rFonts w:eastAsia="Calibri" w:cs="Arial"/>
          <w:color w:val="000000"/>
          <w:szCs w:val="22"/>
          <w:lang w:eastAsia="en-US"/>
        </w:rPr>
        <w:t>premises</w:t>
      </w:r>
      <w:r w:rsidRPr="001D1071">
        <w:rPr>
          <w:rFonts w:eastAsia="Calibri" w:cs="Arial"/>
          <w:color w:val="000000"/>
          <w:szCs w:val="22"/>
          <w:lang w:eastAsia="en-US"/>
        </w:rPr>
        <w:t xml:space="preserve"> within the LCA. Sporties Club has 16 machines, Goldfields Hotel has 10 machines and the Tennant Creek Hotel has 10 machines. Licensing NT records show that between 2012 and 2015 15 gaming machines in the LCA and surround district were de-commissioned. The Tennant Creek Bowls Club closed in 2012 with four gaming machines shut down. Threeways Roadhouse, approximately 30 kilometres north of the LCA, ceased operating its six gaming machines and the Barkly Homestead shut down its five gaming machines during this period. </w:t>
      </w:r>
    </w:p>
    <w:p w:rsidR="0096251B" w:rsidRPr="00546257" w:rsidRDefault="00182C5B" w:rsidP="001D1071">
      <w:pPr>
        <w:pStyle w:val="Heading4"/>
        <w:rPr>
          <w:rFonts w:eastAsia="Calibri"/>
          <w:lang w:eastAsia="en-US"/>
        </w:rPr>
      </w:pPr>
      <w:r w:rsidRPr="00546257">
        <w:rPr>
          <w:rFonts w:eastAsia="Calibri"/>
          <w:lang w:eastAsia="en-US"/>
        </w:rPr>
        <w:t>Appropriateness of problem gambling risk management and responsible gambling strategies</w:t>
      </w:r>
    </w:p>
    <w:p w:rsidR="0096251B" w:rsidRDefault="00182C5B" w:rsidP="0096251B">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96251B">
        <w:rPr>
          <w:rFonts w:eastAsia="Calibri" w:cs="Arial"/>
          <w:color w:val="000000"/>
          <w:szCs w:val="22"/>
          <w:lang w:eastAsia="en-US"/>
        </w:rPr>
        <w:t>The 2014 report ‘Gambling Harm in the Northern Territory: An Atlas of Venue Catchments’, prepared for</w:t>
      </w:r>
      <w:r w:rsidR="0096251B">
        <w:rPr>
          <w:rFonts w:eastAsia="Calibri" w:cs="Arial"/>
          <w:color w:val="000000"/>
          <w:szCs w:val="22"/>
          <w:lang w:eastAsia="en-US"/>
        </w:rPr>
        <w:t xml:space="preserve"> </w:t>
      </w:r>
      <w:r w:rsidRPr="0096251B">
        <w:rPr>
          <w:rFonts w:eastAsia="Calibri" w:cs="Arial"/>
          <w:color w:val="000000"/>
          <w:szCs w:val="22"/>
          <w:lang w:eastAsia="en-US"/>
        </w:rPr>
        <w:t>the Community Benefit Committee in</w:t>
      </w:r>
      <w:r w:rsidR="00B700BD">
        <w:rPr>
          <w:rFonts w:eastAsia="Calibri" w:cs="Arial"/>
          <w:color w:val="000000"/>
          <w:szCs w:val="22"/>
          <w:lang w:eastAsia="en-US"/>
        </w:rPr>
        <w:t xml:space="preserve"> May 2014, </w:t>
      </w:r>
      <w:r w:rsidR="00433E68">
        <w:rPr>
          <w:rFonts w:eastAsia="Calibri" w:cs="Arial"/>
          <w:color w:val="000000"/>
          <w:szCs w:val="22"/>
          <w:lang w:eastAsia="en-US"/>
        </w:rPr>
        <w:t xml:space="preserve">does not contain information for the Tennant Creek venues, therefore there is no information on the level of problem gamblers in the LCA. </w:t>
      </w:r>
    </w:p>
    <w:p w:rsidR="001E1DD7" w:rsidRDefault="0096251B" w:rsidP="001E1DD7">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eastAsia="Calibri" w:cs="Arial"/>
          <w:color w:val="000000"/>
          <w:szCs w:val="22"/>
          <w:lang w:eastAsia="en-US"/>
        </w:rPr>
        <w:t>The CIA sets out the Club’s</w:t>
      </w:r>
      <w:r w:rsidR="00182C5B" w:rsidRPr="0096251B">
        <w:rPr>
          <w:rFonts w:eastAsia="Calibri" w:cs="Arial"/>
          <w:color w:val="000000"/>
          <w:szCs w:val="22"/>
          <w:lang w:eastAsia="en-US"/>
        </w:rPr>
        <w:t xml:space="preserve"> policies and procedures for the delivery of responsible gaming services</w:t>
      </w:r>
      <w:r>
        <w:rPr>
          <w:rFonts w:eastAsia="Calibri" w:cs="Arial"/>
          <w:color w:val="000000"/>
          <w:szCs w:val="22"/>
          <w:lang w:eastAsia="en-US"/>
        </w:rPr>
        <w:t xml:space="preserve"> </w:t>
      </w:r>
      <w:r w:rsidR="00182C5B" w:rsidRPr="0096251B">
        <w:rPr>
          <w:rFonts w:eastAsia="Calibri" w:cs="Arial"/>
          <w:color w:val="000000"/>
          <w:szCs w:val="22"/>
          <w:lang w:eastAsia="en-US"/>
        </w:rPr>
        <w:t xml:space="preserve">and </w:t>
      </w:r>
      <w:r>
        <w:rPr>
          <w:rFonts w:eastAsia="Calibri" w:cs="Arial"/>
          <w:color w:val="000000"/>
          <w:szCs w:val="22"/>
          <w:lang w:eastAsia="en-US"/>
        </w:rPr>
        <w:t xml:space="preserve">states that the </w:t>
      </w:r>
      <w:r w:rsidR="00F0352B">
        <w:rPr>
          <w:rFonts w:eastAsia="Calibri" w:cs="Arial"/>
          <w:color w:val="000000"/>
          <w:szCs w:val="22"/>
          <w:lang w:eastAsia="en-US"/>
        </w:rPr>
        <w:t>Premises’</w:t>
      </w:r>
      <w:r>
        <w:rPr>
          <w:rFonts w:eastAsia="Calibri" w:cs="Arial"/>
          <w:color w:val="000000"/>
          <w:szCs w:val="22"/>
          <w:lang w:eastAsia="en-US"/>
        </w:rPr>
        <w:t xml:space="preserve"> management </w:t>
      </w:r>
      <w:r w:rsidR="00182C5B" w:rsidRPr="0096251B">
        <w:rPr>
          <w:rFonts w:eastAsia="Calibri" w:cs="Arial"/>
          <w:color w:val="000000"/>
          <w:szCs w:val="22"/>
          <w:lang w:eastAsia="en-US"/>
        </w:rPr>
        <w:t>ensures strict compliance to the Code of Practice for Re</w:t>
      </w:r>
      <w:r>
        <w:rPr>
          <w:rFonts w:eastAsia="Calibri" w:cs="Arial"/>
          <w:color w:val="000000"/>
          <w:szCs w:val="22"/>
          <w:lang w:eastAsia="en-US"/>
        </w:rPr>
        <w:t xml:space="preserve">sponsible Gambling. </w:t>
      </w:r>
      <w:r w:rsidR="00182C5B" w:rsidRPr="0096251B">
        <w:rPr>
          <w:rFonts w:eastAsia="Calibri" w:cs="Arial"/>
          <w:color w:val="000000"/>
          <w:szCs w:val="22"/>
          <w:lang w:eastAsia="en-US"/>
        </w:rPr>
        <w:t xml:space="preserve">The policies in place at the </w:t>
      </w:r>
      <w:r w:rsidR="00F0352B">
        <w:rPr>
          <w:rFonts w:eastAsia="Calibri" w:cs="Arial"/>
          <w:color w:val="000000"/>
          <w:szCs w:val="22"/>
          <w:lang w:eastAsia="en-US"/>
        </w:rPr>
        <w:t>Premises</w:t>
      </w:r>
      <w:r w:rsidR="00182C5B" w:rsidRPr="0096251B">
        <w:rPr>
          <w:rFonts w:eastAsia="Calibri" w:cs="Arial"/>
          <w:color w:val="000000"/>
          <w:szCs w:val="22"/>
          <w:lang w:eastAsia="en-US"/>
        </w:rPr>
        <w:t xml:space="preserve"> are compliant with the current code of practise in the Northern</w:t>
      </w:r>
      <w:r>
        <w:rPr>
          <w:rFonts w:eastAsia="Calibri" w:cs="Arial"/>
          <w:color w:val="000000"/>
          <w:szCs w:val="22"/>
          <w:lang w:eastAsia="en-US"/>
        </w:rPr>
        <w:t xml:space="preserve"> </w:t>
      </w:r>
      <w:r w:rsidR="00182C5B" w:rsidRPr="0096251B">
        <w:rPr>
          <w:rFonts w:eastAsia="Calibri" w:cs="Arial"/>
          <w:color w:val="000000"/>
          <w:szCs w:val="22"/>
          <w:lang w:eastAsia="en-US"/>
        </w:rPr>
        <w:t>Territory and there is no indication that an increase in the number of gaming machines at the venue</w:t>
      </w:r>
      <w:r>
        <w:rPr>
          <w:rFonts w:eastAsia="Calibri" w:cs="Arial"/>
          <w:color w:val="000000"/>
          <w:szCs w:val="22"/>
          <w:lang w:eastAsia="en-US"/>
        </w:rPr>
        <w:t xml:space="preserve"> </w:t>
      </w:r>
      <w:r w:rsidR="00182C5B" w:rsidRPr="0096251B">
        <w:rPr>
          <w:rFonts w:eastAsia="Calibri" w:cs="Arial"/>
          <w:color w:val="000000"/>
          <w:szCs w:val="22"/>
          <w:lang w:eastAsia="en-US"/>
        </w:rPr>
        <w:t xml:space="preserve">would require any amendment or addition to the policies or existing procedures relating to </w:t>
      </w:r>
      <w:r w:rsidR="00E951BA" w:rsidRPr="0096251B">
        <w:rPr>
          <w:rFonts w:eastAsia="Calibri" w:cs="Arial"/>
          <w:color w:val="000000"/>
          <w:szCs w:val="22"/>
          <w:lang w:eastAsia="en-US"/>
        </w:rPr>
        <w:t>the management</w:t>
      </w:r>
      <w:r w:rsidR="00182C5B" w:rsidRPr="0096251B">
        <w:rPr>
          <w:rFonts w:eastAsia="Calibri" w:cs="Arial"/>
          <w:color w:val="000000"/>
          <w:szCs w:val="22"/>
          <w:lang w:eastAsia="en-US"/>
        </w:rPr>
        <w:t xml:space="preserve"> and monitoring of gaming</w:t>
      </w:r>
      <w:r w:rsidR="00B700BD">
        <w:rPr>
          <w:rFonts w:eastAsia="Calibri" w:cs="Arial"/>
          <w:color w:val="000000"/>
          <w:szCs w:val="22"/>
          <w:lang w:eastAsia="en-US"/>
        </w:rPr>
        <w:t xml:space="preserve"> machine activity</w:t>
      </w:r>
      <w:r w:rsidR="00182C5B" w:rsidRPr="0096251B">
        <w:rPr>
          <w:rFonts w:eastAsia="Calibri" w:cs="Arial"/>
          <w:color w:val="000000"/>
          <w:szCs w:val="22"/>
          <w:lang w:eastAsia="en-US"/>
        </w:rPr>
        <w:t>.</w:t>
      </w:r>
    </w:p>
    <w:p w:rsidR="001E1DD7" w:rsidRDefault="00182C5B" w:rsidP="001D1071">
      <w:pPr>
        <w:pStyle w:val="Heading4"/>
        <w:rPr>
          <w:rFonts w:eastAsia="Calibri"/>
          <w:lang w:eastAsia="en-US"/>
        </w:rPr>
      </w:pPr>
      <w:r w:rsidRPr="001E1DD7">
        <w:rPr>
          <w:rFonts w:eastAsia="Calibri"/>
          <w:lang w:eastAsia="en-US"/>
        </w:rPr>
        <w:lastRenderedPageBreak/>
        <w:t>Economic impact-contribution to the community, employment creation and</w:t>
      </w:r>
      <w:r w:rsidR="001E1DD7">
        <w:rPr>
          <w:rFonts w:eastAsia="Calibri"/>
          <w:lang w:eastAsia="en-US"/>
        </w:rPr>
        <w:t xml:space="preserve"> </w:t>
      </w:r>
      <w:r w:rsidRPr="001E1DD7">
        <w:rPr>
          <w:rFonts w:eastAsia="Calibri"/>
          <w:lang w:eastAsia="en-US"/>
        </w:rPr>
        <w:t>significance/reliance of the venue to or on tourism</w:t>
      </w:r>
    </w:p>
    <w:p w:rsidR="001E1DD7" w:rsidRPr="001E1DD7" w:rsidRDefault="001E1DD7" w:rsidP="001E1DD7">
      <w:pPr>
        <w:pStyle w:val="ListParagraph"/>
        <w:numPr>
          <w:ilvl w:val="0"/>
          <w:numId w:val="34"/>
        </w:numPr>
        <w:autoSpaceDE w:val="0"/>
        <w:autoSpaceDN w:val="0"/>
        <w:adjustRightInd w:val="0"/>
        <w:spacing w:after="120"/>
        <w:ind w:left="426" w:hanging="426"/>
        <w:jc w:val="both"/>
        <w:rPr>
          <w:rFonts w:eastAsia="Calibri" w:cs="Arial"/>
          <w:b/>
          <w:bCs/>
          <w:i/>
          <w:iCs/>
          <w:color w:val="000000"/>
          <w:szCs w:val="22"/>
          <w:lang w:eastAsia="en-US"/>
        </w:rPr>
      </w:pPr>
      <w:r>
        <w:rPr>
          <w:rFonts w:eastAsia="Calibri" w:cs="Arial"/>
          <w:color w:val="000000"/>
          <w:szCs w:val="22"/>
          <w:lang w:eastAsia="en-US"/>
        </w:rPr>
        <w:t xml:space="preserve">The </w:t>
      </w:r>
      <w:r w:rsidR="00F0352B">
        <w:rPr>
          <w:rFonts w:eastAsia="Calibri" w:cs="Arial"/>
          <w:color w:val="000000"/>
          <w:szCs w:val="22"/>
          <w:lang w:eastAsia="en-US"/>
        </w:rPr>
        <w:t>Premises</w:t>
      </w:r>
      <w:r w:rsidR="00433E68">
        <w:rPr>
          <w:rFonts w:eastAsia="Calibri" w:cs="Arial"/>
          <w:color w:val="000000"/>
          <w:szCs w:val="22"/>
          <w:lang w:eastAsia="en-US"/>
        </w:rPr>
        <w:t xml:space="preserve"> currently employs 29</w:t>
      </w:r>
      <w:r w:rsidR="00182C5B" w:rsidRPr="001E1DD7">
        <w:rPr>
          <w:rFonts w:eastAsia="Calibri" w:cs="Arial"/>
          <w:color w:val="000000"/>
          <w:szCs w:val="22"/>
          <w:lang w:eastAsia="en-US"/>
        </w:rPr>
        <w:t xml:space="preserve"> staff</w:t>
      </w:r>
      <w:proofErr w:type="gramStart"/>
      <w:r w:rsidR="00B700BD">
        <w:rPr>
          <w:rFonts w:eastAsia="Calibri" w:cs="Arial"/>
          <w:color w:val="000000"/>
          <w:szCs w:val="22"/>
          <w:lang w:eastAsia="en-US"/>
        </w:rPr>
        <w:t xml:space="preserve">.  </w:t>
      </w:r>
      <w:proofErr w:type="gramEnd"/>
      <w:r w:rsidR="00B700BD">
        <w:rPr>
          <w:rFonts w:eastAsia="Calibri" w:cs="Arial"/>
          <w:color w:val="000000"/>
          <w:szCs w:val="22"/>
          <w:lang w:eastAsia="en-US"/>
        </w:rPr>
        <w:t>S</w:t>
      </w:r>
      <w:r w:rsidR="00433E68">
        <w:rPr>
          <w:rFonts w:eastAsia="Calibri" w:cs="Arial"/>
          <w:color w:val="000000"/>
          <w:szCs w:val="22"/>
          <w:lang w:eastAsia="en-US"/>
        </w:rPr>
        <w:t>hould the application for 20</w:t>
      </w:r>
      <w:r w:rsidR="00182C5B" w:rsidRPr="001E1DD7">
        <w:rPr>
          <w:rFonts w:eastAsia="Calibri" w:cs="Arial"/>
          <w:color w:val="000000"/>
          <w:szCs w:val="22"/>
          <w:lang w:eastAsia="en-US"/>
        </w:rPr>
        <w:t xml:space="preserve"> additional </w:t>
      </w:r>
      <w:r>
        <w:rPr>
          <w:rFonts w:eastAsia="Calibri" w:cs="Arial"/>
          <w:color w:val="000000"/>
          <w:szCs w:val="22"/>
          <w:lang w:eastAsia="en-US"/>
        </w:rPr>
        <w:t xml:space="preserve">gaming </w:t>
      </w:r>
      <w:r w:rsidR="00182C5B" w:rsidRPr="001E1DD7">
        <w:rPr>
          <w:rFonts w:eastAsia="Calibri" w:cs="Arial"/>
          <w:color w:val="000000"/>
          <w:szCs w:val="22"/>
          <w:lang w:eastAsia="en-US"/>
        </w:rPr>
        <w:t>machines be</w:t>
      </w:r>
      <w:r>
        <w:rPr>
          <w:rFonts w:eastAsia="Calibri" w:cs="Arial"/>
          <w:color w:val="000000"/>
          <w:szCs w:val="22"/>
          <w:lang w:eastAsia="en-US"/>
        </w:rPr>
        <w:t xml:space="preserve"> </w:t>
      </w:r>
      <w:r w:rsidR="00182C5B" w:rsidRPr="001E1DD7">
        <w:rPr>
          <w:rFonts w:eastAsia="Calibri" w:cs="Arial"/>
          <w:color w:val="000000"/>
          <w:szCs w:val="22"/>
          <w:lang w:eastAsia="en-US"/>
        </w:rPr>
        <w:t xml:space="preserve">successful the CIA indicates the </w:t>
      </w:r>
      <w:r w:rsidR="00F0352B">
        <w:rPr>
          <w:rFonts w:eastAsia="Calibri" w:cs="Arial"/>
          <w:color w:val="000000"/>
          <w:szCs w:val="22"/>
          <w:lang w:eastAsia="en-US"/>
        </w:rPr>
        <w:t>Premises</w:t>
      </w:r>
      <w:r w:rsidR="00182C5B" w:rsidRPr="001E1DD7">
        <w:rPr>
          <w:rFonts w:eastAsia="Calibri" w:cs="Arial"/>
          <w:color w:val="000000"/>
          <w:szCs w:val="22"/>
          <w:lang w:eastAsia="en-US"/>
        </w:rPr>
        <w:t xml:space="preserve"> expect</w:t>
      </w:r>
      <w:r>
        <w:rPr>
          <w:rFonts w:eastAsia="Calibri" w:cs="Arial"/>
          <w:color w:val="000000"/>
          <w:szCs w:val="22"/>
          <w:lang w:eastAsia="en-US"/>
        </w:rPr>
        <w:t>s</w:t>
      </w:r>
      <w:r w:rsidR="00182C5B" w:rsidRPr="001E1DD7">
        <w:rPr>
          <w:rFonts w:eastAsia="Calibri" w:cs="Arial"/>
          <w:color w:val="000000"/>
          <w:szCs w:val="22"/>
          <w:lang w:eastAsia="en-US"/>
        </w:rPr>
        <w:t xml:space="preserve"> to employ two additional staff.</w:t>
      </w:r>
    </w:p>
    <w:p w:rsidR="001E1DD7" w:rsidRDefault="00182C5B" w:rsidP="001E1DD7">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1E1DD7">
        <w:rPr>
          <w:rFonts w:eastAsia="Calibri" w:cs="Arial"/>
          <w:color w:val="000000"/>
          <w:szCs w:val="22"/>
          <w:lang w:eastAsia="en-US"/>
        </w:rPr>
        <w:t xml:space="preserve">The </w:t>
      </w:r>
      <w:r w:rsidR="001E1DD7" w:rsidRPr="001E1DD7">
        <w:rPr>
          <w:rFonts w:eastAsia="Calibri" w:cs="Arial"/>
          <w:color w:val="000000"/>
          <w:szCs w:val="22"/>
          <w:lang w:eastAsia="en-US"/>
        </w:rPr>
        <w:t>Club</w:t>
      </w:r>
      <w:r w:rsidRPr="001E1DD7">
        <w:rPr>
          <w:rFonts w:eastAsia="Calibri" w:cs="Arial"/>
          <w:color w:val="000000"/>
          <w:szCs w:val="22"/>
          <w:lang w:eastAsia="en-US"/>
        </w:rPr>
        <w:t xml:space="preserve"> </w:t>
      </w:r>
      <w:r w:rsidR="00433E68">
        <w:rPr>
          <w:rFonts w:eastAsia="Calibri" w:cs="Arial"/>
          <w:color w:val="000000"/>
          <w:szCs w:val="22"/>
          <w:lang w:eastAsia="en-US"/>
        </w:rPr>
        <w:t>does not have foundation sporting clubs common in many Northern Territory community clubs. It has a focus on contributing to local organisations including sport and recreational organisations, charitable organisations and fundraising</w:t>
      </w:r>
      <w:r w:rsidRPr="001E1DD7">
        <w:rPr>
          <w:rFonts w:eastAsia="Calibri" w:cs="Arial"/>
          <w:color w:val="000000"/>
          <w:szCs w:val="22"/>
          <w:lang w:eastAsia="en-US"/>
        </w:rPr>
        <w:t>.</w:t>
      </w:r>
      <w:r w:rsidR="00433E68">
        <w:rPr>
          <w:rFonts w:eastAsia="Calibri" w:cs="Arial"/>
          <w:color w:val="000000"/>
          <w:szCs w:val="22"/>
          <w:lang w:eastAsia="en-US"/>
        </w:rPr>
        <w:t xml:space="preserve"> In the 12 months to 31 December 2014 it contributed a total of $199</w:t>
      </w:r>
      <w:r w:rsidR="00F0352B">
        <w:rPr>
          <w:rFonts w:eastAsia="Calibri" w:cs="Arial"/>
          <w:color w:val="000000"/>
          <w:szCs w:val="22"/>
          <w:lang w:eastAsia="en-US"/>
        </w:rPr>
        <w:t>,234 ($150,200 in cash and $49,2</w:t>
      </w:r>
      <w:r w:rsidR="00433E68">
        <w:rPr>
          <w:rFonts w:eastAsia="Calibri" w:cs="Arial"/>
          <w:color w:val="000000"/>
          <w:szCs w:val="22"/>
          <w:lang w:eastAsia="en-US"/>
        </w:rPr>
        <w:t xml:space="preserve">34 in-kind) in community contributions. </w:t>
      </w:r>
      <w:r w:rsidR="00A200EE">
        <w:rPr>
          <w:rFonts w:eastAsia="Calibri" w:cs="Arial"/>
          <w:color w:val="000000"/>
          <w:szCs w:val="22"/>
          <w:lang w:eastAsia="en-US"/>
        </w:rPr>
        <w:t>It is projected this number would rise to $</w:t>
      </w:r>
      <w:r w:rsidR="00F0352B">
        <w:rPr>
          <w:rFonts w:eastAsia="Calibri" w:cs="Arial"/>
          <w:color w:val="000000"/>
          <w:szCs w:val="22"/>
          <w:lang w:eastAsia="en-US"/>
        </w:rPr>
        <w:t>368,280</w:t>
      </w:r>
      <w:r w:rsidR="00A200EE">
        <w:rPr>
          <w:rFonts w:eastAsia="Calibri" w:cs="Arial"/>
          <w:color w:val="000000"/>
          <w:szCs w:val="22"/>
          <w:lang w:eastAsia="en-US"/>
        </w:rPr>
        <w:t xml:space="preserve"> if an additional 20 gaming machines were </w:t>
      </w:r>
      <w:r w:rsidR="00DE5FA6">
        <w:rPr>
          <w:rFonts w:eastAsia="Calibri" w:cs="Arial"/>
          <w:color w:val="000000"/>
          <w:szCs w:val="22"/>
          <w:lang w:eastAsia="en-US"/>
        </w:rPr>
        <w:t>allocated</w:t>
      </w:r>
      <w:r w:rsidR="00F0352B">
        <w:rPr>
          <w:rFonts w:eastAsia="Calibri" w:cs="Arial"/>
          <w:color w:val="000000"/>
          <w:szCs w:val="22"/>
          <w:lang w:eastAsia="en-US"/>
        </w:rPr>
        <w:t xml:space="preserve"> in 2016</w:t>
      </w:r>
      <w:r w:rsidR="00DE5FA6">
        <w:rPr>
          <w:rFonts w:eastAsia="Calibri" w:cs="Arial"/>
          <w:color w:val="000000"/>
          <w:szCs w:val="22"/>
          <w:lang w:eastAsia="en-US"/>
        </w:rPr>
        <w:t xml:space="preserve">. </w:t>
      </w:r>
    </w:p>
    <w:p w:rsidR="001E1DD7" w:rsidRDefault="00182C5B" w:rsidP="001E1DD7">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1E1DD7">
        <w:rPr>
          <w:rFonts w:eastAsia="Calibri" w:cs="Arial"/>
          <w:color w:val="000000"/>
          <w:szCs w:val="22"/>
          <w:lang w:eastAsia="en-US"/>
        </w:rPr>
        <w:t xml:space="preserve">The CIA </w:t>
      </w:r>
      <w:r w:rsidR="00DE5FA6">
        <w:rPr>
          <w:rFonts w:eastAsia="Calibri" w:cs="Arial"/>
          <w:color w:val="000000"/>
          <w:szCs w:val="22"/>
          <w:lang w:eastAsia="en-US"/>
        </w:rPr>
        <w:t xml:space="preserve">states that tourists are an important part of the Tennant Creek economy and are an important part of the Club’s market. The number of visitor nights declined in 2014, however regional expenditure increased showing tourists are staying for a shorter period but spending more. </w:t>
      </w:r>
    </w:p>
    <w:p w:rsidR="001E1DD7" w:rsidRPr="00546257" w:rsidRDefault="00182C5B" w:rsidP="001D1071">
      <w:pPr>
        <w:pStyle w:val="Heading4"/>
        <w:rPr>
          <w:rFonts w:eastAsia="Calibri"/>
          <w:lang w:eastAsia="en-US"/>
        </w:rPr>
      </w:pPr>
      <w:proofErr w:type="gramStart"/>
      <w:r w:rsidRPr="00546257">
        <w:rPr>
          <w:rFonts w:eastAsia="Calibri"/>
          <w:lang w:eastAsia="en-US"/>
        </w:rPr>
        <w:t>Written submissions in response to the application.</w:t>
      </w:r>
      <w:proofErr w:type="gramEnd"/>
    </w:p>
    <w:p w:rsidR="001E1DD7" w:rsidRDefault="00182C5B" w:rsidP="001E1DD7">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1E1DD7">
        <w:rPr>
          <w:rFonts w:eastAsia="Calibri" w:cs="Arial"/>
          <w:color w:val="000000"/>
          <w:szCs w:val="22"/>
          <w:lang w:eastAsia="en-US"/>
        </w:rPr>
        <w:t xml:space="preserve">As required by section 41B of the Act, notification of the application was advertised in the </w:t>
      </w:r>
      <w:r w:rsidR="00DE5FA6">
        <w:rPr>
          <w:rFonts w:eastAsia="Calibri" w:cs="Arial"/>
          <w:color w:val="000000"/>
          <w:szCs w:val="22"/>
          <w:lang w:eastAsia="en-US"/>
        </w:rPr>
        <w:t>Tennant and District Times</w:t>
      </w:r>
      <w:r w:rsidRPr="001E1DD7">
        <w:rPr>
          <w:rFonts w:eastAsia="Calibri" w:cs="Arial"/>
          <w:color w:val="000000"/>
          <w:szCs w:val="22"/>
          <w:lang w:eastAsia="en-US"/>
        </w:rPr>
        <w:t xml:space="preserve"> on Friday 22 </w:t>
      </w:r>
      <w:r w:rsidR="00DE5FA6">
        <w:rPr>
          <w:rFonts w:eastAsia="Calibri" w:cs="Arial"/>
          <w:color w:val="000000"/>
          <w:szCs w:val="22"/>
          <w:lang w:eastAsia="en-US"/>
        </w:rPr>
        <w:t>January</w:t>
      </w:r>
      <w:r w:rsidRPr="001E1DD7">
        <w:rPr>
          <w:rFonts w:eastAsia="Calibri" w:cs="Arial"/>
          <w:color w:val="000000"/>
          <w:szCs w:val="22"/>
          <w:lang w:eastAsia="en-US"/>
        </w:rPr>
        <w:t xml:space="preserve"> 2016. Pursuant to the Act, a written submission may be made to the</w:t>
      </w:r>
      <w:r w:rsidR="001E1DD7">
        <w:rPr>
          <w:rFonts w:eastAsia="Calibri" w:cs="Arial"/>
          <w:color w:val="000000"/>
          <w:szCs w:val="22"/>
          <w:lang w:eastAsia="en-US"/>
        </w:rPr>
        <w:t xml:space="preserve"> </w:t>
      </w:r>
      <w:r w:rsidR="00362F63">
        <w:rPr>
          <w:rFonts w:eastAsia="Calibri" w:cs="Arial"/>
          <w:color w:val="000000"/>
          <w:szCs w:val="22"/>
          <w:lang w:eastAsia="en-US"/>
        </w:rPr>
        <w:t>Director-</w:t>
      </w:r>
      <w:r w:rsidRPr="001E1DD7">
        <w:rPr>
          <w:rFonts w:eastAsia="Calibri" w:cs="Arial"/>
          <w:color w:val="000000"/>
          <w:szCs w:val="22"/>
          <w:lang w:eastAsia="en-US"/>
        </w:rPr>
        <w:t>General within 30 days of the notification.</w:t>
      </w:r>
      <w:r w:rsidR="001E1DD7">
        <w:rPr>
          <w:rFonts w:eastAsia="Calibri" w:cs="Arial"/>
          <w:color w:val="000000"/>
          <w:szCs w:val="22"/>
          <w:lang w:eastAsia="en-US"/>
        </w:rPr>
        <w:t xml:space="preserve"> </w:t>
      </w:r>
      <w:r w:rsidRPr="001E1DD7">
        <w:rPr>
          <w:rFonts w:eastAsia="Calibri" w:cs="Arial"/>
          <w:color w:val="000000"/>
          <w:szCs w:val="22"/>
          <w:lang w:eastAsia="en-US"/>
        </w:rPr>
        <w:t>No submissions were received i</w:t>
      </w:r>
      <w:r w:rsidR="001E1DD7">
        <w:rPr>
          <w:rFonts w:eastAsia="Calibri" w:cs="Arial"/>
          <w:color w:val="000000"/>
          <w:szCs w:val="22"/>
          <w:lang w:eastAsia="en-US"/>
        </w:rPr>
        <w:t>n response to this application</w:t>
      </w:r>
      <w:r w:rsidR="00DE5FA6">
        <w:rPr>
          <w:rFonts w:eastAsia="Calibri" w:cs="Arial"/>
          <w:color w:val="000000"/>
          <w:szCs w:val="22"/>
          <w:lang w:eastAsia="en-US"/>
        </w:rPr>
        <w:t xml:space="preserve">. However, Amity had submitted a blanket response to the increase in gaming machines in the Northern Territory. The response is not an objection but a series of harm minimisation strategies for consideration by the Director-General should applications for additional machines be granted. </w:t>
      </w:r>
    </w:p>
    <w:p w:rsidR="00453F94" w:rsidRDefault="001E1DD7" w:rsidP="00453F94">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eastAsia="Calibri" w:cs="Arial"/>
          <w:color w:val="000000"/>
          <w:szCs w:val="22"/>
          <w:lang w:eastAsia="en-US"/>
        </w:rPr>
        <w:t>The authors of the CIA co</w:t>
      </w:r>
      <w:r w:rsidR="00182C5B" w:rsidRPr="001E1DD7">
        <w:rPr>
          <w:rFonts w:eastAsia="Calibri" w:cs="Arial"/>
          <w:color w:val="000000"/>
          <w:szCs w:val="22"/>
          <w:lang w:eastAsia="en-US"/>
        </w:rPr>
        <w:t>nducted</w:t>
      </w:r>
      <w:r>
        <w:rPr>
          <w:rFonts w:eastAsia="Calibri" w:cs="Arial"/>
          <w:color w:val="000000"/>
          <w:szCs w:val="22"/>
          <w:lang w:eastAsia="en-US"/>
        </w:rPr>
        <w:t xml:space="preserve"> </w:t>
      </w:r>
      <w:r w:rsidR="00182C5B" w:rsidRPr="001E1DD7">
        <w:rPr>
          <w:rFonts w:eastAsia="Calibri" w:cs="Arial"/>
          <w:color w:val="000000"/>
          <w:szCs w:val="22"/>
          <w:lang w:eastAsia="en-US"/>
        </w:rPr>
        <w:t xml:space="preserve">community consultation </w:t>
      </w:r>
      <w:r w:rsidR="00DE5FA6">
        <w:rPr>
          <w:rFonts w:eastAsia="Calibri" w:cs="Arial"/>
          <w:color w:val="000000"/>
          <w:szCs w:val="22"/>
          <w:lang w:eastAsia="en-US"/>
        </w:rPr>
        <w:t xml:space="preserve">to inform the CIA via a telephone survey targeting community organisations and their representatives. There were 29 community organisations contacted by telephone. Two were disconnected and 19 were unavailable for comment. Of the eight that completed the survey six were against the increase, one was neutral and one was supportive. The </w:t>
      </w:r>
      <w:r w:rsidR="00F0352B">
        <w:rPr>
          <w:rFonts w:eastAsia="Calibri" w:cs="Arial"/>
          <w:color w:val="000000"/>
          <w:szCs w:val="22"/>
          <w:lang w:eastAsia="en-US"/>
        </w:rPr>
        <w:t>authors</w:t>
      </w:r>
      <w:r w:rsidR="00DE5FA6">
        <w:rPr>
          <w:rFonts w:eastAsia="Calibri" w:cs="Arial"/>
          <w:color w:val="000000"/>
          <w:szCs w:val="22"/>
          <w:lang w:eastAsia="en-US"/>
        </w:rPr>
        <w:t xml:space="preserve"> also invited its members to comment on the application. The 23 people who chose to comment supported the application. </w:t>
      </w:r>
    </w:p>
    <w:p w:rsidR="00453F94" w:rsidRDefault="00DE5FA6" w:rsidP="00453F94">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eastAsia="Calibri" w:cs="Arial"/>
          <w:color w:val="000000"/>
          <w:szCs w:val="22"/>
          <w:lang w:eastAsia="en-US"/>
        </w:rPr>
        <w:t xml:space="preserve">On 25 January 2016 the </w:t>
      </w:r>
      <w:r w:rsidR="00F0352B">
        <w:rPr>
          <w:rFonts w:eastAsia="Calibri" w:cs="Arial"/>
          <w:color w:val="000000"/>
          <w:szCs w:val="22"/>
          <w:lang w:eastAsia="en-US"/>
        </w:rPr>
        <w:t>Licensee’s</w:t>
      </w:r>
      <w:r>
        <w:rPr>
          <w:rFonts w:eastAsia="Calibri" w:cs="Arial"/>
          <w:color w:val="000000"/>
          <w:szCs w:val="22"/>
          <w:lang w:eastAsia="en-US"/>
        </w:rPr>
        <w:t xml:space="preserve"> Public Officer emailed his immediate resignation from the position stating, “I am unable to countenance the Club applying to expand its gaming machine interests”. A new Public Officer has since been appointed.</w:t>
      </w:r>
    </w:p>
    <w:p w:rsidR="00E608AE" w:rsidRDefault="00E608AE" w:rsidP="00E608AE">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eastAsia="Calibri" w:cs="Arial"/>
          <w:color w:val="000000"/>
          <w:szCs w:val="22"/>
          <w:lang w:eastAsia="en-US"/>
        </w:rPr>
        <w:t xml:space="preserve">Whilst the concerns expressed by those organisations that did provide a negative response in the telephone survey together with the resignation of the public officer should be noted and taken into account, given their generalised nature they cannot be afforded much weight when it comes to making a determination on this matter. </w:t>
      </w:r>
    </w:p>
    <w:p w:rsidR="00E608AE" w:rsidRDefault="00E608AE" w:rsidP="00E608AE">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eastAsia="Calibri" w:cs="Arial"/>
          <w:color w:val="000000"/>
          <w:szCs w:val="22"/>
          <w:lang w:eastAsia="en-US"/>
        </w:rPr>
        <w:t>Further, as noted at point 23, the 2014 report ‘</w:t>
      </w:r>
      <w:r w:rsidRPr="00E608AE">
        <w:rPr>
          <w:rFonts w:eastAsia="Calibri" w:cs="Arial"/>
          <w:i/>
          <w:color w:val="000000"/>
          <w:szCs w:val="22"/>
          <w:lang w:eastAsia="en-US"/>
        </w:rPr>
        <w:t>Gambling Harm in the Northern Territory: An Atlas of Venue Catchments</w:t>
      </w:r>
      <w:r>
        <w:rPr>
          <w:rFonts w:eastAsia="Calibri" w:cs="Arial"/>
          <w:color w:val="000000"/>
          <w:szCs w:val="22"/>
          <w:lang w:eastAsia="en-US"/>
        </w:rPr>
        <w:t>’ contains no information on the level of problem gamblers in the LCA. As such no information or evidence can be cited to either support or counter the views of those respondents who opposed the application.</w:t>
      </w:r>
    </w:p>
    <w:p w:rsidR="00453F94" w:rsidRPr="00546257" w:rsidRDefault="00182C5B" w:rsidP="001D1071">
      <w:pPr>
        <w:pStyle w:val="Heading3"/>
      </w:pPr>
      <w:r w:rsidRPr="00546257">
        <w:t>Gross monthly profit of existing gaming machines operated on the premises</w:t>
      </w:r>
    </w:p>
    <w:p w:rsidR="00F33C2B" w:rsidRDefault="00182C5B" w:rsidP="00F33C2B">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453F94">
        <w:rPr>
          <w:rFonts w:eastAsia="Calibri" w:cs="Arial"/>
          <w:color w:val="000000"/>
          <w:szCs w:val="22"/>
          <w:lang w:eastAsia="en-US"/>
        </w:rPr>
        <w:t>Statistical information held by Licensing NT indicates that for the majority of venues with gaming</w:t>
      </w:r>
      <w:r w:rsidR="00453F94">
        <w:rPr>
          <w:rFonts w:eastAsia="Calibri" w:cs="Arial"/>
          <w:color w:val="000000"/>
          <w:szCs w:val="22"/>
          <w:lang w:eastAsia="en-US"/>
        </w:rPr>
        <w:t xml:space="preserve"> </w:t>
      </w:r>
      <w:r w:rsidRPr="00453F94">
        <w:rPr>
          <w:rFonts w:eastAsia="Calibri" w:cs="Arial"/>
          <w:color w:val="000000"/>
          <w:szCs w:val="22"/>
          <w:lang w:eastAsia="en-US"/>
        </w:rPr>
        <w:t>machines in the Northern Territory for the 2014/15 financial year, the</w:t>
      </w:r>
      <w:r w:rsidR="00453F94">
        <w:rPr>
          <w:rFonts w:eastAsia="Calibri" w:cs="Arial"/>
          <w:color w:val="000000"/>
          <w:szCs w:val="22"/>
          <w:lang w:eastAsia="en-US"/>
        </w:rPr>
        <w:t xml:space="preserve"> average gross monthly profit was </w:t>
      </w:r>
      <w:r w:rsidR="00CD77DE">
        <w:rPr>
          <w:rFonts w:eastAsia="Calibri" w:cs="Arial"/>
          <w:color w:val="000000"/>
          <w:szCs w:val="22"/>
          <w:lang w:eastAsia="en-US"/>
        </w:rPr>
        <w:t>$5,763</w:t>
      </w:r>
      <w:r w:rsidRPr="00453F94">
        <w:rPr>
          <w:rFonts w:eastAsia="Calibri" w:cs="Arial"/>
          <w:color w:val="000000"/>
          <w:szCs w:val="22"/>
          <w:lang w:eastAsia="en-US"/>
        </w:rPr>
        <w:t xml:space="preserve"> per machine. </w:t>
      </w:r>
      <w:r w:rsidR="00CB0625">
        <w:rPr>
          <w:rFonts w:eastAsia="Calibri" w:cs="Arial"/>
          <w:color w:val="000000"/>
          <w:szCs w:val="22"/>
          <w:lang w:eastAsia="en-US"/>
        </w:rPr>
        <w:t>In the 201</w:t>
      </w:r>
      <w:r w:rsidR="00044161">
        <w:rPr>
          <w:rFonts w:eastAsia="Calibri" w:cs="Arial"/>
          <w:color w:val="000000"/>
          <w:szCs w:val="22"/>
          <w:lang w:eastAsia="en-US"/>
        </w:rPr>
        <w:t>4</w:t>
      </w:r>
      <w:r w:rsidR="00CB0625">
        <w:rPr>
          <w:rFonts w:eastAsia="Calibri" w:cs="Arial"/>
          <w:color w:val="000000"/>
          <w:szCs w:val="22"/>
          <w:lang w:eastAsia="en-US"/>
        </w:rPr>
        <w:t xml:space="preserve"> calendar year the Club’s average</w:t>
      </w:r>
      <w:r w:rsidR="00CD77DE">
        <w:rPr>
          <w:rFonts w:eastAsia="Calibri" w:cs="Arial"/>
          <w:color w:val="000000"/>
          <w:szCs w:val="22"/>
          <w:lang w:eastAsia="en-US"/>
        </w:rPr>
        <w:t xml:space="preserve"> gross monthly profit was $4,706</w:t>
      </w:r>
      <w:r w:rsidR="00CB0625">
        <w:rPr>
          <w:rFonts w:eastAsia="Calibri" w:cs="Arial"/>
          <w:color w:val="000000"/>
          <w:szCs w:val="22"/>
          <w:lang w:eastAsia="en-US"/>
        </w:rPr>
        <w:t xml:space="preserve"> per machine</w:t>
      </w:r>
      <w:r w:rsidRPr="00F33C2B">
        <w:rPr>
          <w:rFonts w:eastAsia="Calibri" w:cs="Arial"/>
          <w:color w:val="000000"/>
          <w:szCs w:val="22"/>
          <w:lang w:eastAsia="en-US"/>
        </w:rPr>
        <w:t>.</w:t>
      </w:r>
    </w:p>
    <w:p w:rsidR="00F33C2B" w:rsidRDefault="00182C5B" w:rsidP="00F33C2B">
      <w:pPr>
        <w:pStyle w:val="ListParagraph"/>
        <w:numPr>
          <w:ilvl w:val="0"/>
          <w:numId w:val="34"/>
        </w:numPr>
        <w:autoSpaceDE w:val="0"/>
        <w:autoSpaceDN w:val="0"/>
        <w:adjustRightInd w:val="0"/>
        <w:spacing w:after="120"/>
        <w:ind w:left="426" w:hanging="426"/>
        <w:jc w:val="both"/>
        <w:rPr>
          <w:rFonts w:eastAsia="Calibri" w:cs="Arial"/>
          <w:szCs w:val="22"/>
          <w:lang w:eastAsia="en-US"/>
        </w:rPr>
      </w:pPr>
      <w:r w:rsidRPr="00C52396">
        <w:rPr>
          <w:rFonts w:eastAsia="Calibri" w:cs="Arial"/>
          <w:szCs w:val="22"/>
          <w:lang w:eastAsia="en-US"/>
        </w:rPr>
        <w:lastRenderedPageBreak/>
        <w:t xml:space="preserve">The CIA provides Profit and Loss figures for 2015 which show </w:t>
      </w:r>
      <w:r w:rsidR="00CB0625" w:rsidRPr="00C52396">
        <w:rPr>
          <w:rFonts w:eastAsia="Calibri" w:cs="Arial"/>
          <w:szCs w:val="22"/>
          <w:lang w:eastAsia="en-US"/>
        </w:rPr>
        <w:t>33</w:t>
      </w:r>
      <w:r w:rsidRPr="00C52396">
        <w:rPr>
          <w:rFonts w:eastAsia="Calibri" w:cs="Arial"/>
          <w:szCs w:val="22"/>
          <w:lang w:eastAsia="en-US"/>
        </w:rPr>
        <w:t xml:space="preserve">% of the </w:t>
      </w:r>
      <w:r w:rsidR="002D5991" w:rsidRPr="00C52396">
        <w:rPr>
          <w:rFonts w:eastAsia="Calibri" w:cs="Arial"/>
          <w:szCs w:val="22"/>
          <w:lang w:eastAsia="en-US"/>
        </w:rPr>
        <w:t xml:space="preserve">Club’s </w:t>
      </w:r>
      <w:r w:rsidRPr="00C52396">
        <w:rPr>
          <w:rFonts w:eastAsia="Calibri" w:cs="Arial"/>
          <w:szCs w:val="22"/>
          <w:lang w:eastAsia="en-US"/>
        </w:rPr>
        <w:t>revenue came</w:t>
      </w:r>
      <w:r w:rsidR="00F33C2B" w:rsidRPr="00C52396">
        <w:rPr>
          <w:rFonts w:eastAsia="Calibri" w:cs="Arial"/>
          <w:szCs w:val="22"/>
          <w:lang w:eastAsia="en-US"/>
        </w:rPr>
        <w:t xml:space="preserve"> </w:t>
      </w:r>
      <w:r w:rsidRPr="00C52396">
        <w:rPr>
          <w:rFonts w:eastAsia="Calibri" w:cs="Arial"/>
          <w:szCs w:val="22"/>
          <w:lang w:eastAsia="en-US"/>
        </w:rPr>
        <w:t>from gaming</w:t>
      </w:r>
      <w:r w:rsidR="002D5991" w:rsidRPr="00C52396">
        <w:rPr>
          <w:rFonts w:eastAsia="Calibri" w:cs="Arial"/>
          <w:szCs w:val="22"/>
          <w:lang w:eastAsia="en-US"/>
        </w:rPr>
        <w:t xml:space="preserve"> machine usage</w:t>
      </w:r>
      <w:r w:rsidRPr="00C52396">
        <w:rPr>
          <w:rFonts w:eastAsia="Calibri" w:cs="Arial"/>
          <w:szCs w:val="22"/>
          <w:lang w:eastAsia="en-US"/>
        </w:rPr>
        <w:t xml:space="preserve">. The </w:t>
      </w:r>
      <w:r w:rsidR="00F33C2B" w:rsidRPr="00C52396">
        <w:rPr>
          <w:rFonts w:eastAsia="Calibri" w:cs="Arial"/>
          <w:szCs w:val="22"/>
          <w:lang w:eastAsia="en-US"/>
        </w:rPr>
        <w:t xml:space="preserve">CIA also indicates that the </w:t>
      </w:r>
      <w:r w:rsidRPr="00C52396">
        <w:rPr>
          <w:rFonts w:eastAsia="Calibri" w:cs="Arial"/>
          <w:szCs w:val="22"/>
          <w:lang w:eastAsia="en-US"/>
        </w:rPr>
        <w:t xml:space="preserve">Club is in a strong financial position and is not </w:t>
      </w:r>
      <w:r w:rsidR="002D5991" w:rsidRPr="00C52396">
        <w:rPr>
          <w:rFonts w:eastAsia="Calibri" w:cs="Arial"/>
          <w:szCs w:val="22"/>
          <w:lang w:eastAsia="en-US"/>
        </w:rPr>
        <w:t xml:space="preserve">overly </w:t>
      </w:r>
      <w:r w:rsidRPr="00C52396">
        <w:rPr>
          <w:rFonts w:eastAsia="Calibri" w:cs="Arial"/>
          <w:szCs w:val="22"/>
          <w:lang w:eastAsia="en-US"/>
        </w:rPr>
        <w:t>reliant on gaming machine revenue</w:t>
      </w:r>
      <w:r w:rsidR="002D5991" w:rsidRPr="00C52396">
        <w:rPr>
          <w:rFonts w:eastAsia="Calibri" w:cs="Arial"/>
          <w:szCs w:val="22"/>
          <w:lang w:eastAsia="en-US"/>
        </w:rPr>
        <w:t xml:space="preserve">.  </w:t>
      </w:r>
      <w:r w:rsidRPr="00C52396">
        <w:rPr>
          <w:rFonts w:eastAsia="Calibri" w:cs="Arial"/>
          <w:szCs w:val="22"/>
          <w:lang w:eastAsia="en-US"/>
        </w:rPr>
        <w:t>Should</w:t>
      </w:r>
      <w:r w:rsidR="00F33C2B" w:rsidRPr="00C52396">
        <w:rPr>
          <w:rFonts w:eastAsia="Calibri" w:cs="Arial"/>
          <w:szCs w:val="22"/>
          <w:lang w:eastAsia="en-US"/>
        </w:rPr>
        <w:t xml:space="preserve"> </w:t>
      </w:r>
      <w:r w:rsidRPr="00C52396">
        <w:rPr>
          <w:rFonts w:eastAsia="Calibri" w:cs="Arial"/>
          <w:szCs w:val="22"/>
          <w:lang w:eastAsia="en-US"/>
        </w:rPr>
        <w:t xml:space="preserve">the application be approved, the cost to the </w:t>
      </w:r>
      <w:r w:rsidR="00F33C2B" w:rsidRPr="00C52396">
        <w:rPr>
          <w:rFonts w:eastAsia="Calibri" w:cs="Arial"/>
          <w:szCs w:val="22"/>
          <w:lang w:eastAsia="en-US"/>
        </w:rPr>
        <w:t>Club</w:t>
      </w:r>
      <w:r w:rsidR="007A4444" w:rsidRPr="00C52396">
        <w:rPr>
          <w:rFonts w:eastAsia="Calibri" w:cs="Arial"/>
          <w:szCs w:val="22"/>
          <w:lang w:eastAsia="en-US"/>
        </w:rPr>
        <w:t xml:space="preserve"> to install an additional 20</w:t>
      </w:r>
      <w:r w:rsidRPr="00C52396">
        <w:rPr>
          <w:rFonts w:eastAsia="Calibri" w:cs="Arial"/>
          <w:szCs w:val="22"/>
          <w:lang w:eastAsia="en-US"/>
        </w:rPr>
        <w:t xml:space="preserve"> gaming machines </w:t>
      </w:r>
      <w:r w:rsidR="00F33C2B" w:rsidRPr="00C52396">
        <w:rPr>
          <w:rFonts w:eastAsia="Calibri" w:cs="Arial"/>
          <w:szCs w:val="22"/>
          <w:lang w:eastAsia="en-US"/>
        </w:rPr>
        <w:t xml:space="preserve">is estimated at </w:t>
      </w:r>
      <w:r w:rsidR="00396411" w:rsidRPr="00C52396">
        <w:rPr>
          <w:rFonts w:eastAsia="Calibri" w:cs="Arial"/>
          <w:szCs w:val="22"/>
          <w:lang w:eastAsia="en-US"/>
        </w:rPr>
        <w:t>approximately $</w:t>
      </w:r>
      <w:r w:rsidR="007A4444" w:rsidRPr="00C52396">
        <w:rPr>
          <w:rFonts w:eastAsia="Calibri" w:cs="Arial"/>
          <w:szCs w:val="22"/>
          <w:lang w:eastAsia="en-US"/>
        </w:rPr>
        <w:t>500,000</w:t>
      </w:r>
      <w:r w:rsidRPr="00C52396">
        <w:rPr>
          <w:rFonts w:eastAsia="Calibri" w:cs="Arial"/>
          <w:szCs w:val="22"/>
          <w:lang w:eastAsia="en-US"/>
        </w:rPr>
        <w:t xml:space="preserve"> which comprises of the application fee and </w:t>
      </w:r>
      <w:r w:rsidR="002D5991" w:rsidRPr="00C52396">
        <w:rPr>
          <w:rFonts w:eastAsia="Calibri" w:cs="Arial"/>
          <w:szCs w:val="22"/>
          <w:lang w:eastAsia="en-US"/>
        </w:rPr>
        <w:t xml:space="preserve">the </w:t>
      </w:r>
      <w:r w:rsidRPr="00C52396">
        <w:rPr>
          <w:rFonts w:eastAsia="Calibri" w:cs="Arial"/>
          <w:szCs w:val="22"/>
          <w:lang w:eastAsia="en-US"/>
        </w:rPr>
        <w:t>costs</w:t>
      </w:r>
      <w:r w:rsidR="00F33C2B" w:rsidRPr="00C52396">
        <w:rPr>
          <w:rFonts w:eastAsia="Calibri" w:cs="Arial"/>
          <w:szCs w:val="22"/>
          <w:lang w:eastAsia="en-US"/>
        </w:rPr>
        <w:t xml:space="preserve"> of purchasing the new gaming machines</w:t>
      </w:r>
      <w:r w:rsidRPr="00C52396">
        <w:rPr>
          <w:rFonts w:eastAsia="Calibri" w:cs="Arial"/>
          <w:szCs w:val="22"/>
          <w:lang w:eastAsia="en-US"/>
        </w:rPr>
        <w:t>.</w:t>
      </w:r>
    </w:p>
    <w:p w:rsidR="00F33C2B" w:rsidRPr="00546257" w:rsidRDefault="00182C5B" w:rsidP="001D1071">
      <w:pPr>
        <w:pStyle w:val="Heading3"/>
      </w:pPr>
      <w:r w:rsidRPr="00546257">
        <w:t>Hours and days when the premises are open for the sale of liquor</w:t>
      </w:r>
    </w:p>
    <w:p w:rsidR="00F33C2B" w:rsidRDefault="002D5991" w:rsidP="00F33C2B">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eastAsia="Calibri" w:cs="Arial"/>
          <w:color w:val="000000"/>
          <w:szCs w:val="22"/>
          <w:lang w:eastAsia="en-US"/>
        </w:rPr>
        <w:t xml:space="preserve">The trading hours for the </w:t>
      </w:r>
      <w:r w:rsidR="00F0352B">
        <w:rPr>
          <w:rFonts w:eastAsia="Calibri" w:cs="Arial"/>
          <w:color w:val="000000"/>
          <w:szCs w:val="22"/>
          <w:lang w:eastAsia="en-US"/>
        </w:rPr>
        <w:t>Premises</w:t>
      </w:r>
      <w:r w:rsidR="00182C5B" w:rsidRPr="00F33C2B">
        <w:rPr>
          <w:rFonts w:eastAsia="Calibri" w:cs="Arial"/>
          <w:color w:val="000000"/>
          <w:szCs w:val="22"/>
          <w:lang w:eastAsia="en-US"/>
        </w:rPr>
        <w:t xml:space="preserve"> ar</w:t>
      </w:r>
      <w:r w:rsidR="00DB0CBB">
        <w:rPr>
          <w:rFonts w:eastAsia="Calibri" w:cs="Arial"/>
          <w:color w:val="000000"/>
          <w:szCs w:val="22"/>
          <w:lang w:eastAsia="en-US"/>
        </w:rPr>
        <w:t xml:space="preserve">e Monday </w:t>
      </w:r>
      <w:r w:rsidR="00D65B1E">
        <w:rPr>
          <w:rFonts w:eastAsia="Calibri" w:cs="Arial"/>
          <w:color w:val="000000"/>
          <w:szCs w:val="22"/>
          <w:lang w:eastAsia="en-US"/>
        </w:rPr>
        <w:t>and Tuesday</w:t>
      </w:r>
      <w:r w:rsidR="00DB0CBB">
        <w:rPr>
          <w:rFonts w:eastAsia="Calibri" w:cs="Arial"/>
          <w:color w:val="000000"/>
          <w:szCs w:val="22"/>
          <w:lang w:eastAsia="en-US"/>
        </w:rPr>
        <w:t xml:space="preserve"> 1</w:t>
      </w:r>
      <w:r w:rsidR="00D65B1E">
        <w:rPr>
          <w:rFonts w:eastAsia="Calibri" w:cs="Arial"/>
          <w:color w:val="000000"/>
          <w:szCs w:val="22"/>
          <w:lang w:eastAsia="en-US"/>
        </w:rPr>
        <w:t>2:00</w:t>
      </w:r>
      <w:r w:rsidR="00182C5B" w:rsidRPr="00F33C2B">
        <w:rPr>
          <w:rFonts w:eastAsia="Calibri" w:cs="Arial"/>
          <w:color w:val="000000"/>
          <w:szCs w:val="22"/>
          <w:lang w:eastAsia="en-US"/>
        </w:rPr>
        <w:t xml:space="preserve"> </w:t>
      </w:r>
      <w:r w:rsidR="00D65B1E">
        <w:rPr>
          <w:rFonts w:eastAsia="Calibri" w:cs="Arial"/>
          <w:color w:val="000000"/>
          <w:szCs w:val="22"/>
          <w:lang w:eastAsia="en-US"/>
        </w:rPr>
        <w:t>to 23</w:t>
      </w:r>
      <w:r w:rsidR="00182C5B" w:rsidRPr="00F33C2B">
        <w:rPr>
          <w:rFonts w:eastAsia="Calibri" w:cs="Arial"/>
          <w:color w:val="000000"/>
          <w:szCs w:val="22"/>
          <w:lang w:eastAsia="en-US"/>
        </w:rPr>
        <w:t>:</w:t>
      </w:r>
      <w:r w:rsidR="00D65B1E">
        <w:rPr>
          <w:rFonts w:eastAsia="Calibri" w:cs="Arial"/>
          <w:color w:val="000000"/>
          <w:szCs w:val="22"/>
          <w:lang w:eastAsia="en-US"/>
        </w:rPr>
        <w:t xml:space="preserve">59 </w:t>
      </w:r>
      <w:r w:rsidR="00DB0CBB">
        <w:rPr>
          <w:rFonts w:eastAsia="Calibri" w:cs="Arial"/>
          <w:color w:val="000000"/>
          <w:szCs w:val="22"/>
          <w:lang w:eastAsia="en-US"/>
        </w:rPr>
        <w:t>pm</w:t>
      </w:r>
      <w:r w:rsidR="00D65B1E">
        <w:rPr>
          <w:rFonts w:eastAsia="Calibri" w:cs="Arial"/>
          <w:color w:val="000000"/>
          <w:szCs w:val="22"/>
          <w:lang w:eastAsia="en-US"/>
        </w:rPr>
        <w:t>, Wednesday 12:00 to 01:00 the following day, Thursday 12:00 pm to 23:59,</w:t>
      </w:r>
      <w:r w:rsidR="00182C5B" w:rsidRPr="00F33C2B">
        <w:rPr>
          <w:rFonts w:eastAsia="Calibri" w:cs="Arial"/>
          <w:color w:val="000000"/>
          <w:szCs w:val="22"/>
          <w:lang w:eastAsia="en-US"/>
        </w:rPr>
        <w:t xml:space="preserve"> Friday</w:t>
      </w:r>
      <w:r w:rsidR="00D65B1E">
        <w:rPr>
          <w:rFonts w:eastAsia="Calibri" w:cs="Arial"/>
          <w:color w:val="000000"/>
          <w:szCs w:val="22"/>
          <w:lang w:eastAsia="en-US"/>
        </w:rPr>
        <w:t xml:space="preserve"> 12:00 to 02:00 the following day</w:t>
      </w:r>
      <w:r w:rsidR="00DB0CBB">
        <w:rPr>
          <w:rFonts w:eastAsia="Calibri" w:cs="Arial"/>
          <w:color w:val="000000"/>
          <w:szCs w:val="22"/>
          <w:lang w:eastAsia="en-US"/>
        </w:rPr>
        <w:t>,</w:t>
      </w:r>
      <w:r w:rsidR="00F33C2B">
        <w:rPr>
          <w:rFonts w:eastAsia="Calibri" w:cs="Arial"/>
          <w:color w:val="000000"/>
          <w:szCs w:val="22"/>
          <w:lang w:eastAsia="en-US"/>
        </w:rPr>
        <w:t xml:space="preserve"> </w:t>
      </w:r>
      <w:r w:rsidR="00182C5B" w:rsidRPr="00F33C2B">
        <w:rPr>
          <w:rFonts w:eastAsia="Calibri" w:cs="Arial"/>
          <w:color w:val="000000"/>
          <w:szCs w:val="22"/>
          <w:lang w:eastAsia="en-US"/>
        </w:rPr>
        <w:t>Saturday</w:t>
      </w:r>
      <w:r w:rsidR="00D65B1E">
        <w:rPr>
          <w:rFonts w:eastAsia="Calibri" w:cs="Arial"/>
          <w:color w:val="000000"/>
          <w:szCs w:val="22"/>
          <w:lang w:eastAsia="en-US"/>
        </w:rPr>
        <w:t xml:space="preserve"> 10:00 to 02:00 the following day and</w:t>
      </w:r>
      <w:r w:rsidR="00182C5B" w:rsidRPr="00F33C2B">
        <w:rPr>
          <w:rFonts w:eastAsia="Calibri" w:cs="Arial"/>
          <w:color w:val="000000"/>
          <w:szCs w:val="22"/>
          <w:lang w:eastAsia="en-US"/>
        </w:rPr>
        <w:t xml:space="preserve"> </w:t>
      </w:r>
      <w:r w:rsidR="00D65B1E">
        <w:rPr>
          <w:rFonts w:eastAsia="Calibri" w:cs="Arial"/>
          <w:color w:val="000000"/>
          <w:szCs w:val="22"/>
          <w:lang w:eastAsia="en-US"/>
        </w:rPr>
        <w:t>Sunday 10:00</w:t>
      </w:r>
      <w:r w:rsidR="00DB0CBB">
        <w:rPr>
          <w:rFonts w:eastAsia="Calibri" w:cs="Arial"/>
          <w:color w:val="000000"/>
          <w:szCs w:val="22"/>
          <w:lang w:eastAsia="en-US"/>
        </w:rPr>
        <w:t xml:space="preserve"> to </w:t>
      </w:r>
      <w:r w:rsidR="00182C5B" w:rsidRPr="00F33C2B">
        <w:rPr>
          <w:rFonts w:eastAsia="Calibri" w:cs="Arial"/>
          <w:color w:val="000000"/>
          <w:szCs w:val="22"/>
          <w:lang w:eastAsia="en-US"/>
        </w:rPr>
        <w:t>2</w:t>
      </w:r>
      <w:r w:rsidR="00D65B1E">
        <w:rPr>
          <w:rFonts w:eastAsia="Calibri" w:cs="Arial"/>
          <w:color w:val="000000"/>
          <w:szCs w:val="22"/>
          <w:lang w:eastAsia="en-US"/>
        </w:rPr>
        <w:t>2:00</w:t>
      </w:r>
      <w:proofErr w:type="gramStart"/>
      <w:r w:rsidR="00F33C2B">
        <w:rPr>
          <w:rFonts w:eastAsia="Calibri" w:cs="Arial"/>
          <w:color w:val="000000"/>
          <w:szCs w:val="22"/>
          <w:lang w:eastAsia="en-US"/>
        </w:rPr>
        <w:t xml:space="preserve">.  </w:t>
      </w:r>
      <w:proofErr w:type="gramEnd"/>
      <w:r w:rsidR="00182C5B" w:rsidRPr="00F33C2B">
        <w:rPr>
          <w:rFonts w:eastAsia="Calibri" w:cs="Arial"/>
          <w:color w:val="000000"/>
          <w:szCs w:val="22"/>
          <w:lang w:eastAsia="en-US"/>
        </w:rPr>
        <w:t xml:space="preserve">The </w:t>
      </w:r>
      <w:r w:rsidR="00F33C2B">
        <w:rPr>
          <w:rFonts w:eastAsia="Calibri" w:cs="Arial"/>
          <w:color w:val="000000"/>
          <w:szCs w:val="22"/>
          <w:lang w:eastAsia="en-US"/>
        </w:rPr>
        <w:t>Club</w:t>
      </w:r>
      <w:r w:rsidR="00182C5B" w:rsidRPr="00F33C2B">
        <w:rPr>
          <w:rFonts w:eastAsia="Calibri" w:cs="Arial"/>
          <w:color w:val="000000"/>
          <w:szCs w:val="22"/>
          <w:lang w:eastAsia="en-US"/>
        </w:rPr>
        <w:t xml:space="preserve"> does not trade on Good Friday or Christmas Day.</w:t>
      </w:r>
    </w:p>
    <w:p w:rsidR="00F33C2B" w:rsidRDefault="00182C5B" w:rsidP="00F33C2B">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F33C2B">
        <w:rPr>
          <w:rFonts w:eastAsia="Calibri" w:cs="Arial"/>
          <w:color w:val="000000"/>
          <w:szCs w:val="22"/>
          <w:lang w:eastAsia="en-US"/>
        </w:rPr>
        <w:t xml:space="preserve">The trading hours </w:t>
      </w:r>
      <w:r w:rsidR="00F33C2B">
        <w:rPr>
          <w:rFonts w:eastAsia="Calibri" w:cs="Arial"/>
          <w:color w:val="000000"/>
          <w:szCs w:val="22"/>
          <w:lang w:eastAsia="en-US"/>
        </w:rPr>
        <w:t xml:space="preserve">for the </w:t>
      </w:r>
      <w:r w:rsidR="00F0352B">
        <w:rPr>
          <w:rFonts w:eastAsia="Calibri" w:cs="Arial"/>
          <w:color w:val="000000"/>
          <w:szCs w:val="22"/>
          <w:lang w:eastAsia="en-US"/>
        </w:rPr>
        <w:t>Premises</w:t>
      </w:r>
      <w:r w:rsidR="00F33C2B">
        <w:rPr>
          <w:rFonts w:eastAsia="Calibri" w:cs="Arial"/>
          <w:color w:val="000000"/>
          <w:szCs w:val="22"/>
          <w:lang w:eastAsia="en-US"/>
        </w:rPr>
        <w:t xml:space="preserve"> </w:t>
      </w:r>
      <w:r w:rsidRPr="00F33C2B">
        <w:rPr>
          <w:rFonts w:eastAsia="Calibri" w:cs="Arial"/>
          <w:color w:val="000000"/>
          <w:szCs w:val="22"/>
          <w:lang w:eastAsia="en-US"/>
        </w:rPr>
        <w:t xml:space="preserve">are consistent with the authorised trading hours for </w:t>
      </w:r>
      <w:r w:rsidR="00DB0CBB">
        <w:rPr>
          <w:rFonts w:eastAsia="Calibri" w:cs="Arial"/>
          <w:color w:val="000000"/>
          <w:szCs w:val="22"/>
          <w:lang w:eastAsia="en-US"/>
        </w:rPr>
        <w:t xml:space="preserve">similar </w:t>
      </w:r>
      <w:r w:rsidRPr="00F33C2B">
        <w:rPr>
          <w:rFonts w:eastAsia="Calibri" w:cs="Arial"/>
          <w:color w:val="000000"/>
          <w:szCs w:val="22"/>
          <w:lang w:eastAsia="en-US"/>
        </w:rPr>
        <w:t>sporting based community clubs</w:t>
      </w:r>
      <w:r w:rsidR="00F33C2B">
        <w:rPr>
          <w:rFonts w:eastAsia="Calibri" w:cs="Arial"/>
          <w:color w:val="000000"/>
          <w:szCs w:val="22"/>
          <w:lang w:eastAsia="en-US"/>
        </w:rPr>
        <w:t xml:space="preserve"> </w:t>
      </w:r>
      <w:r w:rsidRPr="00F33C2B">
        <w:rPr>
          <w:rFonts w:eastAsia="Calibri" w:cs="Arial"/>
          <w:color w:val="000000"/>
          <w:szCs w:val="22"/>
          <w:lang w:eastAsia="en-US"/>
        </w:rPr>
        <w:t>holding a club liquor licence.</w:t>
      </w:r>
    </w:p>
    <w:p w:rsidR="00DF6435" w:rsidRPr="00546257" w:rsidRDefault="00E217A2" w:rsidP="001D1071">
      <w:pPr>
        <w:pStyle w:val="Heading3"/>
      </w:pPr>
      <w:r>
        <w:t>Such o</w:t>
      </w:r>
      <w:r w:rsidR="00182C5B" w:rsidRPr="00546257">
        <w:t>ther matters the Director-General considers relevant</w:t>
      </w:r>
    </w:p>
    <w:p w:rsidR="003210C2" w:rsidRPr="00E217A2" w:rsidRDefault="00F95C34" w:rsidP="00DF6435">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DF6435">
        <w:rPr>
          <w:rFonts w:cs="Arial"/>
          <w:bCs/>
        </w:rPr>
        <w:t xml:space="preserve">The Gaming and Liquor Amendment Bill of 2015 amended the Act to </w:t>
      </w:r>
      <w:r w:rsidR="00EE2950">
        <w:rPr>
          <w:rFonts w:cs="Arial"/>
          <w:bCs/>
        </w:rPr>
        <w:t>remove</w:t>
      </w:r>
      <w:r w:rsidRPr="00DF6435">
        <w:rPr>
          <w:rFonts w:cs="Arial"/>
          <w:bCs/>
        </w:rPr>
        <w:t xml:space="preserve"> the previously imposed cap on authorisations of gaming machines in licensed hotels, taverns and clubs in the Northern Territory</w:t>
      </w:r>
      <w:proofErr w:type="gramStart"/>
      <w:r w:rsidRPr="00DF6435">
        <w:rPr>
          <w:rFonts w:cs="Arial"/>
          <w:bCs/>
        </w:rPr>
        <w:t xml:space="preserve">.  </w:t>
      </w:r>
      <w:proofErr w:type="gramEnd"/>
      <w:r w:rsidRPr="00DF6435">
        <w:rPr>
          <w:rFonts w:cs="Arial"/>
          <w:bCs/>
        </w:rPr>
        <w:t xml:space="preserve">As well as </w:t>
      </w:r>
      <w:r w:rsidR="00E217A2">
        <w:rPr>
          <w:rFonts w:cs="Arial"/>
          <w:bCs/>
        </w:rPr>
        <w:t>removing</w:t>
      </w:r>
      <w:r w:rsidRPr="00DF6435">
        <w:rPr>
          <w:rFonts w:cs="Arial"/>
          <w:bCs/>
        </w:rPr>
        <w:t xml:space="preserve"> the overall cap, the amendments </w:t>
      </w:r>
      <w:r w:rsidR="00910228" w:rsidRPr="00DF6435">
        <w:rPr>
          <w:rFonts w:cs="Arial"/>
          <w:bCs/>
        </w:rPr>
        <w:t>also provided for an increase in</w:t>
      </w:r>
      <w:r w:rsidRPr="00DF6435">
        <w:rPr>
          <w:rFonts w:cs="Arial"/>
          <w:bCs/>
        </w:rPr>
        <w:t xml:space="preserve"> the number of gaming machines in clubs, </w:t>
      </w:r>
      <w:r w:rsidR="003210C2" w:rsidRPr="00DF6435">
        <w:rPr>
          <w:rFonts w:cs="Arial"/>
          <w:bCs/>
        </w:rPr>
        <w:t>lifting the</w:t>
      </w:r>
      <w:r w:rsidRPr="00DF6435">
        <w:rPr>
          <w:rFonts w:cs="Arial"/>
          <w:bCs/>
        </w:rPr>
        <w:t xml:space="preserve"> maximum</w:t>
      </w:r>
      <w:r w:rsidR="003210C2" w:rsidRPr="00DF6435">
        <w:rPr>
          <w:rFonts w:cs="Arial"/>
          <w:bCs/>
        </w:rPr>
        <w:t xml:space="preserve"> number to</w:t>
      </w:r>
      <w:r w:rsidRPr="00DF6435">
        <w:rPr>
          <w:rFonts w:cs="Arial"/>
          <w:bCs/>
        </w:rPr>
        <w:t xml:space="preserve"> 55 </w:t>
      </w:r>
      <w:r w:rsidR="003210C2" w:rsidRPr="00DF6435">
        <w:rPr>
          <w:rFonts w:cs="Arial"/>
          <w:bCs/>
        </w:rPr>
        <w:t xml:space="preserve">gaming </w:t>
      </w:r>
      <w:r w:rsidRPr="00DF6435">
        <w:rPr>
          <w:rFonts w:cs="Arial"/>
          <w:bCs/>
        </w:rPr>
        <w:t xml:space="preserve">machines, up from </w:t>
      </w:r>
      <w:r w:rsidR="003210C2" w:rsidRPr="00DF6435">
        <w:rPr>
          <w:rFonts w:cs="Arial"/>
          <w:bCs/>
        </w:rPr>
        <w:t xml:space="preserve">the previous limit of </w:t>
      </w:r>
      <w:r w:rsidRPr="00DF6435">
        <w:rPr>
          <w:rFonts w:cs="Arial"/>
          <w:bCs/>
        </w:rPr>
        <w:t xml:space="preserve">45 </w:t>
      </w:r>
      <w:r w:rsidR="003210C2" w:rsidRPr="00DF6435">
        <w:rPr>
          <w:rFonts w:cs="Arial"/>
          <w:bCs/>
        </w:rPr>
        <w:t xml:space="preserve">gaming </w:t>
      </w:r>
      <w:r w:rsidRPr="00DF6435">
        <w:rPr>
          <w:rFonts w:cs="Arial"/>
          <w:bCs/>
        </w:rPr>
        <w:t xml:space="preserve">machines.  </w:t>
      </w:r>
      <w:r w:rsidR="00D65B1E">
        <w:rPr>
          <w:rFonts w:cs="Arial"/>
          <w:bCs/>
        </w:rPr>
        <w:t xml:space="preserve">This has not had an effect on this application as the additional machines requested would take the Club’s total to 45 gaming machines. </w:t>
      </w:r>
      <w:r w:rsidRPr="00DF6435">
        <w:rPr>
          <w:rFonts w:cs="Arial"/>
          <w:bCs/>
        </w:rPr>
        <w:t>At the time of introducing the amendments, the Minister for Racing, Gaming and Licensing noted that the arbitrary Territory-wide cap was abolished in favour of a rigorous community impact assessment process for new applications and for applications seeki</w:t>
      </w:r>
      <w:r w:rsidR="00DF6435">
        <w:rPr>
          <w:rFonts w:cs="Arial"/>
          <w:bCs/>
        </w:rPr>
        <w:t xml:space="preserve">ng additional gaming machines. </w:t>
      </w:r>
    </w:p>
    <w:p w:rsidR="00E217A2" w:rsidRPr="00DF6435" w:rsidRDefault="00E217A2" w:rsidP="00DF6435">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eastAsia="Calibri" w:cs="Arial"/>
          <w:color w:val="000000"/>
          <w:szCs w:val="22"/>
          <w:lang w:eastAsia="en-US"/>
        </w:rPr>
        <w:t>Information provided in the CIA shows that the Australian Bureau of Statistics rates the LCA the Club is located in as being ‘severely disadvantaged socio-economically. This is due in part to unemployment being 1.2% higher than the Northern Terr</w:t>
      </w:r>
      <w:r w:rsidR="0047297B">
        <w:rPr>
          <w:rFonts w:eastAsia="Calibri" w:cs="Arial"/>
          <w:color w:val="000000"/>
          <w:szCs w:val="22"/>
          <w:lang w:eastAsia="en-US"/>
        </w:rPr>
        <w:t>itory average of 5.4%. The Productivity Commission’s Inquiry Report (2010) states that almost 8% of the Indigenous population in the Northern Territory are pathological gamblers compared to 2% of the non-Indigenous population. The Indigenous population in the LCA is 51.1%, almost double the Northern Territory average.</w:t>
      </w:r>
    </w:p>
    <w:p w:rsidR="00DF6435" w:rsidRDefault="00DF6435" w:rsidP="00DF6435">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eastAsia="Calibri" w:cs="Arial"/>
          <w:bCs/>
          <w:iCs/>
          <w:color w:val="000000"/>
          <w:szCs w:val="22"/>
          <w:lang w:eastAsia="en-US"/>
        </w:rPr>
        <w:t>In this instance t</w:t>
      </w:r>
      <w:r w:rsidRPr="00F33C2B">
        <w:rPr>
          <w:rFonts w:eastAsia="Calibri" w:cs="Arial"/>
          <w:color w:val="000000"/>
          <w:szCs w:val="22"/>
          <w:lang w:eastAsia="en-US"/>
        </w:rPr>
        <w:t>he Applicant has presented a detailed CIA with supporting evidence indicating that this application meets the requirements of the Act in relation to an increase in the authorised number of gaming machines situated at the Club. The fact that no written submissions were received in response to the advertisement and the lack of response by releva</w:t>
      </w:r>
      <w:r w:rsidR="001C0F53">
        <w:rPr>
          <w:rFonts w:eastAsia="Calibri" w:cs="Arial"/>
          <w:color w:val="000000"/>
          <w:szCs w:val="22"/>
          <w:lang w:eastAsia="en-US"/>
        </w:rPr>
        <w:t xml:space="preserve">nt organisations to the </w:t>
      </w:r>
      <w:r w:rsidRPr="00F33C2B">
        <w:rPr>
          <w:rFonts w:eastAsia="Calibri" w:cs="Arial"/>
          <w:color w:val="000000"/>
          <w:szCs w:val="22"/>
          <w:lang w:eastAsia="en-US"/>
        </w:rPr>
        <w:t xml:space="preserve">survey </w:t>
      </w:r>
      <w:r w:rsidR="001C0F53">
        <w:rPr>
          <w:rFonts w:eastAsia="Calibri" w:cs="Arial"/>
          <w:color w:val="000000"/>
          <w:szCs w:val="22"/>
          <w:lang w:eastAsia="en-US"/>
        </w:rPr>
        <w:t>conducted by the authors of the CIA tends</w:t>
      </w:r>
      <w:r w:rsidRPr="00F33C2B">
        <w:rPr>
          <w:rFonts w:eastAsia="Calibri" w:cs="Arial"/>
          <w:color w:val="000000"/>
          <w:szCs w:val="22"/>
          <w:lang w:eastAsia="en-US"/>
        </w:rPr>
        <w:t xml:space="preserve"> to indicate that the general community does not have any significant issues with the Club increasing the number of gaming machines.</w:t>
      </w:r>
      <w:r w:rsidR="001C0F53">
        <w:rPr>
          <w:rFonts w:eastAsia="Calibri" w:cs="Arial"/>
          <w:color w:val="000000"/>
          <w:szCs w:val="22"/>
          <w:lang w:eastAsia="en-US"/>
        </w:rPr>
        <w:t xml:space="preserve">  It should also be taken into account that the </w:t>
      </w:r>
      <w:r w:rsidR="00EE2950">
        <w:rPr>
          <w:rFonts w:eastAsia="Calibri" w:cs="Arial"/>
          <w:color w:val="000000"/>
          <w:szCs w:val="22"/>
          <w:lang w:eastAsia="en-US"/>
        </w:rPr>
        <w:t>Premises</w:t>
      </w:r>
      <w:r w:rsidR="001C0F53">
        <w:rPr>
          <w:rFonts w:eastAsia="Calibri" w:cs="Arial"/>
          <w:color w:val="000000"/>
          <w:szCs w:val="22"/>
          <w:lang w:eastAsia="en-US"/>
        </w:rPr>
        <w:t xml:space="preserve"> has not come to the attention of Licensing NT in respect of any gambling related issues or complaints.</w:t>
      </w:r>
    </w:p>
    <w:p w:rsidR="00DF6435" w:rsidRPr="00DF6435" w:rsidRDefault="00F95C34" w:rsidP="00DF6435">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DF6435">
        <w:rPr>
          <w:rFonts w:cs="Arial"/>
          <w:bCs/>
        </w:rPr>
        <w:t xml:space="preserve">The harms associated with gaming machines and problem gambling are well documented and well known within the general community.  However, the Applicant in this instance has in place policies and procedures that will have the effect of minimising the harms </w:t>
      </w:r>
      <w:r w:rsidRPr="00DF6435">
        <w:rPr>
          <w:rFonts w:cs="Arial"/>
          <w:szCs w:val="24"/>
        </w:rPr>
        <w:t>associated</w:t>
      </w:r>
      <w:r w:rsidRPr="00DF6435">
        <w:rPr>
          <w:rFonts w:cs="Arial"/>
          <w:bCs/>
        </w:rPr>
        <w:t xml:space="preserve"> with gambling generally and the use of gaming machines specifically at the venue under consideration.</w:t>
      </w:r>
    </w:p>
    <w:p w:rsidR="00DF6435" w:rsidRPr="00457895" w:rsidRDefault="00F95C34" w:rsidP="00362F63">
      <w:pPr>
        <w:pStyle w:val="ListParagraph"/>
        <w:numPr>
          <w:ilvl w:val="0"/>
          <w:numId w:val="34"/>
        </w:numPr>
        <w:ind w:left="426" w:hanging="426"/>
        <w:jc w:val="both"/>
        <w:rPr>
          <w:rFonts w:cs="Arial"/>
          <w:bCs/>
        </w:rPr>
      </w:pPr>
      <w:r w:rsidRPr="00457895">
        <w:rPr>
          <w:rFonts w:cs="Arial"/>
          <w:bCs/>
        </w:rPr>
        <w:t>The CIA s</w:t>
      </w:r>
      <w:r w:rsidR="00457895" w:rsidRPr="00457895">
        <w:rPr>
          <w:rFonts w:cs="Arial"/>
          <w:bCs/>
        </w:rPr>
        <w:t>hows</w:t>
      </w:r>
      <w:r w:rsidRPr="00457895">
        <w:rPr>
          <w:rFonts w:cs="Arial"/>
          <w:bCs/>
        </w:rPr>
        <w:t xml:space="preserve"> </w:t>
      </w:r>
      <w:r w:rsidR="00DF6435" w:rsidRPr="00457895">
        <w:rPr>
          <w:rFonts w:cs="Arial"/>
          <w:bCs/>
        </w:rPr>
        <w:t xml:space="preserve">a relatively small proportion of the </w:t>
      </w:r>
      <w:r w:rsidRPr="00457895">
        <w:rPr>
          <w:rFonts w:cs="Arial"/>
          <w:bCs/>
        </w:rPr>
        <w:t xml:space="preserve">non-government </w:t>
      </w:r>
      <w:r w:rsidR="00DF6435" w:rsidRPr="00457895">
        <w:rPr>
          <w:rFonts w:cs="Arial"/>
          <w:bCs/>
        </w:rPr>
        <w:t>agencies who responded via the c</w:t>
      </w:r>
      <w:r w:rsidRPr="00457895">
        <w:rPr>
          <w:rFonts w:cs="Arial"/>
          <w:bCs/>
        </w:rPr>
        <w:t xml:space="preserve">ommunity </w:t>
      </w:r>
      <w:r w:rsidR="00DF6435" w:rsidRPr="00457895">
        <w:rPr>
          <w:rFonts w:cs="Arial"/>
          <w:szCs w:val="24"/>
        </w:rPr>
        <w:t>r</w:t>
      </w:r>
      <w:r w:rsidRPr="00457895">
        <w:rPr>
          <w:rFonts w:cs="Arial"/>
          <w:szCs w:val="24"/>
        </w:rPr>
        <w:t>epresentative</w:t>
      </w:r>
      <w:r w:rsidRPr="00457895">
        <w:rPr>
          <w:rFonts w:cs="Arial"/>
          <w:bCs/>
        </w:rPr>
        <w:t xml:space="preserve"> survey </w:t>
      </w:r>
      <w:r w:rsidR="00DF6435" w:rsidRPr="00457895">
        <w:rPr>
          <w:rFonts w:cs="Arial"/>
          <w:bCs/>
        </w:rPr>
        <w:t xml:space="preserve">conducted by the authors of the CIA </w:t>
      </w:r>
      <w:r w:rsidRPr="00457895">
        <w:rPr>
          <w:rFonts w:cs="Arial"/>
          <w:bCs/>
        </w:rPr>
        <w:t>have concerns with the application believing the increase in gaming machines will have a negative effect on the community</w:t>
      </w:r>
      <w:r w:rsidR="00DF6435" w:rsidRPr="00457895">
        <w:rPr>
          <w:rFonts w:cs="Arial"/>
          <w:bCs/>
        </w:rPr>
        <w:t xml:space="preserve">.  </w:t>
      </w:r>
      <w:r w:rsidR="00872A02" w:rsidRPr="00457895">
        <w:rPr>
          <w:rFonts w:cs="Arial"/>
          <w:bCs/>
        </w:rPr>
        <w:t xml:space="preserve">Whilst the concerns expressed by those </w:t>
      </w:r>
      <w:r w:rsidR="00872A02" w:rsidRPr="00457895">
        <w:rPr>
          <w:rFonts w:cs="Arial"/>
          <w:bCs/>
        </w:rPr>
        <w:lastRenderedPageBreak/>
        <w:t xml:space="preserve">organisations that did provide a negative response in the telephone survey together with the resignation of the public officer should be noted and taken into account, given their generalised nature they cannot be afforded much weight when it comes to making a determination on this matter. </w:t>
      </w:r>
    </w:p>
    <w:p w:rsidR="00DF6435" w:rsidRPr="001C0F53" w:rsidRDefault="00DF6435" w:rsidP="001C0F53">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cs="Arial"/>
          <w:bCs/>
        </w:rPr>
        <w:t>Whilst th</w:t>
      </w:r>
      <w:r w:rsidR="00F95C34" w:rsidRPr="00DF6435">
        <w:rPr>
          <w:rFonts w:cs="Arial"/>
          <w:bCs/>
        </w:rPr>
        <w:t xml:space="preserve">e comments </w:t>
      </w:r>
      <w:r>
        <w:rPr>
          <w:rFonts w:cs="Arial"/>
          <w:bCs/>
        </w:rPr>
        <w:t>of organisation</w:t>
      </w:r>
      <w:r w:rsidR="00362F63">
        <w:rPr>
          <w:rFonts w:cs="Arial"/>
          <w:bCs/>
        </w:rPr>
        <w:t>s</w:t>
      </w:r>
      <w:r>
        <w:rPr>
          <w:rFonts w:cs="Arial"/>
          <w:bCs/>
        </w:rPr>
        <w:t xml:space="preserve"> opposed to the increase ar</w:t>
      </w:r>
      <w:r w:rsidR="00F95C34" w:rsidRPr="00DF6435">
        <w:rPr>
          <w:rFonts w:cs="Arial"/>
          <w:bCs/>
        </w:rPr>
        <w:t xml:space="preserve">e properly made and no doubt indicative of the views </w:t>
      </w:r>
      <w:r w:rsidR="00F95C34" w:rsidRPr="00DF6435">
        <w:rPr>
          <w:rFonts w:cs="Arial"/>
          <w:szCs w:val="24"/>
        </w:rPr>
        <w:t>of</w:t>
      </w:r>
      <w:r w:rsidR="00F95C34" w:rsidRPr="00DF6435">
        <w:rPr>
          <w:rFonts w:cs="Arial"/>
          <w:bCs/>
        </w:rPr>
        <w:t xml:space="preserve"> the organisations represented, </w:t>
      </w:r>
      <w:r w:rsidR="00457895">
        <w:rPr>
          <w:rFonts w:cs="Arial"/>
          <w:bCs/>
        </w:rPr>
        <w:t>o</w:t>
      </w:r>
      <w:r w:rsidR="001C0F53">
        <w:rPr>
          <w:rFonts w:cs="Arial"/>
          <w:bCs/>
        </w:rPr>
        <w:t xml:space="preserve">f the respondents who oppose the additional gaming machines none raised concerns regarding the </w:t>
      </w:r>
      <w:r w:rsidR="00EE2950">
        <w:rPr>
          <w:rFonts w:cs="Arial"/>
          <w:bCs/>
        </w:rPr>
        <w:t>Premises</w:t>
      </w:r>
      <w:r w:rsidR="001C0F53">
        <w:rPr>
          <w:rFonts w:cs="Arial"/>
          <w:bCs/>
        </w:rPr>
        <w:t xml:space="preserve"> itself as opposed to the issues associated with problem gambling in the general sense.  </w:t>
      </w:r>
      <w:r w:rsidRPr="001C0F53">
        <w:rPr>
          <w:rFonts w:cs="Arial"/>
          <w:bCs/>
        </w:rPr>
        <w:t xml:space="preserve">In addition and as evidenced by the content of the CIA, </w:t>
      </w:r>
      <w:r w:rsidR="003210C2" w:rsidRPr="001C0F53">
        <w:rPr>
          <w:rFonts w:cs="Arial"/>
          <w:bCs/>
        </w:rPr>
        <w:t xml:space="preserve">the </w:t>
      </w:r>
      <w:r w:rsidR="001C0F53">
        <w:rPr>
          <w:rFonts w:cs="Arial"/>
          <w:bCs/>
        </w:rPr>
        <w:t xml:space="preserve">management of the </w:t>
      </w:r>
      <w:r w:rsidR="00EE2950">
        <w:rPr>
          <w:rFonts w:cs="Arial"/>
          <w:bCs/>
        </w:rPr>
        <w:t>Premises</w:t>
      </w:r>
      <w:r w:rsidR="00F95C34" w:rsidRPr="001C0F53">
        <w:rPr>
          <w:rFonts w:cs="Arial"/>
          <w:bCs/>
        </w:rPr>
        <w:t xml:space="preserve"> intends to incorporate strategies aimed at reducing gaming-related harm if the application is approved.</w:t>
      </w:r>
    </w:p>
    <w:p w:rsidR="00DF6435" w:rsidRPr="00DF6435" w:rsidRDefault="00DD7F4C" w:rsidP="001D1071">
      <w:pPr>
        <w:pStyle w:val="Heading2"/>
        <w:rPr>
          <w:rFonts w:eastAsia="Calibri"/>
          <w:color w:val="000000"/>
        </w:rPr>
      </w:pPr>
      <w:r w:rsidRPr="00DF6435">
        <w:t>Decision</w:t>
      </w:r>
    </w:p>
    <w:p w:rsidR="00DF6435" w:rsidRPr="00DF6435" w:rsidRDefault="00DD7F4C" w:rsidP="00DF6435">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DF6435">
        <w:rPr>
          <w:rFonts w:cs="Arial"/>
          <w:bCs/>
          <w:szCs w:val="22"/>
        </w:rPr>
        <w:t xml:space="preserve">For the reasons set out above, and in accordance with section 41(3) of the Act I have determined to grant the application lodged by </w:t>
      </w:r>
      <w:r w:rsidR="00C345B1" w:rsidRPr="00DF6435">
        <w:rPr>
          <w:rFonts w:cs="Arial"/>
          <w:bCs/>
          <w:szCs w:val="22"/>
        </w:rPr>
        <w:t xml:space="preserve">the </w:t>
      </w:r>
      <w:r w:rsidR="00457895">
        <w:rPr>
          <w:rFonts w:cs="Arial"/>
          <w:bCs/>
          <w:szCs w:val="22"/>
        </w:rPr>
        <w:t>Tennant Creek Memorial</w:t>
      </w:r>
      <w:r w:rsidR="00F95C34" w:rsidRPr="00DF6435">
        <w:rPr>
          <w:rFonts w:cs="Arial"/>
          <w:bCs/>
          <w:szCs w:val="22"/>
        </w:rPr>
        <w:t xml:space="preserve"> </w:t>
      </w:r>
      <w:r w:rsidR="00C345B1" w:rsidRPr="00DF6435">
        <w:rPr>
          <w:rFonts w:cs="Arial"/>
          <w:bCs/>
          <w:szCs w:val="22"/>
        </w:rPr>
        <w:t>Club Inc.</w:t>
      </w:r>
      <w:r w:rsidRPr="00DF6435">
        <w:rPr>
          <w:rFonts w:cs="Arial"/>
          <w:bCs/>
          <w:szCs w:val="22"/>
        </w:rPr>
        <w:t xml:space="preserve"> and authorise the increase of the number of </w:t>
      </w:r>
      <w:r w:rsidR="00AA16B6" w:rsidRPr="00DF6435">
        <w:rPr>
          <w:rFonts w:cs="Arial"/>
          <w:bCs/>
          <w:szCs w:val="22"/>
        </w:rPr>
        <w:t xml:space="preserve">gaming machines </w:t>
      </w:r>
      <w:r w:rsidRPr="00DF6435">
        <w:rPr>
          <w:rFonts w:cs="Arial"/>
          <w:bCs/>
          <w:szCs w:val="22"/>
        </w:rPr>
        <w:t xml:space="preserve">located at the </w:t>
      </w:r>
      <w:r w:rsidR="00457895">
        <w:rPr>
          <w:rFonts w:cs="Arial"/>
          <w:bCs/>
          <w:szCs w:val="22"/>
        </w:rPr>
        <w:t>Club from the current limit of 2</w:t>
      </w:r>
      <w:r w:rsidR="00C345B1" w:rsidRPr="00DF6435">
        <w:rPr>
          <w:rFonts w:cs="Arial"/>
          <w:bCs/>
          <w:szCs w:val="22"/>
        </w:rPr>
        <w:t>5</w:t>
      </w:r>
      <w:r w:rsidRPr="00DF6435">
        <w:rPr>
          <w:rFonts w:cs="Arial"/>
          <w:bCs/>
          <w:szCs w:val="22"/>
        </w:rPr>
        <w:t xml:space="preserve"> </w:t>
      </w:r>
      <w:r w:rsidR="00AA16B6" w:rsidRPr="00DF6435">
        <w:rPr>
          <w:rFonts w:cs="Arial"/>
          <w:bCs/>
          <w:szCs w:val="22"/>
        </w:rPr>
        <w:t xml:space="preserve">gaming machines </w:t>
      </w:r>
      <w:r w:rsidRPr="00DF6435">
        <w:rPr>
          <w:rFonts w:cs="Arial"/>
          <w:bCs/>
          <w:szCs w:val="22"/>
        </w:rPr>
        <w:t xml:space="preserve">to </w:t>
      </w:r>
      <w:r w:rsidR="00457895">
        <w:rPr>
          <w:rFonts w:cs="Arial"/>
          <w:bCs/>
          <w:szCs w:val="22"/>
        </w:rPr>
        <w:t>4</w:t>
      </w:r>
      <w:r w:rsidR="00C345B1" w:rsidRPr="00DF6435">
        <w:rPr>
          <w:rFonts w:cs="Arial"/>
          <w:bCs/>
          <w:szCs w:val="22"/>
        </w:rPr>
        <w:t>5</w:t>
      </w:r>
      <w:r w:rsidRPr="00DF6435">
        <w:rPr>
          <w:rFonts w:cs="Arial"/>
          <w:bCs/>
          <w:szCs w:val="22"/>
        </w:rPr>
        <w:t xml:space="preserve"> </w:t>
      </w:r>
      <w:r w:rsidR="00AA16B6" w:rsidRPr="00DF6435">
        <w:rPr>
          <w:rFonts w:cs="Arial"/>
          <w:bCs/>
          <w:szCs w:val="22"/>
        </w:rPr>
        <w:t>gaming machines</w:t>
      </w:r>
      <w:r w:rsidRPr="00DF6435">
        <w:rPr>
          <w:rFonts w:cs="Arial"/>
          <w:bCs/>
          <w:szCs w:val="22"/>
        </w:rPr>
        <w:t>.</w:t>
      </w:r>
    </w:p>
    <w:p w:rsidR="00DF6435" w:rsidRPr="001E124D" w:rsidRDefault="003C234E" w:rsidP="00F6779E">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t xml:space="preserve">The </w:t>
      </w:r>
      <w:r w:rsidRPr="00DF6435">
        <w:rPr>
          <w:rFonts w:cs="Arial"/>
          <w:bCs/>
          <w:szCs w:val="22"/>
        </w:rPr>
        <w:t>additional</w:t>
      </w:r>
      <w:r w:rsidR="00457895">
        <w:t xml:space="preserve"> approved 20</w:t>
      </w:r>
      <w:r>
        <w:t xml:space="preserve"> gaming machines are required to be included in the schedule attached to the current licence in which each individual gaming machine is identified and authorised for use.  The schedule will be updated upon submission by the </w:t>
      </w:r>
      <w:r w:rsidR="001C0F53">
        <w:t>Club</w:t>
      </w:r>
      <w:r>
        <w:t xml:space="preserve"> of the details </w:t>
      </w:r>
      <w:r w:rsidR="00457895">
        <w:t>pertaining to the additional 20</w:t>
      </w:r>
      <w:r>
        <w:t xml:space="preserve"> gaming machines</w:t>
      </w:r>
      <w:r w:rsidR="00580C27">
        <w:t xml:space="preserve"> once purchased</w:t>
      </w:r>
      <w:r>
        <w:t>.</w:t>
      </w:r>
    </w:p>
    <w:p w:rsidR="00DF6435" w:rsidRPr="00DF6435" w:rsidRDefault="00DD7F4C" w:rsidP="001D1071">
      <w:pPr>
        <w:pStyle w:val="Heading2"/>
        <w:rPr>
          <w:rFonts w:eastAsia="Calibri"/>
          <w:color w:val="000000"/>
        </w:rPr>
      </w:pPr>
      <w:r w:rsidRPr="00DF6435">
        <w:t>Review of Decision</w:t>
      </w:r>
    </w:p>
    <w:p w:rsidR="001C0F53" w:rsidRPr="001C0F53" w:rsidRDefault="00DD7F4C" w:rsidP="001C0F53">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DF6435">
        <w:rPr>
          <w:rFonts w:cs="Arial"/>
          <w:bCs/>
          <w:szCs w:val="22"/>
        </w:rPr>
        <w:t>Section 166A of the Act provides that a decision of the Director-General, as specified in the Schedule to the Act, is a reviewable decision</w:t>
      </w:r>
      <w:proofErr w:type="gramStart"/>
      <w:r w:rsidRPr="00DF6435">
        <w:rPr>
          <w:rFonts w:cs="Arial"/>
          <w:bCs/>
          <w:szCs w:val="22"/>
        </w:rPr>
        <w:t xml:space="preserve">.  </w:t>
      </w:r>
      <w:proofErr w:type="gramEnd"/>
      <w:r w:rsidRPr="00DF6435">
        <w:rPr>
          <w:rFonts w:cs="Arial"/>
          <w:bCs/>
          <w:szCs w:val="22"/>
        </w:rPr>
        <w:t xml:space="preserve">An application under section 41 for an increase in the number of authorised gaming machines is specified in the Schedule and is a reviewable decision.  Section 166C of the Act provides that a person affected by this decision may seek a review before the Northern Territory Civil and Administrative Tribunal.  </w:t>
      </w:r>
      <w:r w:rsidR="009815A9" w:rsidRPr="00DF6435">
        <w:rPr>
          <w:rFonts w:cs="Arial"/>
          <w:bCs/>
          <w:szCs w:val="22"/>
        </w:rPr>
        <w:t xml:space="preserve">For the purpose of this decision the affected </w:t>
      </w:r>
      <w:r w:rsidR="00DF6435">
        <w:rPr>
          <w:rFonts w:cs="Arial"/>
          <w:bCs/>
          <w:szCs w:val="22"/>
        </w:rPr>
        <w:t xml:space="preserve">only </w:t>
      </w:r>
      <w:r w:rsidR="009815A9" w:rsidRPr="00DF6435">
        <w:rPr>
          <w:rFonts w:cs="Arial"/>
          <w:bCs/>
          <w:szCs w:val="22"/>
        </w:rPr>
        <w:t>person</w:t>
      </w:r>
      <w:r w:rsidR="00DF6435">
        <w:rPr>
          <w:rFonts w:cs="Arial"/>
          <w:bCs/>
          <w:szCs w:val="22"/>
        </w:rPr>
        <w:t xml:space="preserve"> is the Applicant</w:t>
      </w:r>
      <w:r w:rsidR="009815A9" w:rsidRPr="00DF6435">
        <w:rPr>
          <w:rFonts w:cs="Arial"/>
          <w:bCs/>
          <w:szCs w:val="22"/>
        </w:rPr>
        <w:t>.</w:t>
      </w:r>
    </w:p>
    <w:p w:rsidR="00DD7F4C" w:rsidRPr="00F728E9" w:rsidRDefault="00E6311D" w:rsidP="0071166E">
      <w:pPr>
        <w:autoSpaceDE w:val="0"/>
        <w:autoSpaceDN w:val="0"/>
        <w:adjustRightInd w:val="0"/>
        <w:spacing w:before="1440" w:after="0"/>
        <w:jc w:val="both"/>
        <w:rPr>
          <w:rFonts w:eastAsia="Calibri" w:cs="Arial"/>
          <w:color w:val="000000"/>
          <w:szCs w:val="22"/>
          <w:lang w:eastAsia="en-US"/>
        </w:rPr>
      </w:pPr>
      <w:r w:rsidRPr="00F728E9">
        <w:rPr>
          <w:rFonts w:cs="Arial"/>
          <w:sz w:val="24"/>
          <w:szCs w:val="24"/>
        </w:rPr>
        <w:t>Malcolm Richardson</w:t>
      </w:r>
      <w:bookmarkStart w:id="0" w:name="_GoBack"/>
      <w:bookmarkEnd w:id="0"/>
    </w:p>
    <w:p w:rsidR="00C0715B" w:rsidRDefault="00C0715B" w:rsidP="00F728E9">
      <w:pPr>
        <w:spacing w:after="0"/>
        <w:jc w:val="both"/>
        <w:rPr>
          <w:rFonts w:cs="Arial"/>
          <w:sz w:val="24"/>
          <w:szCs w:val="24"/>
        </w:rPr>
      </w:pPr>
      <w:r w:rsidRPr="00F728E9">
        <w:rPr>
          <w:rFonts w:cs="Arial"/>
          <w:sz w:val="24"/>
          <w:szCs w:val="24"/>
        </w:rPr>
        <w:t>A/Deputy Director-General (Operations)</w:t>
      </w:r>
    </w:p>
    <w:p w:rsidR="00F728E9" w:rsidRPr="00F728E9" w:rsidRDefault="00F728E9" w:rsidP="00F728E9">
      <w:pPr>
        <w:spacing w:after="0"/>
        <w:jc w:val="both"/>
        <w:rPr>
          <w:rFonts w:cs="Arial"/>
          <w:sz w:val="24"/>
          <w:szCs w:val="24"/>
        </w:rPr>
      </w:pPr>
    </w:p>
    <w:p w:rsidR="006038D3" w:rsidRPr="00F728E9" w:rsidRDefault="0071166E" w:rsidP="00F728E9">
      <w:pPr>
        <w:spacing w:after="0"/>
        <w:jc w:val="both"/>
        <w:rPr>
          <w:rFonts w:cs="Arial"/>
          <w:sz w:val="24"/>
          <w:szCs w:val="24"/>
        </w:rPr>
      </w:pPr>
      <w:r>
        <w:rPr>
          <w:rFonts w:cs="Arial"/>
          <w:sz w:val="24"/>
          <w:szCs w:val="24"/>
        </w:rPr>
        <w:t xml:space="preserve">1 </w:t>
      </w:r>
      <w:r w:rsidR="00D9774A" w:rsidRPr="00F728E9">
        <w:rPr>
          <w:rFonts w:cs="Arial"/>
          <w:sz w:val="24"/>
          <w:szCs w:val="24"/>
        </w:rPr>
        <w:t>September</w:t>
      </w:r>
      <w:r w:rsidR="00745B5F" w:rsidRPr="00F728E9">
        <w:rPr>
          <w:rFonts w:cs="Arial"/>
          <w:sz w:val="24"/>
          <w:szCs w:val="24"/>
        </w:rPr>
        <w:t xml:space="preserve"> 2016</w:t>
      </w:r>
    </w:p>
    <w:sectPr w:rsidR="006038D3" w:rsidRPr="00F728E9" w:rsidSect="00081088">
      <w:headerReference w:type="default" r:id="rId12"/>
      <w:footerReference w:type="default" r:id="rId13"/>
      <w:headerReference w:type="first" r:id="rId14"/>
      <w:footerReference w:type="first" r:id="rId15"/>
      <w:pgSz w:w="11906" w:h="16838" w:code="9"/>
      <w:pgMar w:top="1440" w:right="1440" w:bottom="1440" w:left="1440"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9BA" w:rsidRDefault="008139BA" w:rsidP="00293A72">
      <w:r>
        <w:separator/>
      </w:r>
    </w:p>
  </w:endnote>
  <w:endnote w:type="continuationSeparator" w:id="0">
    <w:p w:rsidR="008139BA" w:rsidRDefault="008139BA"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12" w:rsidRPr="00F728E9" w:rsidRDefault="00863512" w:rsidP="00C0715B">
    <w:pPr>
      <w:pStyle w:val="Footer"/>
      <w:pBdr>
        <w:top w:val="single" w:sz="4" w:space="1" w:color="auto"/>
      </w:pBdr>
      <w:tabs>
        <w:tab w:val="clear" w:pos="9639"/>
        <w:tab w:val="right" w:pos="9356"/>
      </w:tabs>
      <w:ind w:right="-285"/>
      <w:rPr>
        <w:sz w:val="16"/>
        <w:szCs w:val="16"/>
      </w:rPr>
    </w:pPr>
  </w:p>
  <w:p w:rsidR="00863512" w:rsidRPr="00F728E9" w:rsidRDefault="00863512" w:rsidP="00C0715B">
    <w:pPr>
      <w:pStyle w:val="Footer"/>
      <w:tabs>
        <w:tab w:val="clear" w:pos="9639"/>
        <w:tab w:val="right" w:pos="9356"/>
      </w:tabs>
      <w:ind w:right="-285"/>
      <w:rPr>
        <w:color w:val="A6A6A6" w:themeColor="background1" w:themeShade="A6"/>
        <w:sz w:val="16"/>
        <w:szCs w:val="16"/>
      </w:rPr>
    </w:pPr>
    <w:r w:rsidRPr="00F728E9">
      <w:rPr>
        <w:color w:val="A6A6A6" w:themeColor="background1" w:themeShade="A6"/>
        <w:sz w:val="16"/>
        <w:szCs w:val="16"/>
      </w:rPr>
      <w:t xml:space="preserve">Decision for </w:t>
    </w:r>
    <w:sdt>
      <w:sdtPr>
        <w:rPr>
          <w:color w:val="A6A6A6" w:themeColor="background1" w:themeShade="A6"/>
          <w:sz w:val="16"/>
          <w:szCs w:val="16"/>
        </w:rPr>
        <w:id w:val="-784722838"/>
        <w:placeholder>
          <w:docPart w:val="DefaultPlaceholder_1082065158"/>
        </w:placeholder>
      </w:sdtPr>
      <w:sdtEndPr/>
      <w:sdtContent>
        <w:r w:rsidRPr="00F728E9">
          <w:rPr>
            <w:color w:val="A6A6A6" w:themeColor="background1" w:themeShade="A6"/>
            <w:sz w:val="16"/>
            <w:szCs w:val="16"/>
          </w:rPr>
          <w:t xml:space="preserve">Application for increase in Gaming Machines – </w:t>
        </w:r>
        <w:r w:rsidR="000004F1" w:rsidRPr="00F728E9">
          <w:rPr>
            <w:color w:val="A6A6A6" w:themeColor="background1" w:themeShade="A6"/>
            <w:sz w:val="16"/>
            <w:szCs w:val="16"/>
          </w:rPr>
          <w:t>Tennant Creek Memorial Club</w:t>
        </w:r>
        <w:r w:rsidRPr="00F728E9">
          <w:rPr>
            <w:color w:val="A6A6A6" w:themeColor="background1" w:themeShade="A6"/>
            <w:sz w:val="16"/>
            <w:szCs w:val="16"/>
          </w:rPr>
          <w:t xml:space="preserve"> Inc.</w:t>
        </w:r>
      </w:sdtContent>
    </w:sdt>
    <w:r w:rsidRPr="00F728E9">
      <w:rPr>
        <w:color w:val="A6A6A6" w:themeColor="background1" w:themeShade="A6"/>
        <w:sz w:val="16"/>
        <w:szCs w:val="16"/>
      </w:rPr>
      <w:t xml:space="preserve">  </w:t>
    </w:r>
    <w:r w:rsidRPr="00F728E9">
      <w:rPr>
        <w:color w:val="A6A6A6" w:themeColor="background1" w:themeShade="A6"/>
        <w:sz w:val="16"/>
        <w:szCs w:val="16"/>
      </w:rPr>
      <w:tab/>
      <w:t xml:space="preserve">Date of Decision </w:t>
    </w:r>
    <w:sdt>
      <w:sdtPr>
        <w:rPr>
          <w:color w:val="A6A6A6" w:themeColor="background1" w:themeShade="A6"/>
          <w:sz w:val="16"/>
          <w:szCs w:val="16"/>
        </w:rPr>
        <w:id w:val="1813289486"/>
        <w:placeholder>
          <w:docPart w:val="DefaultPlaceholder_1082065158"/>
        </w:placeholder>
      </w:sdtPr>
      <w:sdtEndPr/>
      <w:sdtContent>
        <w:r w:rsidRPr="00F728E9">
          <w:rPr>
            <w:color w:val="A6A6A6" w:themeColor="background1" w:themeShade="A6"/>
            <w:sz w:val="16"/>
            <w:szCs w:val="16"/>
          </w:rPr>
          <w:t xml:space="preserve"> 1 </w:t>
        </w:r>
        <w:r w:rsidR="000004F1" w:rsidRPr="00F728E9">
          <w:rPr>
            <w:color w:val="A6A6A6" w:themeColor="background1" w:themeShade="A6"/>
            <w:sz w:val="16"/>
            <w:szCs w:val="16"/>
          </w:rPr>
          <w:t>September</w:t>
        </w:r>
        <w:r w:rsidRPr="00F728E9">
          <w:rPr>
            <w:color w:val="A6A6A6" w:themeColor="background1" w:themeShade="A6"/>
            <w:sz w:val="16"/>
            <w:szCs w:val="16"/>
          </w:rPr>
          <w:t xml:space="preserve"> 2016</w:t>
        </w:r>
      </w:sdtContent>
    </w:sdt>
  </w:p>
  <w:p w:rsidR="00863512" w:rsidRPr="00F728E9" w:rsidRDefault="00863512" w:rsidP="00C0715B">
    <w:pPr>
      <w:pStyle w:val="Footer"/>
      <w:tabs>
        <w:tab w:val="clear" w:pos="9639"/>
        <w:tab w:val="right" w:pos="9356"/>
      </w:tabs>
      <w:ind w:right="-285"/>
      <w:jc w:val="right"/>
      <w:rPr>
        <w:rFonts w:cs="Times New Roman"/>
        <w:noProof/>
        <w:sz w:val="16"/>
        <w:szCs w:val="16"/>
      </w:rPr>
    </w:pPr>
    <w:r w:rsidRPr="00F728E9">
      <w:rPr>
        <w:color w:val="A6A6A6" w:themeColor="background1" w:themeShade="A6"/>
        <w:sz w:val="16"/>
        <w:szCs w:val="16"/>
      </w:rPr>
      <w:t xml:space="preserve">Ref # </w:t>
    </w:r>
    <w:sdt>
      <w:sdtPr>
        <w:rPr>
          <w:color w:val="A6A6A6" w:themeColor="background1" w:themeShade="A6"/>
          <w:sz w:val="16"/>
          <w:szCs w:val="16"/>
        </w:rPr>
        <w:id w:val="1707375252"/>
        <w:placeholder>
          <w:docPart w:val="DefaultPlaceholder_1082065158"/>
        </w:placeholder>
      </w:sdtPr>
      <w:sdtEndPr/>
      <w:sdtContent>
        <w:r w:rsidR="00C0715B" w:rsidRPr="00F728E9">
          <w:rPr>
            <w:color w:val="A6A6A6" w:themeColor="background1" w:themeShade="A6"/>
            <w:sz w:val="16"/>
            <w:szCs w:val="16"/>
          </w:rPr>
          <w:t>DOB2016/14538-0009</w:t>
        </w:r>
      </w:sdtContent>
    </w:sdt>
    <w:r w:rsidRPr="00F728E9">
      <w:rPr>
        <w:sz w:val="16"/>
        <w:szCs w:val="16"/>
      </w:rPr>
      <w:tab/>
    </w:r>
    <w:sdt>
      <w:sdtPr>
        <w:rPr>
          <w:sz w:val="16"/>
          <w:szCs w:val="16"/>
        </w:rPr>
        <w:id w:val="-823045373"/>
        <w:docPartObj>
          <w:docPartGallery w:val="Page Numbers (Bottom of Page)"/>
          <w:docPartUnique/>
        </w:docPartObj>
      </w:sdtPr>
      <w:sdtEndPr>
        <w:rPr>
          <w:noProof/>
        </w:rPr>
      </w:sdtEndPr>
      <w:sdtContent>
        <w:r w:rsidRPr="00F728E9">
          <w:rPr>
            <w:sz w:val="16"/>
            <w:szCs w:val="16"/>
          </w:rPr>
          <w:fldChar w:fldCharType="begin"/>
        </w:r>
        <w:r w:rsidRPr="00F728E9">
          <w:rPr>
            <w:sz w:val="16"/>
            <w:szCs w:val="16"/>
          </w:rPr>
          <w:instrText xml:space="preserve"> PAGE   \* MERGEFORMAT </w:instrText>
        </w:r>
        <w:r w:rsidRPr="00F728E9">
          <w:rPr>
            <w:sz w:val="16"/>
            <w:szCs w:val="16"/>
          </w:rPr>
          <w:fldChar w:fldCharType="separate"/>
        </w:r>
        <w:r w:rsidR="001D1071">
          <w:rPr>
            <w:noProof/>
            <w:sz w:val="16"/>
            <w:szCs w:val="16"/>
          </w:rPr>
          <w:t>7</w:t>
        </w:r>
        <w:r w:rsidRPr="00F728E9">
          <w:rPr>
            <w:noProof/>
            <w:sz w:val="16"/>
            <w:szCs w:val="1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12" w:rsidRPr="002028DD" w:rsidRDefault="00863512" w:rsidP="006770F2">
    <w:pPr>
      <w:pStyle w:val="Footer"/>
      <w:pBdr>
        <w:top w:val="single" w:sz="4" w:space="1" w:color="auto"/>
      </w:pBdr>
      <w:tabs>
        <w:tab w:val="clear" w:pos="9639"/>
        <w:tab w:val="right" w:pos="9923"/>
      </w:tabs>
      <w:ind w:right="-285"/>
      <w:rPr>
        <w:sz w:val="16"/>
        <w:szCs w:val="16"/>
      </w:rPr>
    </w:pPr>
  </w:p>
  <w:p w:rsidR="00863512" w:rsidRPr="002028DD" w:rsidRDefault="00863512" w:rsidP="002028DD">
    <w:pPr>
      <w:pStyle w:val="Footer"/>
      <w:tabs>
        <w:tab w:val="clear" w:pos="9639"/>
        <w:tab w:val="right" w:pos="9356"/>
      </w:tabs>
      <w:ind w:right="-285"/>
      <w:rPr>
        <w:color w:val="A6A6A6" w:themeColor="background1" w:themeShade="A6"/>
        <w:sz w:val="16"/>
        <w:szCs w:val="16"/>
      </w:rPr>
    </w:pPr>
    <w:r w:rsidRPr="002028DD">
      <w:rPr>
        <w:color w:val="A6A6A6" w:themeColor="background1" w:themeShade="A6"/>
        <w:sz w:val="16"/>
        <w:szCs w:val="16"/>
      </w:rPr>
      <w:t xml:space="preserve">Decision for </w:t>
    </w:r>
    <w:sdt>
      <w:sdtPr>
        <w:rPr>
          <w:color w:val="A6A6A6" w:themeColor="background1" w:themeShade="A6"/>
          <w:sz w:val="16"/>
          <w:szCs w:val="16"/>
        </w:rPr>
        <w:id w:val="-1722365141"/>
      </w:sdtPr>
      <w:sdtEndPr/>
      <w:sdtContent>
        <w:r w:rsidRPr="002028DD">
          <w:rPr>
            <w:color w:val="A6A6A6" w:themeColor="background1" w:themeShade="A6"/>
            <w:sz w:val="16"/>
            <w:szCs w:val="16"/>
          </w:rPr>
          <w:t xml:space="preserve">Application for increase in Gaming Machines – </w:t>
        </w:r>
        <w:r w:rsidR="000004F1" w:rsidRPr="002028DD">
          <w:rPr>
            <w:color w:val="A6A6A6" w:themeColor="background1" w:themeShade="A6"/>
            <w:sz w:val="16"/>
            <w:szCs w:val="16"/>
          </w:rPr>
          <w:t>Tennant Creek Memorial Club</w:t>
        </w:r>
        <w:r w:rsidRPr="002028DD">
          <w:rPr>
            <w:color w:val="A6A6A6" w:themeColor="background1" w:themeShade="A6"/>
            <w:sz w:val="16"/>
            <w:szCs w:val="16"/>
          </w:rPr>
          <w:t xml:space="preserve"> Inc.</w:t>
        </w:r>
      </w:sdtContent>
    </w:sdt>
    <w:r w:rsidRPr="002028DD">
      <w:rPr>
        <w:color w:val="A6A6A6" w:themeColor="background1" w:themeShade="A6"/>
        <w:sz w:val="16"/>
        <w:szCs w:val="16"/>
      </w:rPr>
      <w:tab/>
      <w:t xml:space="preserve">Date of Decision </w:t>
    </w:r>
    <w:sdt>
      <w:sdtPr>
        <w:rPr>
          <w:color w:val="A6A6A6" w:themeColor="background1" w:themeShade="A6"/>
          <w:sz w:val="16"/>
          <w:szCs w:val="16"/>
          <w:highlight w:val="yellow"/>
        </w:rPr>
        <w:id w:val="-1946298919"/>
      </w:sdtPr>
      <w:sdtEndPr/>
      <w:sdtContent>
        <w:r w:rsidRPr="002028DD">
          <w:rPr>
            <w:color w:val="A6A6A6" w:themeColor="background1" w:themeShade="A6"/>
            <w:sz w:val="16"/>
            <w:szCs w:val="16"/>
          </w:rPr>
          <w:t xml:space="preserve">1 </w:t>
        </w:r>
        <w:r w:rsidR="000004F1" w:rsidRPr="002028DD">
          <w:rPr>
            <w:color w:val="A6A6A6" w:themeColor="background1" w:themeShade="A6"/>
            <w:sz w:val="16"/>
            <w:szCs w:val="16"/>
          </w:rPr>
          <w:t>September</w:t>
        </w:r>
        <w:r w:rsidRPr="002028DD">
          <w:rPr>
            <w:color w:val="A6A6A6" w:themeColor="background1" w:themeShade="A6"/>
            <w:sz w:val="16"/>
            <w:szCs w:val="16"/>
          </w:rPr>
          <w:t xml:space="preserve"> 2016</w:t>
        </w:r>
      </w:sdtContent>
    </w:sdt>
    <w:r w:rsidRPr="002028DD">
      <w:rPr>
        <w:color w:val="A6A6A6" w:themeColor="background1" w:themeShade="A6"/>
        <w:sz w:val="16"/>
        <w:szCs w:val="16"/>
      </w:rPr>
      <w:t xml:space="preserve"> </w:t>
    </w:r>
  </w:p>
  <w:p w:rsidR="00863512" w:rsidRPr="002028DD" w:rsidRDefault="00863512" w:rsidP="002028DD">
    <w:pPr>
      <w:pStyle w:val="Footer"/>
      <w:tabs>
        <w:tab w:val="clear" w:pos="9639"/>
        <w:tab w:val="right" w:pos="9356"/>
      </w:tabs>
      <w:ind w:right="-285"/>
      <w:rPr>
        <w:rFonts w:cs="Times New Roman"/>
        <w:noProof/>
        <w:sz w:val="16"/>
        <w:szCs w:val="16"/>
      </w:rPr>
    </w:pPr>
    <w:r w:rsidRPr="002028DD">
      <w:rPr>
        <w:color w:val="A6A6A6" w:themeColor="background1" w:themeShade="A6"/>
        <w:sz w:val="16"/>
        <w:szCs w:val="16"/>
      </w:rPr>
      <w:t xml:space="preserve">Ref # </w:t>
    </w:r>
    <w:sdt>
      <w:sdtPr>
        <w:rPr>
          <w:color w:val="A6A6A6" w:themeColor="background1" w:themeShade="A6"/>
          <w:sz w:val="16"/>
          <w:szCs w:val="16"/>
        </w:rPr>
        <w:id w:val="1120795140"/>
      </w:sdtPr>
      <w:sdtEndPr/>
      <w:sdtContent>
        <w:r w:rsidR="002028DD" w:rsidRPr="002028DD">
          <w:rPr>
            <w:color w:val="A6A6A6" w:themeColor="background1" w:themeShade="A6"/>
            <w:sz w:val="16"/>
            <w:szCs w:val="16"/>
          </w:rPr>
          <w:t>DOB2016/14538-0009</w:t>
        </w:r>
      </w:sdtContent>
    </w:sdt>
    <w:r w:rsidRPr="002028DD">
      <w:rPr>
        <w:sz w:val="16"/>
        <w:szCs w:val="16"/>
      </w:rPr>
      <w:tab/>
    </w:r>
    <w:sdt>
      <w:sdtPr>
        <w:rPr>
          <w:sz w:val="16"/>
          <w:szCs w:val="16"/>
        </w:rPr>
        <w:id w:val="849913914"/>
        <w:docPartObj>
          <w:docPartGallery w:val="Page Numbers (Bottom of Page)"/>
          <w:docPartUnique/>
        </w:docPartObj>
      </w:sdtPr>
      <w:sdtEndPr>
        <w:rPr>
          <w:noProof/>
        </w:rPr>
      </w:sdtEndPr>
      <w:sdtContent>
        <w:r w:rsidRPr="002028DD">
          <w:rPr>
            <w:sz w:val="16"/>
            <w:szCs w:val="16"/>
          </w:rPr>
          <w:fldChar w:fldCharType="begin"/>
        </w:r>
        <w:r w:rsidRPr="002028DD">
          <w:rPr>
            <w:sz w:val="16"/>
            <w:szCs w:val="16"/>
          </w:rPr>
          <w:instrText xml:space="preserve"> PAGE   \* MERGEFORMAT </w:instrText>
        </w:r>
        <w:r w:rsidRPr="002028DD">
          <w:rPr>
            <w:sz w:val="16"/>
            <w:szCs w:val="16"/>
          </w:rPr>
          <w:fldChar w:fldCharType="separate"/>
        </w:r>
        <w:r w:rsidR="001D1071">
          <w:rPr>
            <w:noProof/>
            <w:sz w:val="16"/>
            <w:szCs w:val="16"/>
          </w:rPr>
          <w:t>1</w:t>
        </w:r>
        <w:r w:rsidRPr="002028DD">
          <w:rPr>
            <w:noProof/>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9BA" w:rsidRDefault="008139BA" w:rsidP="00293A72">
      <w:r>
        <w:separator/>
      </w:r>
    </w:p>
  </w:footnote>
  <w:footnote w:type="continuationSeparator" w:id="0">
    <w:p w:rsidR="008139BA" w:rsidRDefault="008139BA"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12" w:rsidRDefault="00863512" w:rsidP="006770F2">
    <w:pPr>
      <w:pStyle w:val="Header"/>
      <w:tabs>
        <w:tab w:val="clear" w:pos="9026"/>
      </w:tabs>
      <w:ind w:right="-285"/>
      <w:rPr>
        <w:noProof/>
      </w:rPr>
    </w:pPr>
    <w:r>
      <w:rPr>
        <w:noProof/>
      </w:rPr>
      <w:t>Director-General of Licensing 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863512" w:rsidTr="006770F2">
      <w:trPr>
        <w:trHeight w:val="1531"/>
      </w:trPr>
      <w:tc>
        <w:tcPr>
          <w:tcW w:w="1560" w:type="dxa"/>
        </w:tcPr>
        <w:p w:rsidR="00863512" w:rsidRPr="006548E8" w:rsidRDefault="00863512" w:rsidP="006770F2">
          <w:pPr>
            <w:pStyle w:val="NoSpacing"/>
            <w:ind w:left="-108"/>
          </w:pPr>
          <w:r>
            <w:rPr>
              <w:noProof/>
              <w:lang w:eastAsia="en-AU"/>
            </w:rPr>
            <w:drawing>
              <wp:inline distT="0" distB="0" distL="0" distR="0" wp14:anchorId="7ADDE41C" wp14:editId="2D851044">
                <wp:extent cx="972000" cy="972000"/>
                <wp:effectExtent l="0" t="0" r="0" b="0"/>
                <wp:docPr id="1" name="Picture 1"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863512" w:rsidRPr="004D075F" w:rsidRDefault="001D1071" w:rsidP="001D1071">
          <w:pPr>
            <w:pStyle w:val="DecisionName"/>
          </w:pPr>
          <w:r>
            <w:rPr>
              <w:noProof/>
            </w:rPr>
            <w:t>Director-General of Licensing</w:t>
          </w:r>
        </w:p>
      </w:tc>
    </w:tr>
  </w:tbl>
  <w:p w:rsidR="00863512" w:rsidRPr="00CC3330" w:rsidRDefault="0086351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4661AC"/>
    <w:multiLevelType w:val="hybridMultilevel"/>
    <w:tmpl w:val="863C360A"/>
    <w:lvl w:ilvl="0" w:tplc="07D85C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F575DA"/>
    <w:multiLevelType w:val="hybridMultilevel"/>
    <w:tmpl w:val="0CB02458"/>
    <w:lvl w:ilvl="0" w:tplc="28C096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9FB20B4"/>
    <w:multiLevelType w:val="hybridMultilevel"/>
    <w:tmpl w:val="7200D06C"/>
    <w:lvl w:ilvl="0" w:tplc="23CCCB80">
      <w:start w:val="1"/>
      <w:numFmt w:val="decimal"/>
      <w:lvlText w:val="%1."/>
      <w:lvlJc w:val="left"/>
      <w:pPr>
        <w:ind w:left="1353"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
    <w:nsid w:val="0AB0393E"/>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nsid w:val="0B8649A5"/>
    <w:multiLevelType w:val="hybridMultilevel"/>
    <w:tmpl w:val="2A94EF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1">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4">
    <w:nsid w:val="296D6D48"/>
    <w:multiLevelType w:val="hybridMultilevel"/>
    <w:tmpl w:val="C72A16F2"/>
    <w:lvl w:ilvl="0" w:tplc="98185B86">
      <w:start w:val="5"/>
      <w:numFmt w:val="decimal"/>
      <w:lvlText w:val="%1."/>
      <w:lvlJc w:val="left"/>
      <w:pPr>
        <w:ind w:left="1080" w:hanging="72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F3958C6"/>
    <w:multiLevelType w:val="hybridMultilevel"/>
    <w:tmpl w:val="AF3063C0"/>
    <w:lvl w:ilvl="0" w:tplc="28C096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71B3455"/>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B626EA6"/>
    <w:multiLevelType w:val="hybridMultilevel"/>
    <w:tmpl w:val="976802B6"/>
    <w:lvl w:ilvl="0" w:tplc="1BEC9EE8">
      <w:start w:val="1"/>
      <w:numFmt w:val="decimal"/>
      <w:lvlText w:val="%1."/>
      <w:lvlJc w:val="left"/>
      <w:pPr>
        <w:ind w:left="928" w:hanging="360"/>
      </w:pPr>
      <w:rPr>
        <w:rFonts w:hint="default"/>
        <w:b w:val="0"/>
        <w:i w:val="0"/>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9">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1">
    <w:nsid w:val="5EBB0323"/>
    <w:multiLevelType w:val="hybridMultilevel"/>
    <w:tmpl w:val="EAC88976"/>
    <w:lvl w:ilvl="0" w:tplc="A5CE5C56">
      <w:start w:val="9"/>
      <w:numFmt w:val="decimal"/>
      <w:lvlText w:val="%1."/>
      <w:lvlJc w:val="left"/>
      <w:pPr>
        <w:ind w:left="1080" w:hanging="72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3">
    <w:nsid w:val="65A00A53"/>
    <w:multiLevelType w:val="hybridMultilevel"/>
    <w:tmpl w:val="B0367E9A"/>
    <w:lvl w:ilvl="0" w:tplc="0C09000F">
      <w:start w:val="1"/>
      <w:numFmt w:val="decimal"/>
      <w:lvlText w:val="%1."/>
      <w:lvlJc w:val="left"/>
      <w:pPr>
        <w:ind w:left="1353"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4">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5">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7">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13"/>
  </w:num>
  <w:num w:numId="2">
    <w:abstractNumId w:val="13"/>
  </w:num>
  <w:num w:numId="3">
    <w:abstractNumId w:val="13"/>
  </w:num>
  <w:num w:numId="4">
    <w:abstractNumId w:val="13"/>
  </w:num>
  <w:num w:numId="5">
    <w:abstractNumId w:val="0"/>
  </w:num>
  <w:num w:numId="6">
    <w:abstractNumId w:val="8"/>
  </w:num>
  <w:num w:numId="7">
    <w:abstractNumId w:val="9"/>
  </w:num>
  <w:num w:numId="8">
    <w:abstractNumId w:val="11"/>
  </w:num>
  <w:num w:numId="9">
    <w:abstractNumId w:val="27"/>
  </w:num>
  <w:num w:numId="10">
    <w:abstractNumId w:val="12"/>
  </w:num>
  <w:num w:numId="11">
    <w:abstractNumId w:val="25"/>
  </w:num>
  <w:num w:numId="12">
    <w:abstractNumId w:val="5"/>
  </w:num>
  <w:num w:numId="13">
    <w:abstractNumId w:val="24"/>
  </w:num>
  <w:num w:numId="14">
    <w:abstractNumId w:val="10"/>
  </w:num>
  <w:num w:numId="15">
    <w:abstractNumId w:val="20"/>
  </w:num>
  <w:num w:numId="16">
    <w:abstractNumId w:val="3"/>
  </w:num>
  <w:num w:numId="17">
    <w:abstractNumId w:val="17"/>
  </w:num>
  <w:num w:numId="18">
    <w:abstractNumId w:val="26"/>
  </w:num>
  <w:num w:numId="19">
    <w:abstractNumId w:val="19"/>
  </w:num>
  <w:num w:numId="20">
    <w:abstractNumId w:val="28"/>
  </w:num>
  <w:num w:numId="21">
    <w:abstractNumId w:val="22"/>
  </w:num>
  <w:num w:numId="22">
    <w:abstractNumId w:val="2"/>
  </w:num>
  <w:num w:numId="23">
    <w:abstractNumId w:val="16"/>
  </w:num>
  <w:num w:numId="24">
    <w:abstractNumId w:val="6"/>
  </w:num>
  <w:num w:numId="25">
    <w:abstractNumId w:val="18"/>
  </w:num>
  <w:num w:numId="26">
    <w:abstractNumId w:val="5"/>
  </w:num>
  <w:num w:numId="27">
    <w:abstractNumId w:val="23"/>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7"/>
  </w:num>
  <w:num w:numId="31">
    <w:abstractNumId w:val="15"/>
  </w:num>
  <w:num w:numId="32">
    <w:abstractNumId w:val="4"/>
  </w:num>
  <w:num w:numId="33">
    <w:abstractNumId w:val="14"/>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04F1"/>
    <w:rsid w:val="0000460D"/>
    <w:rsid w:val="000055BE"/>
    <w:rsid w:val="00012577"/>
    <w:rsid w:val="00020B12"/>
    <w:rsid w:val="000251D6"/>
    <w:rsid w:val="00033323"/>
    <w:rsid w:val="00037217"/>
    <w:rsid w:val="00044161"/>
    <w:rsid w:val="000509DE"/>
    <w:rsid w:val="000519A2"/>
    <w:rsid w:val="00065C4C"/>
    <w:rsid w:val="0007259C"/>
    <w:rsid w:val="0007569C"/>
    <w:rsid w:val="00081088"/>
    <w:rsid w:val="00086342"/>
    <w:rsid w:val="00090012"/>
    <w:rsid w:val="00090245"/>
    <w:rsid w:val="0009695A"/>
    <w:rsid w:val="000A19C7"/>
    <w:rsid w:val="000A5093"/>
    <w:rsid w:val="000A7F89"/>
    <w:rsid w:val="000B090B"/>
    <w:rsid w:val="000B5975"/>
    <w:rsid w:val="000C07CC"/>
    <w:rsid w:val="000D0C27"/>
    <w:rsid w:val="000D2696"/>
    <w:rsid w:val="000D331C"/>
    <w:rsid w:val="000F0431"/>
    <w:rsid w:val="000F40A9"/>
    <w:rsid w:val="001041C0"/>
    <w:rsid w:val="00107C87"/>
    <w:rsid w:val="00116023"/>
    <w:rsid w:val="00117718"/>
    <w:rsid w:val="00117743"/>
    <w:rsid w:val="00117F5B"/>
    <w:rsid w:val="001250E7"/>
    <w:rsid w:val="001277FA"/>
    <w:rsid w:val="00127D50"/>
    <w:rsid w:val="00140FDD"/>
    <w:rsid w:val="00141560"/>
    <w:rsid w:val="0014385B"/>
    <w:rsid w:val="00146CFA"/>
    <w:rsid w:val="001505FB"/>
    <w:rsid w:val="001508BE"/>
    <w:rsid w:val="00151524"/>
    <w:rsid w:val="001552A6"/>
    <w:rsid w:val="001620E9"/>
    <w:rsid w:val="0017294F"/>
    <w:rsid w:val="00175621"/>
    <w:rsid w:val="00176F0D"/>
    <w:rsid w:val="00182C5B"/>
    <w:rsid w:val="00182E72"/>
    <w:rsid w:val="00184EFE"/>
    <w:rsid w:val="00194D7F"/>
    <w:rsid w:val="001A149D"/>
    <w:rsid w:val="001A2B7F"/>
    <w:rsid w:val="001A60A6"/>
    <w:rsid w:val="001C0F53"/>
    <w:rsid w:val="001D1071"/>
    <w:rsid w:val="001E0F80"/>
    <w:rsid w:val="001E124D"/>
    <w:rsid w:val="001E1DD7"/>
    <w:rsid w:val="001E2178"/>
    <w:rsid w:val="001E3A78"/>
    <w:rsid w:val="001E5EB4"/>
    <w:rsid w:val="001F32B1"/>
    <w:rsid w:val="001F76BC"/>
    <w:rsid w:val="002028DD"/>
    <w:rsid w:val="00205CA3"/>
    <w:rsid w:val="00206E08"/>
    <w:rsid w:val="002073A4"/>
    <w:rsid w:val="00210093"/>
    <w:rsid w:val="0021413A"/>
    <w:rsid w:val="00220937"/>
    <w:rsid w:val="00230DDA"/>
    <w:rsid w:val="00244FF0"/>
    <w:rsid w:val="00245650"/>
    <w:rsid w:val="00284A86"/>
    <w:rsid w:val="002929EB"/>
    <w:rsid w:val="002935BE"/>
    <w:rsid w:val="00293A72"/>
    <w:rsid w:val="002960DC"/>
    <w:rsid w:val="002A548A"/>
    <w:rsid w:val="002B0DEC"/>
    <w:rsid w:val="002D3D08"/>
    <w:rsid w:val="002D5991"/>
    <w:rsid w:val="002D74F5"/>
    <w:rsid w:val="002E6443"/>
    <w:rsid w:val="002F2885"/>
    <w:rsid w:val="002F60ED"/>
    <w:rsid w:val="00304490"/>
    <w:rsid w:val="003148D3"/>
    <w:rsid w:val="00315827"/>
    <w:rsid w:val="003210C2"/>
    <w:rsid w:val="003216ED"/>
    <w:rsid w:val="00322F46"/>
    <w:rsid w:val="00342283"/>
    <w:rsid w:val="00347B47"/>
    <w:rsid w:val="003569C9"/>
    <w:rsid w:val="00360764"/>
    <w:rsid w:val="00362F63"/>
    <w:rsid w:val="003630C7"/>
    <w:rsid w:val="00373494"/>
    <w:rsid w:val="0038496D"/>
    <w:rsid w:val="00385161"/>
    <w:rsid w:val="003918BF"/>
    <w:rsid w:val="00394AAF"/>
    <w:rsid w:val="00396411"/>
    <w:rsid w:val="003A21D9"/>
    <w:rsid w:val="003A5D36"/>
    <w:rsid w:val="003B7A67"/>
    <w:rsid w:val="003C2211"/>
    <w:rsid w:val="003C234E"/>
    <w:rsid w:val="003C7905"/>
    <w:rsid w:val="003D2157"/>
    <w:rsid w:val="003D7485"/>
    <w:rsid w:val="003E045C"/>
    <w:rsid w:val="003E7505"/>
    <w:rsid w:val="003F1DF6"/>
    <w:rsid w:val="003F790A"/>
    <w:rsid w:val="0040222A"/>
    <w:rsid w:val="0040316A"/>
    <w:rsid w:val="004047BC"/>
    <w:rsid w:val="00411E9B"/>
    <w:rsid w:val="00416535"/>
    <w:rsid w:val="00421FCF"/>
    <w:rsid w:val="00423ACB"/>
    <w:rsid w:val="00425340"/>
    <w:rsid w:val="00426E25"/>
    <w:rsid w:val="0042790A"/>
    <w:rsid w:val="00433E68"/>
    <w:rsid w:val="00441A6B"/>
    <w:rsid w:val="004423E6"/>
    <w:rsid w:val="00453F94"/>
    <w:rsid w:val="00457895"/>
    <w:rsid w:val="0046387B"/>
    <w:rsid w:val="0047297B"/>
    <w:rsid w:val="004732FE"/>
    <w:rsid w:val="00483F7E"/>
    <w:rsid w:val="004873C6"/>
    <w:rsid w:val="004A37BA"/>
    <w:rsid w:val="004B70BC"/>
    <w:rsid w:val="004C5B41"/>
    <w:rsid w:val="004C6508"/>
    <w:rsid w:val="004E1C1C"/>
    <w:rsid w:val="004E2627"/>
    <w:rsid w:val="004F4447"/>
    <w:rsid w:val="0050150D"/>
    <w:rsid w:val="00503996"/>
    <w:rsid w:val="00504BC6"/>
    <w:rsid w:val="00512F0E"/>
    <w:rsid w:val="005253F1"/>
    <w:rsid w:val="005257EC"/>
    <w:rsid w:val="005303FC"/>
    <w:rsid w:val="00530A50"/>
    <w:rsid w:val="00532F5C"/>
    <w:rsid w:val="00543A1E"/>
    <w:rsid w:val="0054571C"/>
    <w:rsid w:val="00546257"/>
    <w:rsid w:val="00553AF2"/>
    <w:rsid w:val="00554FD1"/>
    <w:rsid w:val="005654B8"/>
    <w:rsid w:val="00570BC3"/>
    <w:rsid w:val="00580C27"/>
    <w:rsid w:val="005835DD"/>
    <w:rsid w:val="00587446"/>
    <w:rsid w:val="00591B49"/>
    <w:rsid w:val="005A31F8"/>
    <w:rsid w:val="005A6D6D"/>
    <w:rsid w:val="005B25C4"/>
    <w:rsid w:val="005B5AC2"/>
    <w:rsid w:val="005B78EE"/>
    <w:rsid w:val="005C47C1"/>
    <w:rsid w:val="005C4AF5"/>
    <w:rsid w:val="005D1EE0"/>
    <w:rsid w:val="005D72CE"/>
    <w:rsid w:val="005D786F"/>
    <w:rsid w:val="005E24DC"/>
    <w:rsid w:val="005E4681"/>
    <w:rsid w:val="005F1FF3"/>
    <w:rsid w:val="006038D3"/>
    <w:rsid w:val="00614B32"/>
    <w:rsid w:val="006163AB"/>
    <w:rsid w:val="006170FB"/>
    <w:rsid w:val="006275C0"/>
    <w:rsid w:val="00630155"/>
    <w:rsid w:val="006400D3"/>
    <w:rsid w:val="006419C4"/>
    <w:rsid w:val="00643D36"/>
    <w:rsid w:val="006449BB"/>
    <w:rsid w:val="00650F5B"/>
    <w:rsid w:val="006513AF"/>
    <w:rsid w:val="00655618"/>
    <w:rsid w:val="00656256"/>
    <w:rsid w:val="006627E4"/>
    <w:rsid w:val="00662B26"/>
    <w:rsid w:val="00662DAD"/>
    <w:rsid w:val="00663386"/>
    <w:rsid w:val="006719EA"/>
    <w:rsid w:val="00674E97"/>
    <w:rsid w:val="006770F2"/>
    <w:rsid w:val="00681CE0"/>
    <w:rsid w:val="0068683B"/>
    <w:rsid w:val="00692285"/>
    <w:rsid w:val="006A2598"/>
    <w:rsid w:val="006A2710"/>
    <w:rsid w:val="006B4310"/>
    <w:rsid w:val="006C07A1"/>
    <w:rsid w:val="006C668D"/>
    <w:rsid w:val="007023AB"/>
    <w:rsid w:val="00705F26"/>
    <w:rsid w:val="0071166E"/>
    <w:rsid w:val="00721FB6"/>
    <w:rsid w:val="00722DDB"/>
    <w:rsid w:val="007408F5"/>
    <w:rsid w:val="00745B5F"/>
    <w:rsid w:val="007476FD"/>
    <w:rsid w:val="00747F28"/>
    <w:rsid w:val="0075137E"/>
    <w:rsid w:val="007654C0"/>
    <w:rsid w:val="00770807"/>
    <w:rsid w:val="0077661D"/>
    <w:rsid w:val="007769A4"/>
    <w:rsid w:val="00780327"/>
    <w:rsid w:val="00787D74"/>
    <w:rsid w:val="00791E11"/>
    <w:rsid w:val="007A3A0F"/>
    <w:rsid w:val="007A3C97"/>
    <w:rsid w:val="007A4444"/>
    <w:rsid w:val="007B15D7"/>
    <w:rsid w:val="007B6A96"/>
    <w:rsid w:val="007C295B"/>
    <w:rsid w:val="007D4D33"/>
    <w:rsid w:val="007E01C6"/>
    <w:rsid w:val="007F56D2"/>
    <w:rsid w:val="0080624F"/>
    <w:rsid w:val="008139BA"/>
    <w:rsid w:val="00815F68"/>
    <w:rsid w:val="00817AF1"/>
    <w:rsid w:val="008313C4"/>
    <w:rsid w:val="0083282E"/>
    <w:rsid w:val="00850A20"/>
    <w:rsid w:val="008516CC"/>
    <w:rsid w:val="0085544C"/>
    <w:rsid w:val="0086109D"/>
    <w:rsid w:val="00861DC3"/>
    <w:rsid w:val="00863512"/>
    <w:rsid w:val="00865B2B"/>
    <w:rsid w:val="0086745F"/>
    <w:rsid w:val="0087091E"/>
    <w:rsid w:val="00872A02"/>
    <w:rsid w:val="00873176"/>
    <w:rsid w:val="008811AA"/>
    <w:rsid w:val="0088588D"/>
    <w:rsid w:val="008A27E4"/>
    <w:rsid w:val="008A32EB"/>
    <w:rsid w:val="008E22F8"/>
    <w:rsid w:val="008E47CE"/>
    <w:rsid w:val="008E63B1"/>
    <w:rsid w:val="008F70BE"/>
    <w:rsid w:val="0090268B"/>
    <w:rsid w:val="00910228"/>
    <w:rsid w:val="00922642"/>
    <w:rsid w:val="00922665"/>
    <w:rsid w:val="00923C2D"/>
    <w:rsid w:val="00930D60"/>
    <w:rsid w:val="00936A77"/>
    <w:rsid w:val="009616DF"/>
    <w:rsid w:val="0096251B"/>
    <w:rsid w:val="009641E3"/>
    <w:rsid w:val="0097479E"/>
    <w:rsid w:val="009815A9"/>
    <w:rsid w:val="00986421"/>
    <w:rsid w:val="0098759C"/>
    <w:rsid w:val="009A73E5"/>
    <w:rsid w:val="009D153B"/>
    <w:rsid w:val="009D65D7"/>
    <w:rsid w:val="009E5E99"/>
    <w:rsid w:val="009F0E42"/>
    <w:rsid w:val="00A04BDC"/>
    <w:rsid w:val="00A1772B"/>
    <w:rsid w:val="00A200EE"/>
    <w:rsid w:val="00A234B1"/>
    <w:rsid w:val="00A23F19"/>
    <w:rsid w:val="00A24D7D"/>
    <w:rsid w:val="00A37DDA"/>
    <w:rsid w:val="00A464E7"/>
    <w:rsid w:val="00A704E6"/>
    <w:rsid w:val="00A8061F"/>
    <w:rsid w:val="00AA16B6"/>
    <w:rsid w:val="00AB3398"/>
    <w:rsid w:val="00AC3FD1"/>
    <w:rsid w:val="00AD06A3"/>
    <w:rsid w:val="00AD0B03"/>
    <w:rsid w:val="00AD37A3"/>
    <w:rsid w:val="00AE7B5D"/>
    <w:rsid w:val="00B10A27"/>
    <w:rsid w:val="00B12589"/>
    <w:rsid w:val="00B17CAF"/>
    <w:rsid w:val="00B3067F"/>
    <w:rsid w:val="00B32D1A"/>
    <w:rsid w:val="00B373B0"/>
    <w:rsid w:val="00B44012"/>
    <w:rsid w:val="00B54E86"/>
    <w:rsid w:val="00B61B26"/>
    <w:rsid w:val="00B700BD"/>
    <w:rsid w:val="00B8518A"/>
    <w:rsid w:val="00B96BD8"/>
    <w:rsid w:val="00BA75DE"/>
    <w:rsid w:val="00BB0A00"/>
    <w:rsid w:val="00BB4846"/>
    <w:rsid w:val="00BC1372"/>
    <w:rsid w:val="00BC16E7"/>
    <w:rsid w:val="00BC1846"/>
    <w:rsid w:val="00BC4320"/>
    <w:rsid w:val="00BC7928"/>
    <w:rsid w:val="00BE289C"/>
    <w:rsid w:val="00BE75A5"/>
    <w:rsid w:val="00BF03D8"/>
    <w:rsid w:val="00BF158B"/>
    <w:rsid w:val="00BF6661"/>
    <w:rsid w:val="00C00907"/>
    <w:rsid w:val="00C04D9C"/>
    <w:rsid w:val="00C067E1"/>
    <w:rsid w:val="00C0715B"/>
    <w:rsid w:val="00C1505C"/>
    <w:rsid w:val="00C2295F"/>
    <w:rsid w:val="00C26CCD"/>
    <w:rsid w:val="00C3034D"/>
    <w:rsid w:val="00C345B1"/>
    <w:rsid w:val="00C36B82"/>
    <w:rsid w:val="00C40C00"/>
    <w:rsid w:val="00C52396"/>
    <w:rsid w:val="00C568A5"/>
    <w:rsid w:val="00C579D3"/>
    <w:rsid w:val="00C6059D"/>
    <w:rsid w:val="00C62099"/>
    <w:rsid w:val="00C72848"/>
    <w:rsid w:val="00C75E81"/>
    <w:rsid w:val="00C81E12"/>
    <w:rsid w:val="00C82D5A"/>
    <w:rsid w:val="00C9363A"/>
    <w:rsid w:val="00C96786"/>
    <w:rsid w:val="00CA6DDE"/>
    <w:rsid w:val="00CB0625"/>
    <w:rsid w:val="00CB7DC0"/>
    <w:rsid w:val="00CC3330"/>
    <w:rsid w:val="00CC5AF5"/>
    <w:rsid w:val="00CC768C"/>
    <w:rsid w:val="00CD1BE0"/>
    <w:rsid w:val="00CD451C"/>
    <w:rsid w:val="00CD77DE"/>
    <w:rsid w:val="00CE220F"/>
    <w:rsid w:val="00CE5E50"/>
    <w:rsid w:val="00D02AA7"/>
    <w:rsid w:val="00D044AA"/>
    <w:rsid w:val="00D11ACF"/>
    <w:rsid w:val="00D17A30"/>
    <w:rsid w:val="00D22988"/>
    <w:rsid w:val="00D25638"/>
    <w:rsid w:val="00D265AE"/>
    <w:rsid w:val="00D27945"/>
    <w:rsid w:val="00D33764"/>
    <w:rsid w:val="00D42C89"/>
    <w:rsid w:val="00D470F0"/>
    <w:rsid w:val="00D513D0"/>
    <w:rsid w:val="00D55BBF"/>
    <w:rsid w:val="00D65B1E"/>
    <w:rsid w:val="00D74B1D"/>
    <w:rsid w:val="00D80A15"/>
    <w:rsid w:val="00D829E9"/>
    <w:rsid w:val="00D840DD"/>
    <w:rsid w:val="00D841C9"/>
    <w:rsid w:val="00D92D3F"/>
    <w:rsid w:val="00D92E86"/>
    <w:rsid w:val="00D975C0"/>
    <w:rsid w:val="00D9774A"/>
    <w:rsid w:val="00DB0CBB"/>
    <w:rsid w:val="00DB0EEC"/>
    <w:rsid w:val="00DB3B7B"/>
    <w:rsid w:val="00DB42F3"/>
    <w:rsid w:val="00DB77D1"/>
    <w:rsid w:val="00DC3E7D"/>
    <w:rsid w:val="00DC5DD9"/>
    <w:rsid w:val="00DD0C69"/>
    <w:rsid w:val="00DD5638"/>
    <w:rsid w:val="00DD7F4C"/>
    <w:rsid w:val="00DE0886"/>
    <w:rsid w:val="00DE5FA6"/>
    <w:rsid w:val="00DE7143"/>
    <w:rsid w:val="00DE71E4"/>
    <w:rsid w:val="00DF0487"/>
    <w:rsid w:val="00DF6435"/>
    <w:rsid w:val="00E04CE3"/>
    <w:rsid w:val="00E07444"/>
    <w:rsid w:val="00E1681A"/>
    <w:rsid w:val="00E217A2"/>
    <w:rsid w:val="00E30907"/>
    <w:rsid w:val="00E3121D"/>
    <w:rsid w:val="00E3243A"/>
    <w:rsid w:val="00E34E0A"/>
    <w:rsid w:val="00E371EA"/>
    <w:rsid w:val="00E41C2A"/>
    <w:rsid w:val="00E608AE"/>
    <w:rsid w:val="00E619FF"/>
    <w:rsid w:val="00E62781"/>
    <w:rsid w:val="00E6311D"/>
    <w:rsid w:val="00E6625A"/>
    <w:rsid w:val="00E71A10"/>
    <w:rsid w:val="00E76967"/>
    <w:rsid w:val="00E81309"/>
    <w:rsid w:val="00E823AF"/>
    <w:rsid w:val="00E85526"/>
    <w:rsid w:val="00E85A3E"/>
    <w:rsid w:val="00E951BA"/>
    <w:rsid w:val="00E955F7"/>
    <w:rsid w:val="00EA1A20"/>
    <w:rsid w:val="00EA72B2"/>
    <w:rsid w:val="00EB758F"/>
    <w:rsid w:val="00EC03C8"/>
    <w:rsid w:val="00EC7F7B"/>
    <w:rsid w:val="00ED3AFE"/>
    <w:rsid w:val="00ED78D0"/>
    <w:rsid w:val="00EE2950"/>
    <w:rsid w:val="00EE7F0E"/>
    <w:rsid w:val="00EF14FB"/>
    <w:rsid w:val="00F0352B"/>
    <w:rsid w:val="00F1351E"/>
    <w:rsid w:val="00F15C61"/>
    <w:rsid w:val="00F15ED0"/>
    <w:rsid w:val="00F262F1"/>
    <w:rsid w:val="00F31EE1"/>
    <w:rsid w:val="00F33C2B"/>
    <w:rsid w:val="00F37CFA"/>
    <w:rsid w:val="00F41832"/>
    <w:rsid w:val="00F41CFD"/>
    <w:rsid w:val="00F51BDB"/>
    <w:rsid w:val="00F53185"/>
    <w:rsid w:val="00F534F3"/>
    <w:rsid w:val="00F54FC0"/>
    <w:rsid w:val="00F60C05"/>
    <w:rsid w:val="00F62D27"/>
    <w:rsid w:val="00F6779E"/>
    <w:rsid w:val="00F728E9"/>
    <w:rsid w:val="00F76467"/>
    <w:rsid w:val="00F76DDE"/>
    <w:rsid w:val="00F775BB"/>
    <w:rsid w:val="00F92910"/>
    <w:rsid w:val="00F95C34"/>
    <w:rsid w:val="00F96B49"/>
    <w:rsid w:val="00FA3E58"/>
    <w:rsid w:val="00FB31AE"/>
    <w:rsid w:val="00FC32C1"/>
    <w:rsid w:val="00FD00B0"/>
    <w:rsid w:val="00FD1042"/>
    <w:rsid w:val="00FD6B1F"/>
    <w:rsid w:val="00FE5096"/>
    <w:rsid w:val="00FF447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autoRedefine/>
    <w:qFormat/>
    <w:rsid w:val="001D1071"/>
    <w:pPr>
      <w:keepNext/>
      <w:spacing w:before="120" w:after="120"/>
      <w:outlineLvl w:val="2"/>
    </w:pPr>
    <w:rPr>
      <w:rFonts w:eastAsia="Calibri" w:cs="Arial"/>
      <w:b/>
      <w:bCs/>
      <w:sz w:val="24"/>
      <w:szCs w:val="24"/>
      <w:lang w:eastAsia="en-US"/>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1D1071"/>
    <w:rPr>
      <w:rFonts w:ascii="Arial" w:hAnsi="Arial" w:cs="Arial"/>
      <w:b/>
      <w:bCs/>
      <w:sz w:val="24"/>
      <w:szCs w:val="24"/>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autoRedefine/>
    <w:qFormat/>
    <w:rsid w:val="001D1071"/>
    <w:pPr>
      <w:keepNext/>
      <w:spacing w:before="120" w:after="120"/>
      <w:outlineLvl w:val="2"/>
    </w:pPr>
    <w:rPr>
      <w:rFonts w:eastAsia="Calibri" w:cs="Arial"/>
      <w:b/>
      <w:bCs/>
      <w:sz w:val="24"/>
      <w:szCs w:val="24"/>
      <w:lang w:eastAsia="en-US"/>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1D1071"/>
    <w:rPr>
      <w:rFonts w:ascii="Arial" w:hAnsi="Arial" w:cs="Arial"/>
      <w:b/>
      <w:bCs/>
      <w:sz w:val="24"/>
      <w:szCs w:val="24"/>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21707958">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0B1B32"/>
    <w:rsid w:val="000E3442"/>
    <w:rsid w:val="001339A8"/>
    <w:rsid w:val="001524F2"/>
    <w:rsid w:val="002B3B96"/>
    <w:rsid w:val="002C6384"/>
    <w:rsid w:val="002D4C43"/>
    <w:rsid w:val="003147DB"/>
    <w:rsid w:val="00415996"/>
    <w:rsid w:val="00691588"/>
    <w:rsid w:val="006B55B3"/>
    <w:rsid w:val="008364C6"/>
    <w:rsid w:val="00941C01"/>
    <w:rsid w:val="009B74D8"/>
    <w:rsid w:val="00BD6E5F"/>
    <w:rsid w:val="00CC41F7"/>
    <w:rsid w:val="00DA1B94"/>
    <w:rsid w:val="00F107E2"/>
    <w:rsid w:val="00F21B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3f1acef0-744d-4246-9640-1b1641e99d0a"/>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4.xml><?xml version="1.0" encoding="utf-8"?>
<ds:datastoreItem xmlns:ds="http://schemas.openxmlformats.org/officeDocument/2006/customXml" ds:itemID="{BE27B909-E10F-4796-93AF-45D0AB237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7</Pages>
  <Words>3246</Words>
  <Characters>18504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Decision Notice - Gillen Club</vt:lpstr>
    </vt:vector>
  </TitlesOfParts>
  <Company>Northern Territory Government</Company>
  <LinksUpToDate>false</LinksUpToDate>
  <CharactersWithSpaces>21707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Tennant Creek Memorial Club - Application for increase in Gaming Machines</dc:title>
  <dc:creator>Cindy Bravos</dc:creator>
  <cp:lastModifiedBy>Marlene Woods</cp:lastModifiedBy>
  <cp:revision>26</cp:revision>
  <cp:lastPrinted>2016-09-14T00:08:00Z</cp:lastPrinted>
  <dcterms:created xsi:type="dcterms:W3CDTF">2016-09-02T00:40:00Z</dcterms:created>
  <dcterms:modified xsi:type="dcterms:W3CDTF">2016-10-11T06:15:00Z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