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ADA237" w14:textId="77777777" w:rsidR="00F161FF" w:rsidRPr="009873E1" w:rsidRDefault="00DD72D2" w:rsidP="00E30632">
      <w:pPr>
        <w:pStyle w:val="Title"/>
        <w:spacing w:after="0" w:line="360" w:lineRule="auto"/>
        <w:jc w:val="center"/>
        <w:rPr>
          <w:bCs/>
          <w:sz w:val="28"/>
          <w:szCs w:val="28"/>
        </w:rPr>
      </w:pPr>
      <w:r w:rsidRPr="009873E1">
        <w:rPr>
          <w:bCs/>
          <w:sz w:val="28"/>
          <w:szCs w:val="28"/>
        </w:rPr>
        <w:t>Director-General of Licensing</w:t>
      </w:r>
    </w:p>
    <w:p w14:paraId="03ADA238" w14:textId="77777777" w:rsidR="00DD72D2" w:rsidRPr="00DD72D2" w:rsidRDefault="00DD72D2" w:rsidP="00DD72D2">
      <w:pPr>
        <w:pStyle w:val="Title"/>
        <w:pBdr>
          <w:bottom w:val="single" w:sz="4" w:space="1" w:color="auto"/>
        </w:pBdr>
        <w:spacing w:after="0" w:line="240" w:lineRule="auto"/>
        <w:jc w:val="center"/>
        <w:rPr>
          <w:bCs/>
        </w:rPr>
      </w:pPr>
      <w:r w:rsidRPr="009873E1">
        <w:rPr>
          <w:bCs/>
          <w:sz w:val="28"/>
          <w:szCs w:val="28"/>
        </w:rPr>
        <w:t>Decision Notice</w:t>
      </w:r>
    </w:p>
    <w:p w14:paraId="03ADA239" w14:textId="073CCE8C" w:rsidR="00F161FF" w:rsidRPr="002C0009" w:rsidRDefault="00DD72D2" w:rsidP="00DD72D2">
      <w:pPr>
        <w:tabs>
          <w:tab w:val="left" w:pos="2835"/>
        </w:tabs>
        <w:spacing w:before="240" w:after="240"/>
      </w:pPr>
      <w:r>
        <w:rPr>
          <w:b/>
        </w:rPr>
        <w:t>MATTER:</w:t>
      </w:r>
      <w:r>
        <w:rPr>
          <w:b/>
        </w:rPr>
        <w:tab/>
      </w:r>
      <w:r w:rsidR="007E4D51">
        <w:rPr>
          <w:b/>
        </w:rPr>
        <w:t>Complaint against Australian Leisure and Hospitality Group Pty Ltd</w:t>
      </w:r>
    </w:p>
    <w:p w14:paraId="03ADA23A" w14:textId="42CC750D" w:rsidR="00F161FF" w:rsidRPr="002C0009" w:rsidRDefault="00DD72D2" w:rsidP="00DD72D2">
      <w:pPr>
        <w:tabs>
          <w:tab w:val="left" w:pos="2835"/>
        </w:tabs>
        <w:spacing w:before="240" w:after="240"/>
      </w:pPr>
      <w:r w:rsidRPr="00DD72D2">
        <w:rPr>
          <w:b/>
        </w:rPr>
        <w:t>PREMISES:</w:t>
      </w:r>
      <w:r w:rsidRPr="00DD72D2">
        <w:rPr>
          <w:b/>
        </w:rPr>
        <w:tab/>
      </w:r>
      <w:r w:rsidR="007E4D51">
        <w:rPr>
          <w:b/>
        </w:rPr>
        <w:t>The Parap Tavern (Liquor Licence 80315250)</w:t>
      </w:r>
    </w:p>
    <w:p w14:paraId="03ADA23E" w14:textId="51C82B95" w:rsidR="00DD72D2" w:rsidRPr="007E4D51" w:rsidRDefault="00DD72D2" w:rsidP="00DD72D2">
      <w:pPr>
        <w:tabs>
          <w:tab w:val="left" w:pos="2835"/>
        </w:tabs>
        <w:spacing w:before="240" w:after="240"/>
        <w:rPr>
          <w:i/>
        </w:rPr>
      </w:pPr>
      <w:r w:rsidRPr="00DD72D2">
        <w:rPr>
          <w:b/>
        </w:rPr>
        <w:t>LEGISLATION:</w:t>
      </w:r>
      <w:r w:rsidRPr="00DD72D2">
        <w:rPr>
          <w:b/>
        </w:rPr>
        <w:tab/>
      </w:r>
      <w:r w:rsidR="007E4D51">
        <w:rPr>
          <w:b/>
        </w:rPr>
        <w:t xml:space="preserve">Section 119 </w:t>
      </w:r>
      <w:r w:rsidR="007E4D51">
        <w:rPr>
          <w:b/>
          <w:i/>
        </w:rPr>
        <w:t>Liquor Act</w:t>
      </w:r>
    </w:p>
    <w:p w14:paraId="03ADA23F" w14:textId="77777777" w:rsidR="00DD72D2" w:rsidRPr="00BA6C66" w:rsidRDefault="00DD72D2" w:rsidP="00DD72D2">
      <w:pPr>
        <w:tabs>
          <w:tab w:val="left" w:pos="2835"/>
        </w:tabs>
        <w:spacing w:before="240" w:after="240"/>
      </w:pPr>
      <w:r w:rsidRPr="00DD72D2">
        <w:rPr>
          <w:b/>
        </w:rPr>
        <w:t>DECISION OF:</w:t>
      </w:r>
      <w:r>
        <w:tab/>
        <w:t>Director-General of Licensing</w:t>
      </w:r>
    </w:p>
    <w:p w14:paraId="03ADA240" w14:textId="545627E5" w:rsidR="00DD72D2" w:rsidRPr="009873E1" w:rsidRDefault="00DD72D2" w:rsidP="00DD72D2">
      <w:pPr>
        <w:tabs>
          <w:tab w:val="left" w:pos="2835"/>
        </w:tabs>
        <w:spacing w:before="240" w:after="0"/>
      </w:pPr>
      <w:r w:rsidRPr="00BA6C66">
        <w:rPr>
          <w:b/>
        </w:rPr>
        <w:t>DATE OF DECISION:</w:t>
      </w:r>
      <w:r w:rsidRPr="00BA6C66">
        <w:rPr>
          <w:b/>
        </w:rPr>
        <w:tab/>
      </w:r>
      <w:r w:rsidR="009873E1" w:rsidRPr="009873E1">
        <w:t>16 June 2017</w:t>
      </w:r>
    </w:p>
    <w:p w14:paraId="03ADA241" w14:textId="77777777" w:rsidR="00F161FF" w:rsidRPr="00BA6C66" w:rsidRDefault="00F161FF" w:rsidP="00F161FF">
      <w:pPr>
        <w:pBdr>
          <w:bottom w:val="single" w:sz="4" w:space="1" w:color="auto"/>
        </w:pBdr>
        <w:rPr>
          <w:b/>
        </w:rPr>
      </w:pPr>
    </w:p>
    <w:p w14:paraId="03ADA242" w14:textId="77777777" w:rsidR="00F161FF" w:rsidRDefault="00F161FF" w:rsidP="00F161FF"/>
    <w:p w14:paraId="1A84E814" w14:textId="4EDC89A7" w:rsidR="00FF474A" w:rsidRPr="00FF474A" w:rsidRDefault="00FF474A" w:rsidP="00F161FF">
      <w:pPr>
        <w:rPr>
          <w:b/>
          <w:sz w:val="28"/>
          <w:szCs w:val="28"/>
        </w:rPr>
      </w:pPr>
      <w:r>
        <w:rPr>
          <w:b/>
          <w:sz w:val="28"/>
          <w:szCs w:val="28"/>
        </w:rPr>
        <w:t>Background</w:t>
      </w:r>
    </w:p>
    <w:p w14:paraId="78946185" w14:textId="25786F56" w:rsidR="00496B84" w:rsidRPr="009873E1" w:rsidRDefault="00496B84" w:rsidP="009873E1">
      <w:pPr>
        <w:pStyle w:val="NoSpacing"/>
        <w:spacing w:after="0"/>
        <w:jc w:val="both"/>
      </w:pPr>
      <w:bookmarkStart w:id="0" w:name="TypeHere"/>
      <w:bookmarkEnd w:id="0"/>
      <w:r w:rsidRPr="009873E1">
        <w:t>The Australian Leisure and Ho</w:t>
      </w:r>
      <w:r w:rsidR="00E34DEC">
        <w:t>spitality Group Pty Ltd is the l</w:t>
      </w:r>
      <w:r w:rsidRPr="009873E1">
        <w:t xml:space="preserve">icensee under a liquor licence issued pursuant to the </w:t>
      </w:r>
      <w:r w:rsidRPr="009873E1">
        <w:rPr>
          <w:i/>
        </w:rPr>
        <w:t>Liquor Act</w:t>
      </w:r>
      <w:r w:rsidRPr="009873E1">
        <w:t xml:space="preserve"> (the Act)</w:t>
      </w:r>
      <w:r w:rsidR="00A8624A">
        <w:t>,</w:t>
      </w:r>
      <w:r w:rsidRPr="009873E1">
        <w:t xml:space="preserve"> which provides authority to sell and supply liquor to persons both on the premises known as The Parap Tavern at 15 Parap Road, Parap and for consumption away from the premises. </w:t>
      </w:r>
    </w:p>
    <w:p w14:paraId="4E905068" w14:textId="77777777" w:rsidR="009873E1" w:rsidRPr="009873E1" w:rsidRDefault="009873E1" w:rsidP="009873E1">
      <w:pPr>
        <w:pStyle w:val="NoSpacing"/>
        <w:numPr>
          <w:ilvl w:val="0"/>
          <w:numId w:val="0"/>
        </w:numPr>
        <w:spacing w:after="0"/>
        <w:ind w:left="567"/>
        <w:jc w:val="both"/>
        <w:rPr>
          <w:rFonts w:cs="Angsana New"/>
        </w:rPr>
      </w:pPr>
    </w:p>
    <w:p w14:paraId="3B0FDC14" w14:textId="77777777" w:rsidR="00496B84" w:rsidRPr="009873E1" w:rsidRDefault="00496B84" w:rsidP="009873E1">
      <w:pPr>
        <w:pStyle w:val="NoSpacing"/>
        <w:spacing w:after="0"/>
        <w:jc w:val="both"/>
        <w:rPr>
          <w:rFonts w:cs="Angsana New"/>
        </w:rPr>
      </w:pPr>
      <w:r w:rsidRPr="009873E1">
        <w:t xml:space="preserve">The licensee also holds a licence to have and to operate gaming machines in accordance with </w:t>
      </w:r>
      <w:r w:rsidRPr="009873E1">
        <w:rPr>
          <w:rFonts w:cs="Angsana New"/>
        </w:rPr>
        <w:t xml:space="preserve">the </w:t>
      </w:r>
      <w:r w:rsidRPr="009873E1">
        <w:rPr>
          <w:rFonts w:cs="Angsana New"/>
          <w:i/>
        </w:rPr>
        <w:t>Gaming Machine Act</w:t>
      </w:r>
      <w:r w:rsidRPr="009873E1">
        <w:rPr>
          <w:rFonts w:cs="Angsana New"/>
        </w:rPr>
        <w:t>.</w:t>
      </w:r>
    </w:p>
    <w:p w14:paraId="11698D1C" w14:textId="77777777" w:rsidR="009873E1" w:rsidRPr="009873E1" w:rsidRDefault="009873E1" w:rsidP="009873E1">
      <w:pPr>
        <w:pStyle w:val="NoSpacing"/>
        <w:numPr>
          <w:ilvl w:val="0"/>
          <w:numId w:val="0"/>
        </w:numPr>
        <w:spacing w:after="0"/>
        <w:ind w:left="567"/>
        <w:jc w:val="both"/>
        <w:rPr>
          <w:rFonts w:cs="Angsana New"/>
        </w:rPr>
      </w:pPr>
    </w:p>
    <w:p w14:paraId="37B24769" w14:textId="69160AA7" w:rsidR="00496B84" w:rsidRPr="009873E1" w:rsidRDefault="00496B84" w:rsidP="009873E1">
      <w:pPr>
        <w:pStyle w:val="NoSpacing"/>
        <w:spacing w:after="0"/>
        <w:jc w:val="both"/>
        <w:rPr>
          <w:rFonts w:cs="Angsana New"/>
        </w:rPr>
      </w:pPr>
      <w:r w:rsidRPr="009873E1">
        <w:rPr>
          <w:rFonts w:cs="Angsana New"/>
        </w:rPr>
        <w:t xml:space="preserve">On 12 December 2016 and in accordance with section 68(3) of the Act, </w:t>
      </w:r>
      <w:r w:rsidR="00AC6BA9" w:rsidRPr="009873E1">
        <w:rPr>
          <w:rFonts w:cs="Angsana New"/>
        </w:rPr>
        <w:t xml:space="preserve">the </w:t>
      </w:r>
      <w:r w:rsidR="009873E1">
        <w:rPr>
          <w:rFonts w:cs="Angsana New"/>
        </w:rPr>
        <w:t>L</w:t>
      </w:r>
      <w:r w:rsidR="00AC6BA9" w:rsidRPr="009873E1">
        <w:rPr>
          <w:rFonts w:cs="Angsana New"/>
        </w:rPr>
        <w:t>icensee was notified that I had determined to accept a complaint which alleged that the licensee may have breached sect</w:t>
      </w:r>
      <w:r w:rsidRPr="009873E1">
        <w:rPr>
          <w:rFonts w:cs="Angsana New"/>
        </w:rPr>
        <w:t xml:space="preserve">ion 119 of the Act. </w:t>
      </w:r>
    </w:p>
    <w:p w14:paraId="19573128" w14:textId="77777777" w:rsidR="009873E1" w:rsidRPr="009873E1" w:rsidRDefault="009873E1" w:rsidP="009873E1">
      <w:pPr>
        <w:pStyle w:val="NoSpacing"/>
        <w:numPr>
          <w:ilvl w:val="0"/>
          <w:numId w:val="0"/>
        </w:numPr>
        <w:spacing w:after="0"/>
        <w:ind w:left="567"/>
        <w:jc w:val="both"/>
        <w:rPr>
          <w:rFonts w:cs="Angsana New"/>
        </w:rPr>
      </w:pPr>
    </w:p>
    <w:p w14:paraId="0BB3C2FA" w14:textId="07ED988E" w:rsidR="00953B75" w:rsidRPr="009873E1" w:rsidRDefault="00AC6BA9" w:rsidP="009873E1">
      <w:pPr>
        <w:pStyle w:val="NoSpacing"/>
        <w:spacing w:after="0"/>
        <w:jc w:val="both"/>
        <w:rPr>
          <w:rFonts w:cs="Angsana New"/>
        </w:rPr>
      </w:pPr>
      <w:r w:rsidRPr="009873E1">
        <w:rPr>
          <w:rFonts w:cs="Angsana New"/>
        </w:rPr>
        <w:t>The substance of the complaint</w:t>
      </w:r>
      <w:r w:rsidR="00496B84" w:rsidRPr="009873E1">
        <w:rPr>
          <w:rFonts w:cs="Angsana New"/>
        </w:rPr>
        <w:t xml:space="preserve"> was particularised as follows:</w:t>
      </w:r>
    </w:p>
    <w:p w14:paraId="41059809" w14:textId="77777777" w:rsidR="009873E1" w:rsidRPr="009873E1" w:rsidRDefault="009873E1" w:rsidP="009873E1">
      <w:pPr>
        <w:pStyle w:val="ListParagraph"/>
        <w:spacing w:after="0"/>
        <w:ind w:left="567"/>
        <w:jc w:val="both"/>
        <w:rPr>
          <w:rFonts w:cs="Angsana New"/>
          <w:i/>
        </w:rPr>
      </w:pPr>
    </w:p>
    <w:p w14:paraId="0A4B983C" w14:textId="77777777" w:rsidR="00953B75" w:rsidRPr="009873E1" w:rsidRDefault="00953B75" w:rsidP="0063574A">
      <w:pPr>
        <w:pStyle w:val="ListParagraph"/>
        <w:spacing w:after="0"/>
        <w:ind w:left="1134"/>
        <w:jc w:val="both"/>
        <w:rPr>
          <w:rFonts w:cs="Angsana New"/>
          <w:i/>
        </w:rPr>
      </w:pPr>
      <w:r w:rsidRPr="009873E1">
        <w:rPr>
          <w:rFonts w:cs="Angsana New"/>
          <w:i/>
        </w:rPr>
        <w:t>That following the Director-General’s decision to grant approval to Australian Leisure and Hospital Group Pty Ltd for an increase in gaming machines at the Parap Tavern, the licensee undertook works that:</w:t>
      </w:r>
    </w:p>
    <w:p w14:paraId="111BFE1B" w14:textId="77777777" w:rsidR="00953B75" w:rsidRPr="009873E1" w:rsidRDefault="00953B75" w:rsidP="0063574A">
      <w:pPr>
        <w:pStyle w:val="ListParagraph"/>
        <w:spacing w:after="0"/>
        <w:ind w:left="360" w:firstLine="567"/>
        <w:jc w:val="both"/>
        <w:rPr>
          <w:rFonts w:cs="Angsana New"/>
          <w:i/>
        </w:rPr>
      </w:pPr>
    </w:p>
    <w:p w14:paraId="79F01025" w14:textId="77777777" w:rsidR="00953B75" w:rsidRPr="009873E1" w:rsidRDefault="00953B75" w:rsidP="0063574A">
      <w:pPr>
        <w:pStyle w:val="ListParagraph"/>
        <w:numPr>
          <w:ilvl w:val="0"/>
          <w:numId w:val="6"/>
        </w:numPr>
        <w:spacing w:after="0"/>
        <w:ind w:firstLine="567"/>
        <w:jc w:val="both"/>
        <w:rPr>
          <w:rFonts w:cs="Angsana New"/>
          <w:i/>
        </w:rPr>
      </w:pPr>
      <w:r w:rsidRPr="009873E1">
        <w:rPr>
          <w:rFonts w:cs="Angsana New"/>
          <w:i/>
        </w:rPr>
        <w:t>Involves structural alteration;</w:t>
      </w:r>
    </w:p>
    <w:p w14:paraId="3D2E15E6" w14:textId="77777777" w:rsidR="00CC1AFB" w:rsidRPr="009873E1" w:rsidRDefault="00953B75" w:rsidP="0063574A">
      <w:pPr>
        <w:pStyle w:val="ListParagraph"/>
        <w:numPr>
          <w:ilvl w:val="0"/>
          <w:numId w:val="6"/>
        </w:numPr>
        <w:spacing w:after="0"/>
        <w:ind w:firstLine="567"/>
        <w:jc w:val="both"/>
        <w:rPr>
          <w:rFonts w:cs="Angsana New"/>
          <w:i/>
        </w:rPr>
      </w:pPr>
      <w:r w:rsidRPr="009873E1">
        <w:rPr>
          <w:rFonts w:cs="Angsana New"/>
          <w:i/>
        </w:rPr>
        <w:t>Altered access to or egress from the premises; or</w:t>
      </w:r>
    </w:p>
    <w:p w14:paraId="6165AB4C" w14:textId="2C0AEAD4" w:rsidR="00953B75" w:rsidRPr="009873E1" w:rsidRDefault="00953B75" w:rsidP="0063574A">
      <w:pPr>
        <w:pStyle w:val="ListParagraph"/>
        <w:numPr>
          <w:ilvl w:val="0"/>
          <w:numId w:val="6"/>
        </w:numPr>
        <w:spacing w:after="0"/>
        <w:ind w:firstLine="567"/>
        <w:jc w:val="both"/>
        <w:rPr>
          <w:rFonts w:cs="Angsana New"/>
          <w:i/>
        </w:rPr>
      </w:pPr>
      <w:r w:rsidRPr="009873E1">
        <w:rPr>
          <w:rFonts w:cs="Angsana New"/>
          <w:i/>
        </w:rPr>
        <w:t>Alters the external appearance of the facility.</w:t>
      </w:r>
    </w:p>
    <w:p w14:paraId="3766A3C8" w14:textId="77777777" w:rsidR="00AC6BA9" w:rsidRPr="009873E1" w:rsidRDefault="00AC6BA9" w:rsidP="009873E1">
      <w:pPr>
        <w:pStyle w:val="ListParagraph"/>
        <w:spacing w:after="0"/>
        <w:ind w:left="567"/>
        <w:jc w:val="both"/>
      </w:pPr>
    </w:p>
    <w:p w14:paraId="06446F0D" w14:textId="49F76111" w:rsidR="00496B84" w:rsidRPr="009873E1" w:rsidRDefault="00CC1AFB" w:rsidP="009873E1">
      <w:pPr>
        <w:pStyle w:val="NoSpacing"/>
        <w:spacing w:after="0"/>
        <w:jc w:val="both"/>
        <w:rPr>
          <w:rFonts w:cs="Angsana New"/>
        </w:rPr>
      </w:pPr>
      <w:r w:rsidRPr="009873E1">
        <w:rPr>
          <w:rFonts w:cs="Angsana New"/>
        </w:rPr>
        <w:t>As an aside, i</w:t>
      </w:r>
      <w:r w:rsidR="00AC6BA9" w:rsidRPr="009873E1">
        <w:rPr>
          <w:rFonts w:cs="Angsana New"/>
        </w:rPr>
        <w:t xml:space="preserve">t might be noted that in late </w:t>
      </w:r>
      <w:r w:rsidR="00496B84" w:rsidRPr="009873E1">
        <w:rPr>
          <w:rFonts w:cs="Angsana New"/>
        </w:rPr>
        <w:t xml:space="preserve">2015, </w:t>
      </w:r>
      <w:r w:rsidR="00AC6BA9" w:rsidRPr="009873E1">
        <w:rPr>
          <w:rFonts w:cs="Angsana New"/>
        </w:rPr>
        <w:t xml:space="preserve">the licensee made application pursuant to </w:t>
      </w:r>
      <w:r w:rsidR="00496B84" w:rsidRPr="009873E1">
        <w:rPr>
          <w:rFonts w:cs="Angsana New"/>
        </w:rPr>
        <w:t xml:space="preserve">section 41 of the </w:t>
      </w:r>
      <w:r w:rsidR="00496B84" w:rsidRPr="009873E1">
        <w:rPr>
          <w:rFonts w:cs="Angsana New"/>
          <w:i/>
        </w:rPr>
        <w:t>Gaming Machine Act</w:t>
      </w:r>
      <w:r w:rsidRPr="009873E1">
        <w:rPr>
          <w:rFonts w:cs="Angsana New"/>
        </w:rPr>
        <w:t xml:space="preserve"> in order to </w:t>
      </w:r>
      <w:r w:rsidR="00496B84" w:rsidRPr="009873E1">
        <w:rPr>
          <w:rFonts w:cs="Angsana New"/>
        </w:rPr>
        <w:t>increase</w:t>
      </w:r>
      <w:r w:rsidRPr="009873E1">
        <w:rPr>
          <w:rFonts w:cs="Angsana New"/>
        </w:rPr>
        <w:t xml:space="preserve"> the number of machines allowed from </w:t>
      </w:r>
      <w:r w:rsidR="00496B84" w:rsidRPr="009873E1">
        <w:rPr>
          <w:rFonts w:cs="Angsana New"/>
        </w:rPr>
        <w:t>1</w:t>
      </w:r>
      <w:r w:rsidRPr="009873E1">
        <w:rPr>
          <w:rFonts w:cs="Angsana New"/>
        </w:rPr>
        <w:t>0 machines to 20 gaming machines.  The application was granted on 11 December 2015 following consideration of the evidence submitted to support the application including various property renovations foreshadowed by the licensee to adapt the premises to suit additional gaming machines.</w:t>
      </w:r>
    </w:p>
    <w:p w14:paraId="0EA65635" w14:textId="77777777" w:rsidR="009873E1" w:rsidRPr="009873E1" w:rsidRDefault="009873E1" w:rsidP="009873E1">
      <w:pPr>
        <w:pStyle w:val="NoSpacing"/>
        <w:numPr>
          <w:ilvl w:val="0"/>
          <w:numId w:val="0"/>
        </w:numPr>
        <w:spacing w:after="0"/>
        <w:ind w:left="567"/>
        <w:jc w:val="both"/>
        <w:rPr>
          <w:rFonts w:cs="Angsana New"/>
        </w:rPr>
      </w:pPr>
    </w:p>
    <w:p w14:paraId="54A04DC3" w14:textId="211EE9A7" w:rsidR="009873E1" w:rsidRPr="009873E1" w:rsidRDefault="009873E1" w:rsidP="009873E1">
      <w:pPr>
        <w:pStyle w:val="NoSpacing"/>
        <w:spacing w:after="0"/>
        <w:jc w:val="both"/>
        <w:rPr>
          <w:rFonts w:cs="Angsana New"/>
        </w:rPr>
      </w:pPr>
      <w:r w:rsidRPr="009873E1">
        <w:t xml:space="preserve">The licensee commenced alterations to the premises in or about April 2016 which included the removal of internal walls and the installation of an additional wall to effect the changes foreshadowed to move the internal location of the gaming room reflected in the floor plan </w:t>
      </w:r>
      <w:r w:rsidRPr="009873E1">
        <w:lastRenderedPageBreak/>
        <w:t>dated Jan</w:t>
      </w:r>
      <w:r w:rsidR="00E34DEC">
        <w:t>uary</w:t>
      </w:r>
      <w:r w:rsidRPr="009873E1">
        <w:t xml:space="preserve"> 2016.  Of relevance, the undated floor plan includes a hand written amendment which depicts a ‘smoking area’ external to the premises.</w:t>
      </w:r>
    </w:p>
    <w:p w14:paraId="790CBEA2" w14:textId="77777777" w:rsidR="009873E1" w:rsidRPr="009873E1" w:rsidRDefault="009873E1" w:rsidP="009873E1">
      <w:pPr>
        <w:pStyle w:val="NoSpacing"/>
        <w:numPr>
          <w:ilvl w:val="0"/>
          <w:numId w:val="0"/>
        </w:numPr>
        <w:spacing w:after="0"/>
        <w:ind w:left="567"/>
        <w:jc w:val="both"/>
        <w:rPr>
          <w:rFonts w:cs="Angsana New"/>
        </w:rPr>
      </w:pPr>
    </w:p>
    <w:p w14:paraId="28669FA9" w14:textId="77777777" w:rsidR="00E34DEC" w:rsidRPr="00E34DEC" w:rsidRDefault="00496B84" w:rsidP="009873E1">
      <w:pPr>
        <w:pStyle w:val="NoSpacing"/>
        <w:spacing w:after="0"/>
        <w:jc w:val="both"/>
        <w:rPr>
          <w:rFonts w:cs="Angsana New"/>
        </w:rPr>
      </w:pPr>
      <w:r w:rsidRPr="009873E1">
        <w:t>On 10 June 2016</w:t>
      </w:r>
      <w:r w:rsidR="00E34DEC">
        <w:t>,</w:t>
      </w:r>
      <w:r w:rsidRPr="009873E1">
        <w:t xml:space="preserve"> Mr Terry Nixon, Principal and Director of Yellowcity Pty Ltd who had been engaged by the licensee to undertake the building projects advised that consideration was being given to moving the smokers area at the premises and stated that</w:t>
      </w:r>
      <w:r w:rsidR="00E34DEC">
        <w:t>:</w:t>
      </w:r>
    </w:p>
    <w:p w14:paraId="3FCE9D03" w14:textId="77777777" w:rsidR="00E34DEC" w:rsidRDefault="00E34DEC" w:rsidP="00E34DEC">
      <w:pPr>
        <w:pStyle w:val="ListParagraph"/>
      </w:pPr>
    </w:p>
    <w:p w14:paraId="354F8CC3" w14:textId="3E126572" w:rsidR="009873E1" w:rsidRPr="00E34DEC" w:rsidRDefault="00E34DEC" w:rsidP="00E34DEC">
      <w:pPr>
        <w:pStyle w:val="NoSpacing"/>
        <w:numPr>
          <w:ilvl w:val="0"/>
          <w:numId w:val="0"/>
        </w:numPr>
        <w:ind w:left="1080"/>
        <w:rPr>
          <w:rFonts w:cs="Angsana New"/>
          <w:i/>
        </w:rPr>
      </w:pPr>
      <w:r>
        <w:rPr>
          <w:i/>
        </w:rPr>
        <w:t>“</w:t>
      </w:r>
      <w:r w:rsidR="00496B84" w:rsidRPr="00E34DEC">
        <w:rPr>
          <w:i/>
        </w:rPr>
        <w:t>… we are considering moving the smokers area to this location sometime in the future at which time we will make a formal application as such, it does not require planning at this stage, it does have engineering approval.  While we have completed various upgrading works inside the premises, we may be undertaking the ‘Material alterations’ to the main structure sometime in the new financial year…</w:t>
      </w:r>
      <w:r>
        <w:rPr>
          <w:i/>
        </w:rPr>
        <w:t>”</w:t>
      </w:r>
      <w:r w:rsidR="00496B84" w:rsidRPr="00E34DEC">
        <w:rPr>
          <w:i/>
        </w:rPr>
        <w:t xml:space="preserve"> </w:t>
      </w:r>
    </w:p>
    <w:p w14:paraId="421778F1" w14:textId="77777777" w:rsidR="009873E1" w:rsidRPr="009873E1" w:rsidRDefault="009873E1" w:rsidP="009873E1">
      <w:pPr>
        <w:pStyle w:val="NoSpacing"/>
        <w:numPr>
          <w:ilvl w:val="0"/>
          <w:numId w:val="0"/>
        </w:numPr>
        <w:spacing w:after="0"/>
        <w:ind w:left="567"/>
        <w:jc w:val="both"/>
        <w:rPr>
          <w:rFonts w:cs="Angsana New"/>
        </w:rPr>
      </w:pPr>
    </w:p>
    <w:p w14:paraId="2DD71BE9" w14:textId="77777777" w:rsidR="009873E1" w:rsidRDefault="009873E1" w:rsidP="009873E1">
      <w:pPr>
        <w:pStyle w:val="NoSpacing"/>
        <w:spacing w:after="0"/>
        <w:jc w:val="both"/>
        <w:rPr>
          <w:rFonts w:cs="Angsana New"/>
        </w:rPr>
      </w:pPr>
      <w:r w:rsidRPr="009873E1">
        <w:rPr>
          <w:rFonts w:cs="Angsana New"/>
        </w:rPr>
        <w:t>The present complaint is not related to the internal renovations and refurbishments undertaken by the licensee in relation to the gaming machine application.</w:t>
      </w:r>
      <w:r>
        <w:rPr>
          <w:rFonts w:cs="Angsana New"/>
        </w:rPr>
        <w:t xml:space="preserve">  However, the fact that renovations, refurbishments and building works of various types were undertaken throughout 2016 is relevant to how the investigation of the present matter was initiated and progressed.</w:t>
      </w:r>
    </w:p>
    <w:p w14:paraId="19879DDB" w14:textId="77777777" w:rsidR="009873E1" w:rsidRPr="009873E1" w:rsidRDefault="009873E1" w:rsidP="009873E1">
      <w:pPr>
        <w:pStyle w:val="NoSpacing"/>
        <w:numPr>
          <w:ilvl w:val="0"/>
          <w:numId w:val="0"/>
        </w:numPr>
        <w:spacing w:after="0"/>
        <w:ind w:left="567"/>
        <w:jc w:val="both"/>
        <w:rPr>
          <w:rFonts w:cs="Angsana New"/>
        </w:rPr>
      </w:pPr>
    </w:p>
    <w:p w14:paraId="4E266DE2" w14:textId="091E9AC7" w:rsidR="00496B84" w:rsidRPr="009873E1" w:rsidRDefault="00496B84" w:rsidP="009873E1">
      <w:pPr>
        <w:pStyle w:val="NoSpacing"/>
        <w:spacing w:after="0"/>
        <w:jc w:val="both"/>
        <w:rPr>
          <w:rFonts w:cs="Angsana New"/>
        </w:rPr>
      </w:pPr>
      <w:r w:rsidRPr="009873E1">
        <w:t xml:space="preserve">At some time prior to November 2016, in addition to the internal renovations, the licensee commenced building alterations to the external premises.  The works included the construction of a smoker’s area outside of the building adjacent to Parap Road. </w:t>
      </w:r>
    </w:p>
    <w:p w14:paraId="02BF880B" w14:textId="77777777" w:rsidR="009873E1" w:rsidRPr="009873E1" w:rsidRDefault="009873E1" w:rsidP="009873E1">
      <w:pPr>
        <w:pStyle w:val="NoSpacing"/>
        <w:numPr>
          <w:ilvl w:val="0"/>
          <w:numId w:val="0"/>
        </w:numPr>
        <w:spacing w:after="0"/>
        <w:ind w:left="567"/>
        <w:jc w:val="both"/>
        <w:rPr>
          <w:rFonts w:cs="Angsana New"/>
        </w:rPr>
      </w:pPr>
    </w:p>
    <w:p w14:paraId="1A21D556" w14:textId="56E09525" w:rsidR="00496B84" w:rsidRPr="009873E1" w:rsidRDefault="00496B84" w:rsidP="009873E1">
      <w:pPr>
        <w:pStyle w:val="NoSpacing"/>
        <w:spacing w:after="0"/>
        <w:jc w:val="both"/>
        <w:rPr>
          <w:rFonts w:cs="Angsana New"/>
        </w:rPr>
      </w:pPr>
      <w:r w:rsidRPr="009873E1">
        <w:t xml:space="preserve">The new smoking area (located at the far right hand side of the premises when viewed from Parap Road) was previously an egress comprising of steps and a disabled ramp.  The area is now enclosed to accommodate an undercover smoking area. </w:t>
      </w:r>
    </w:p>
    <w:p w14:paraId="08D2CB4B" w14:textId="77777777" w:rsidR="009873E1" w:rsidRPr="009873E1" w:rsidRDefault="009873E1" w:rsidP="009873E1">
      <w:pPr>
        <w:pStyle w:val="NoSpacing"/>
        <w:numPr>
          <w:ilvl w:val="0"/>
          <w:numId w:val="0"/>
        </w:numPr>
        <w:spacing w:after="0"/>
        <w:ind w:left="567"/>
        <w:jc w:val="both"/>
        <w:rPr>
          <w:rFonts w:cs="Angsana New"/>
        </w:rPr>
      </w:pPr>
    </w:p>
    <w:p w14:paraId="3626AE6D" w14:textId="4F3B1377" w:rsidR="00496B84" w:rsidRPr="009873E1" w:rsidRDefault="00496B84" w:rsidP="009873E1">
      <w:pPr>
        <w:pStyle w:val="NoSpacing"/>
        <w:spacing w:after="0"/>
        <w:jc w:val="both"/>
        <w:rPr>
          <w:rFonts w:cs="Angsana New"/>
        </w:rPr>
      </w:pPr>
      <w:r w:rsidRPr="009873E1">
        <w:t>On 24 November 2016</w:t>
      </w:r>
      <w:r w:rsidR="00E34DEC">
        <w:t>,</w:t>
      </w:r>
      <w:r w:rsidRPr="009873E1">
        <w:t xml:space="preserve"> the Director of Building Control wrote to the licensee’s agent and confirmed that the building works had been undertaken without relevant planning and building approvals prior to work commencing.  The Director of Building Control acknowledged that a planning permit was approved by the Development Consent Authority retrospectively however</w:t>
      </w:r>
      <w:r w:rsidR="00BA6C66" w:rsidRPr="009873E1">
        <w:t>,</w:t>
      </w:r>
      <w:r w:rsidRPr="009873E1">
        <w:t xml:space="preserve"> no building permit had been obtained.  It was also noted that the planning consent was subject to an appeal in the NT Civil and Administrative Appeals Tribunal (NTCAT) and that consequently, no permit could be issued at that time. </w:t>
      </w:r>
    </w:p>
    <w:p w14:paraId="19CD9FB1" w14:textId="77777777" w:rsidR="009873E1" w:rsidRPr="009873E1" w:rsidRDefault="009873E1" w:rsidP="009873E1">
      <w:pPr>
        <w:pStyle w:val="NoSpacing"/>
        <w:numPr>
          <w:ilvl w:val="0"/>
          <w:numId w:val="0"/>
        </w:numPr>
        <w:spacing w:after="0"/>
        <w:ind w:left="567"/>
        <w:jc w:val="both"/>
        <w:rPr>
          <w:rFonts w:cs="Angsana New"/>
        </w:rPr>
      </w:pPr>
    </w:p>
    <w:p w14:paraId="5FB88926" w14:textId="5AD82CCD" w:rsidR="00BA6C66" w:rsidRPr="009873E1" w:rsidRDefault="00496B84" w:rsidP="009873E1">
      <w:pPr>
        <w:pStyle w:val="NoSpacing"/>
        <w:spacing w:after="0"/>
        <w:jc w:val="both"/>
        <w:rPr>
          <w:rFonts w:cs="Angsana New"/>
        </w:rPr>
      </w:pPr>
      <w:r w:rsidRPr="009873E1">
        <w:t>The licensee was requested to provide evidence by 16 December 2016 that the building was safe to occupy with reference to fire safety standards and the structural provisions of the National Construction Code.</w:t>
      </w:r>
    </w:p>
    <w:p w14:paraId="0074108D" w14:textId="77777777" w:rsidR="009873E1" w:rsidRPr="009873E1" w:rsidRDefault="009873E1" w:rsidP="009873E1">
      <w:pPr>
        <w:pStyle w:val="NoSpacing"/>
        <w:numPr>
          <w:ilvl w:val="0"/>
          <w:numId w:val="0"/>
        </w:numPr>
        <w:spacing w:after="0"/>
        <w:ind w:left="567"/>
        <w:jc w:val="both"/>
        <w:rPr>
          <w:rFonts w:cs="Angsana New"/>
        </w:rPr>
      </w:pPr>
    </w:p>
    <w:p w14:paraId="5890C152" w14:textId="229CFF98" w:rsidR="0095079E" w:rsidRPr="001A54CD" w:rsidRDefault="00496B84" w:rsidP="00351184">
      <w:pPr>
        <w:pStyle w:val="NoSpacing"/>
        <w:spacing w:after="0"/>
        <w:jc w:val="both"/>
        <w:rPr>
          <w:rFonts w:cs="Angsana New"/>
        </w:rPr>
      </w:pPr>
      <w:r w:rsidRPr="009873E1">
        <w:t xml:space="preserve">At some time after 6 January 2017 and in response to </w:t>
      </w:r>
      <w:r w:rsidR="00BA6C66" w:rsidRPr="009873E1">
        <w:t>my</w:t>
      </w:r>
      <w:r w:rsidRPr="009873E1">
        <w:t xml:space="preserve"> letter of 12 December 2016</w:t>
      </w:r>
      <w:r w:rsidR="00BA6C66" w:rsidRPr="009873E1">
        <w:t>,</w:t>
      </w:r>
      <w:r w:rsidRPr="009873E1">
        <w:t xml:space="preserve"> Mr Nixon advised that no structural alteration had been undertaken to the premises.  Specifically, Mr Nixon stated that </w:t>
      </w:r>
      <w:r w:rsidR="0095079E" w:rsidRPr="001A54CD">
        <w:rPr>
          <w:i/>
        </w:rPr>
        <w:t>“</w:t>
      </w:r>
      <w:r w:rsidR="00726B6F" w:rsidRPr="001A54CD">
        <w:rPr>
          <w:i/>
        </w:rPr>
        <w:t>…</w:t>
      </w:r>
      <w:r w:rsidRPr="001A54CD">
        <w:rPr>
          <w:i/>
        </w:rPr>
        <w:t xml:space="preserve">there </w:t>
      </w:r>
      <w:r w:rsidR="0095079E" w:rsidRPr="001A54CD">
        <w:rPr>
          <w:i/>
        </w:rPr>
        <w:t xml:space="preserve">has been </w:t>
      </w:r>
      <w:r w:rsidRPr="001A54CD">
        <w:rPr>
          <w:i/>
        </w:rPr>
        <w:t>no alteration to access or egress from the premises</w:t>
      </w:r>
      <w:r w:rsidR="0095079E" w:rsidRPr="001A54CD">
        <w:rPr>
          <w:i/>
        </w:rPr>
        <w:t>…</w:t>
      </w:r>
      <w:r w:rsidRPr="001A54CD">
        <w:rPr>
          <w:i/>
        </w:rPr>
        <w:t>and no impairment of ‘directions of travel’</w:t>
      </w:r>
      <w:r w:rsidR="0095079E" w:rsidRPr="001A54CD">
        <w:rPr>
          <w:i/>
        </w:rPr>
        <w:t>”</w:t>
      </w:r>
      <w:r w:rsidRPr="009873E1">
        <w:t xml:space="preserve">.  </w:t>
      </w:r>
    </w:p>
    <w:p w14:paraId="7C0639DD" w14:textId="77777777" w:rsidR="001A54CD" w:rsidRPr="001A54CD" w:rsidRDefault="001A54CD" w:rsidP="001A54CD">
      <w:pPr>
        <w:pStyle w:val="NoSpacing"/>
        <w:numPr>
          <w:ilvl w:val="0"/>
          <w:numId w:val="0"/>
        </w:numPr>
        <w:spacing w:after="0"/>
        <w:jc w:val="both"/>
        <w:rPr>
          <w:rFonts w:cs="Angsana New"/>
        </w:rPr>
      </w:pPr>
    </w:p>
    <w:p w14:paraId="25B2D48C" w14:textId="1646CA88" w:rsidR="0095079E" w:rsidRDefault="0095079E" w:rsidP="009873E1">
      <w:pPr>
        <w:pStyle w:val="NoSpacing"/>
        <w:spacing w:after="0"/>
        <w:jc w:val="both"/>
        <w:rPr>
          <w:rFonts w:cs="Angsana New"/>
        </w:rPr>
      </w:pPr>
      <w:r>
        <w:rPr>
          <w:rFonts w:cs="Angsana New"/>
        </w:rPr>
        <w:t>Mr Nixon further advised that:</w:t>
      </w:r>
    </w:p>
    <w:p w14:paraId="34D48FD6" w14:textId="77777777" w:rsidR="0095079E" w:rsidRDefault="0095079E" w:rsidP="0095079E">
      <w:pPr>
        <w:pStyle w:val="ListParagraph"/>
        <w:rPr>
          <w:rFonts w:cs="Angsana New"/>
        </w:rPr>
      </w:pPr>
    </w:p>
    <w:p w14:paraId="4455450D" w14:textId="40167B54" w:rsidR="0095079E" w:rsidRPr="0095079E" w:rsidRDefault="0095079E" w:rsidP="0095079E">
      <w:pPr>
        <w:pStyle w:val="NoSpacing"/>
        <w:numPr>
          <w:ilvl w:val="0"/>
          <w:numId w:val="0"/>
        </w:numPr>
        <w:ind w:left="1134"/>
        <w:rPr>
          <w:i/>
        </w:rPr>
      </w:pPr>
      <w:r>
        <w:rPr>
          <w:i/>
        </w:rPr>
        <w:t>“There is only minor alteration to the appearance of the premises, with the addition of a 2100 high timber and steel fence at the northeast corner of the building surrounding the existing Entry Porch constructed to preclude occupation by itinerants and which may become an additional Outdoor Smoking Area…”</w:t>
      </w:r>
    </w:p>
    <w:p w14:paraId="7CF031C9" w14:textId="77777777" w:rsidR="0095079E" w:rsidRDefault="0095079E" w:rsidP="0095079E">
      <w:pPr>
        <w:pStyle w:val="ListParagraph"/>
      </w:pPr>
    </w:p>
    <w:p w14:paraId="2C5DBFF6" w14:textId="18292153" w:rsidR="000927D9" w:rsidRPr="009873E1" w:rsidRDefault="00496B84" w:rsidP="009873E1">
      <w:pPr>
        <w:pStyle w:val="NoSpacing"/>
        <w:spacing w:after="0"/>
        <w:jc w:val="both"/>
        <w:rPr>
          <w:rFonts w:cs="Angsana New"/>
        </w:rPr>
      </w:pPr>
      <w:r w:rsidRPr="009873E1">
        <w:lastRenderedPageBreak/>
        <w:t>Mr Nixon provided copies of the advice he had received from specialists in relation to the renovations and external building works</w:t>
      </w:r>
      <w:r w:rsidR="00BA6C66" w:rsidRPr="009873E1">
        <w:t xml:space="preserve"> confirming that </w:t>
      </w:r>
      <w:r w:rsidR="000927D9" w:rsidRPr="009873E1">
        <w:t xml:space="preserve">the structural integrity of the </w:t>
      </w:r>
      <w:r w:rsidR="00ED1A9D" w:rsidRPr="009873E1">
        <w:t xml:space="preserve">existing </w:t>
      </w:r>
      <w:r w:rsidR="000927D9" w:rsidRPr="009873E1">
        <w:t>building had not been compromised.</w:t>
      </w:r>
    </w:p>
    <w:p w14:paraId="7FABB1D8" w14:textId="77777777" w:rsidR="009873E1" w:rsidRPr="009873E1" w:rsidRDefault="009873E1" w:rsidP="009873E1">
      <w:pPr>
        <w:pStyle w:val="NoSpacing"/>
        <w:numPr>
          <w:ilvl w:val="0"/>
          <w:numId w:val="0"/>
        </w:numPr>
        <w:spacing w:after="0"/>
        <w:ind w:left="567"/>
        <w:jc w:val="both"/>
        <w:rPr>
          <w:rFonts w:cs="Angsana New"/>
        </w:rPr>
      </w:pPr>
    </w:p>
    <w:p w14:paraId="635A192E" w14:textId="77777777" w:rsidR="000927D9" w:rsidRPr="009873E1" w:rsidRDefault="00496B84" w:rsidP="009873E1">
      <w:pPr>
        <w:pStyle w:val="NoSpacing"/>
        <w:spacing w:after="0"/>
        <w:jc w:val="both"/>
        <w:rPr>
          <w:rFonts w:cs="Angsana New"/>
        </w:rPr>
      </w:pPr>
      <w:r w:rsidRPr="009873E1">
        <w:t>Mr Nixon also confirmed that internal renovation and refurbishment of the premises to accommodate the additional gaming machines was commenced on 25 April 2015 following:</w:t>
      </w:r>
    </w:p>
    <w:p w14:paraId="78D2B200" w14:textId="77777777" w:rsidR="009873E1" w:rsidRPr="009873E1" w:rsidRDefault="009873E1" w:rsidP="009873E1">
      <w:pPr>
        <w:pStyle w:val="NoSpacing"/>
        <w:numPr>
          <w:ilvl w:val="0"/>
          <w:numId w:val="0"/>
        </w:numPr>
        <w:spacing w:after="0"/>
        <w:jc w:val="both"/>
        <w:rPr>
          <w:rFonts w:cs="Angsana New"/>
        </w:rPr>
      </w:pPr>
    </w:p>
    <w:p w14:paraId="7FBD2A8F" w14:textId="77777777" w:rsidR="000927D9" w:rsidRPr="009873E1" w:rsidRDefault="000927D9" w:rsidP="009873E1">
      <w:pPr>
        <w:pStyle w:val="NoSpacing"/>
        <w:numPr>
          <w:ilvl w:val="0"/>
          <w:numId w:val="13"/>
        </w:numPr>
        <w:spacing w:after="0"/>
        <w:ind w:left="992" w:hanging="425"/>
        <w:jc w:val="both"/>
      </w:pPr>
      <w:r w:rsidRPr="009873E1">
        <w:t>a development application made on 31 March 2015;</w:t>
      </w:r>
    </w:p>
    <w:p w14:paraId="1716BF4A" w14:textId="77777777" w:rsidR="000927D9" w:rsidRPr="009873E1" w:rsidRDefault="000927D9" w:rsidP="009873E1">
      <w:pPr>
        <w:pStyle w:val="NoSpacing"/>
        <w:numPr>
          <w:ilvl w:val="0"/>
          <w:numId w:val="13"/>
        </w:numPr>
        <w:spacing w:after="0"/>
        <w:ind w:left="992" w:hanging="425"/>
        <w:jc w:val="both"/>
      </w:pPr>
      <w:r w:rsidRPr="009873E1">
        <w:t>a development permit being granted on 23 July 2015; and</w:t>
      </w:r>
    </w:p>
    <w:p w14:paraId="5EB53FCA" w14:textId="77777777" w:rsidR="000927D9" w:rsidRPr="009873E1" w:rsidRDefault="000927D9" w:rsidP="009873E1">
      <w:pPr>
        <w:pStyle w:val="NoSpacing"/>
        <w:numPr>
          <w:ilvl w:val="0"/>
          <w:numId w:val="13"/>
        </w:numPr>
        <w:spacing w:after="0"/>
        <w:ind w:left="992" w:hanging="425"/>
        <w:jc w:val="both"/>
      </w:pPr>
      <w:r w:rsidRPr="009873E1">
        <w:t>completion of works on 4 December 2016.</w:t>
      </w:r>
    </w:p>
    <w:p w14:paraId="323B9FEC" w14:textId="77777777" w:rsidR="00204F65" w:rsidRDefault="00204F65" w:rsidP="009873E1">
      <w:pPr>
        <w:pStyle w:val="NoSpacing"/>
        <w:numPr>
          <w:ilvl w:val="0"/>
          <w:numId w:val="0"/>
        </w:numPr>
        <w:spacing w:after="0"/>
        <w:ind w:left="567"/>
        <w:jc w:val="both"/>
        <w:rPr>
          <w:rFonts w:cs="Angsana New"/>
        </w:rPr>
      </w:pPr>
    </w:p>
    <w:p w14:paraId="7D99ABB9" w14:textId="4932F621" w:rsidR="00FF474A" w:rsidRPr="00FF474A" w:rsidRDefault="00FF474A" w:rsidP="00FF474A">
      <w:pPr>
        <w:rPr>
          <w:b/>
          <w:sz w:val="28"/>
          <w:szCs w:val="28"/>
        </w:rPr>
      </w:pPr>
      <w:r w:rsidRPr="00FF474A">
        <w:rPr>
          <w:b/>
          <w:sz w:val="28"/>
          <w:szCs w:val="28"/>
        </w:rPr>
        <w:t>Public Hearing</w:t>
      </w:r>
    </w:p>
    <w:p w14:paraId="2FFB2322" w14:textId="73D9948B" w:rsidR="00ED1A9D" w:rsidRPr="009873E1" w:rsidRDefault="00ED1A9D" w:rsidP="009873E1">
      <w:pPr>
        <w:pStyle w:val="NoSpacing"/>
        <w:spacing w:after="0"/>
        <w:jc w:val="both"/>
        <w:rPr>
          <w:rFonts w:cs="Angsana New"/>
        </w:rPr>
      </w:pPr>
      <w:r w:rsidRPr="009873E1">
        <w:t>On 1 June 2017</w:t>
      </w:r>
      <w:r w:rsidR="006A1670">
        <w:t>,</w:t>
      </w:r>
      <w:r w:rsidRPr="009873E1">
        <w:t xml:space="preserve"> I convened a Public Hearing in relation to the complaint during which Counsel for the licensee </w:t>
      </w:r>
      <w:r w:rsidR="00204F65" w:rsidRPr="009873E1">
        <w:t>acknowledged</w:t>
      </w:r>
      <w:r w:rsidRPr="009873E1">
        <w:t xml:space="preserve"> that:</w:t>
      </w:r>
    </w:p>
    <w:p w14:paraId="4ED09204" w14:textId="77777777" w:rsidR="009873E1" w:rsidRPr="009873E1" w:rsidRDefault="009873E1" w:rsidP="009873E1">
      <w:pPr>
        <w:pStyle w:val="NoSpacing"/>
        <w:numPr>
          <w:ilvl w:val="0"/>
          <w:numId w:val="0"/>
        </w:numPr>
        <w:spacing w:after="0"/>
        <w:ind w:left="1134"/>
        <w:jc w:val="both"/>
        <w:rPr>
          <w:rFonts w:cs="Angsana New"/>
        </w:rPr>
      </w:pPr>
    </w:p>
    <w:p w14:paraId="305900EF" w14:textId="3783A44A" w:rsidR="00DC76E7" w:rsidRPr="006D4E91" w:rsidRDefault="00DC76E7" w:rsidP="009873E1">
      <w:pPr>
        <w:pStyle w:val="NoSpacing"/>
        <w:numPr>
          <w:ilvl w:val="1"/>
          <w:numId w:val="15"/>
        </w:numPr>
        <w:spacing w:after="0"/>
        <w:jc w:val="both"/>
        <w:rPr>
          <w:rFonts w:cs="Angsana New"/>
        </w:rPr>
      </w:pPr>
      <w:r>
        <w:t xml:space="preserve">at some time prior to November 2016, in addition to the internal renovations, the licensee commenced </w:t>
      </w:r>
      <w:r w:rsidR="00ED1A9D" w:rsidRPr="009873E1">
        <w:t xml:space="preserve">building </w:t>
      </w:r>
      <w:r>
        <w:t>alterations to the external premises which included the construction of a smoker’s area outside of the building adjacent to Parap Road;</w:t>
      </w:r>
      <w:r w:rsidR="006D4E91">
        <w:t xml:space="preserve"> and</w:t>
      </w:r>
    </w:p>
    <w:p w14:paraId="52AC5814" w14:textId="77777777" w:rsidR="006D4E91" w:rsidRPr="00DC76E7" w:rsidRDefault="006D4E91" w:rsidP="006D4E91">
      <w:pPr>
        <w:pStyle w:val="NoSpacing"/>
        <w:numPr>
          <w:ilvl w:val="0"/>
          <w:numId w:val="0"/>
        </w:numPr>
        <w:spacing w:after="0"/>
        <w:ind w:left="1134"/>
        <w:jc w:val="both"/>
        <w:rPr>
          <w:rFonts w:cs="Angsana New"/>
        </w:rPr>
      </w:pPr>
    </w:p>
    <w:p w14:paraId="20286DF5" w14:textId="26876134" w:rsidR="006D4E91" w:rsidRPr="006D4E91" w:rsidRDefault="00ED1A9D" w:rsidP="009873E1">
      <w:pPr>
        <w:pStyle w:val="NoSpacing"/>
        <w:numPr>
          <w:ilvl w:val="1"/>
          <w:numId w:val="15"/>
        </w:numPr>
        <w:spacing w:after="0"/>
        <w:jc w:val="both"/>
        <w:rPr>
          <w:rFonts w:cs="Angsana New"/>
        </w:rPr>
      </w:pPr>
      <w:r w:rsidRPr="009873E1">
        <w:t xml:space="preserve">that </w:t>
      </w:r>
      <w:r w:rsidR="006D4E91">
        <w:t>the new</w:t>
      </w:r>
      <w:r w:rsidR="00726B6F">
        <w:t>ly constructed</w:t>
      </w:r>
      <w:r w:rsidR="006D4E91">
        <w:t xml:space="preserve"> </w:t>
      </w:r>
      <w:r w:rsidR="00726B6F">
        <w:t xml:space="preserve">enclosed </w:t>
      </w:r>
      <w:r w:rsidR="006D4E91">
        <w:t>smoking area was previously an egress comprising of steps and a disabled ramp.</w:t>
      </w:r>
    </w:p>
    <w:p w14:paraId="5DE3F2A6" w14:textId="77777777" w:rsidR="006D4E91" w:rsidRDefault="006D4E91" w:rsidP="006D4E91">
      <w:pPr>
        <w:pStyle w:val="NoSpacing"/>
        <w:numPr>
          <w:ilvl w:val="0"/>
          <w:numId w:val="0"/>
        </w:numPr>
        <w:spacing w:after="0"/>
        <w:ind w:left="567" w:hanging="567"/>
        <w:jc w:val="both"/>
      </w:pPr>
    </w:p>
    <w:p w14:paraId="2D13C7A6" w14:textId="652EA24B" w:rsidR="00B3234A" w:rsidRPr="007D05B6" w:rsidRDefault="00F82422" w:rsidP="009873E1">
      <w:pPr>
        <w:pStyle w:val="NoSpacing"/>
        <w:spacing w:after="0"/>
        <w:jc w:val="both"/>
        <w:rPr>
          <w:rFonts w:cs="Angsana New"/>
        </w:rPr>
      </w:pPr>
      <w:r>
        <w:t xml:space="preserve">Counsel for the licensee conceded that </w:t>
      </w:r>
      <w:r w:rsidR="00ED1A9D" w:rsidRPr="009873E1">
        <w:t>the building works undertaken at the licenced premises met the definition of ‘material alteration’ as expressed in the Act</w:t>
      </w:r>
      <w:r w:rsidR="00B3234A" w:rsidRPr="009873E1">
        <w:t xml:space="preserve"> in that the access to or egress from the premises was altered and that the external appearance of the facilities was altered.  However, it was submitted that there was not sufficient evidence for me to be satisfied that the alteration of the premises amounted to a structural alteration.</w:t>
      </w:r>
    </w:p>
    <w:p w14:paraId="797AF661" w14:textId="77777777" w:rsidR="007D05B6" w:rsidRPr="007D05B6" w:rsidRDefault="007D05B6" w:rsidP="007D05B6">
      <w:pPr>
        <w:pStyle w:val="NoSpacing"/>
        <w:numPr>
          <w:ilvl w:val="0"/>
          <w:numId w:val="0"/>
        </w:numPr>
        <w:spacing w:after="0"/>
        <w:ind w:left="567"/>
        <w:jc w:val="both"/>
        <w:rPr>
          <w:rFonts w:cs="Angsana New"/>
        </w:rPr>
      </w:pPr>
    </w:p>
    <w:p w14:paraId="6DC6AA2A" w14:textId="4914F67B" w:rsidR="007D05B6" w:rsidRPr="00726B6F" w:rsidRDefault="007D05B6" w:rsidP="007D05B6">
      <w:pPr>
        <w:pStyle w:val="NoSpacing"/>
        <w:spacing w:after="0"/>
        <w:jc w:val="both"/>
        <w:rPr>
          <w:rFonts w:cs="Angsana New"/>
        </w:rPr>
      </w:pPr>
      <w:r w:rsidRPr="009873E1">
        <w:t xml:space="preserve">Counsel for the licensee </w:t>
      </w:r>
      <w:r>
        <w:t xml:space="preserve">further </w:t>
      </w:r>
      <w:r w:rsidRPr="009873E1">
        <w:t>conceded that the licensee had not submitted an application for material alterations in accordance with section 119(1) of the Act.</w:t>
      </w:r>
    </w:p>
    <w:p w14:paraId="3E0609B3" w14:textId="77777777" w:rsidR="00726B6F" w:rsidRDefault="00726B6F" w:rsidP="00726B6F">
      <w:pPr>
        <w:pStyle w:val="ListParagraph"/>
        <w:rPr>
          <w:rFonts w:cs="Angsana New"/>
        </w:rPr>
      </w:pPr>
    </w:p>
    <w:p w14:paraId="0D818CDF" w14:textId="44BB183C" w:rsidR="00726B6F" w:rsidRPr="006D4E91" w:rsidRDefault="00726B6F" w:rsidP="007D05B6">
      <w:pPr>
        <w:pStyle w:val="NoSpacing"/>
        <w:spacing w:after="0"/>
        <w:jc w:val="both"/>
        <w:rPr>
          <w:rFonts w:cs="Angsana New"/>
        </w:rPr>
      </w:pPr>
      <w:r>
        <w:rPr>
          <w:rFonts w:cs="Angsana New"/>
        </w:rPr>
        <w:t>Additionally, Counsel for the licensee ad</w:t>
      </w:r>
      <w:r w:rsidR="00544A18">
        <w:rPr>
          <w:rFonts w:cs="Angsana New"/>
        </w:rPr>
        <w:t xml:space="preserve">vised that it would be prudent for the licensee to now make an application </w:t>
      </w:r>
      <w:r w:rsidR="00544A18" w:rsidRPr="009873E1">
        <w:t>for approval for the material alteration in accordance</w:t>
      </w:r>
      <w:r w:rsidR="00544A18">
        <w:t xml:space="preserve"> with sectio</w:t>
      </w:r>
      <w:r w:rsidR="00353ABF">
        <w:t xml:space="preserve">n 119(2) of the Act and that </w:t>
      </w:r>
      <w:r w:rsidR="00544A18">
        <w:t xml:space="preserve">it would have been </w:t>
      </w:r>
      <w:r w:rsidR="00544A18">
        <w:rPr>
          <w:i/>
        </w:rPr>
        <w:t>“…prudent to do so, some time ago.”</w:t>
      </w:r>
    </w:p>
    <w:p w14:paraId="5E6B6C54" w14:textId="77777777" w:rsidR="00DC76E7" w:rsidRDefault="00DC76E7" w:rsidP="00DC76E7">
      <w:pPr>
        <w:pStyle w:val="NoSpacing"/>
        <w:numPr>
          <w:ilvl w:val="0"/>
          <w:numId w:val="0"/>
        </w:numPr>
        <w:spacing w:after="0"/>
        <w:ind w:left="567" w:hanging="567"/>
        <w:jc w:val="both"/>
      </w:pPr>
    </w:p>
    <w:p w14:paraId="5A27B3D9" w14:textId="402B63CC" w:rsidR="00DC76E7" w:rsidRPr="00DC76E7" w:rsidRDefault="00DC76E7" w:rsidP="00DC76E7">
      <w:pPr>
        <w:rPr>
          <w:b/>
          <w:sz w:val="28"/>
          <w:szCs w:val="28"/>
        </w:rPr>
      </w:pPr>
      <w:r w:rsidRPr="00DC76E7">
        <w:rPr>
          <w:b/>
          <w:sz w:val="28"/>
          <w:szCs w:val="28"/>
        </w:rPr>
        <w:t>Consideration of the Issues</w:t>
      </w:r>
    </w:p>
    <w:p w14:paraId="4440A15A" w14:textId="318EE33B" w:rsidR="007D05B6" w:rsidRDefault="007D05B6" w:rsidP="00184CCB">
      <w:pPr>
        <w:pStyle w:val="NoSpacing"/>
        <w:spacing w:after="0"/>
        <w:jc w:val="both"/>
        <w:rPr>
          <w:rFonts w:cs="Angsana New"/>
        </w:rPr>
      </w:pPr>
      <w:r>
        <w:rPr>
          <w:rFonts w:cs="Angsana New"/>
        </w:rPr>
        <w:t>Section 119(1) of the Act requires that</w:t>
      </w:r>
      <w:r w:rsidR="008F2573">
        <w:rPr>
          <w:rFonts w:cs="Angsana New"/>
        </w:rPr>
        <w:t>:</w:t>
      </w:r>
    </w:p>
    <w:p w14:paraId="7C7660AC" w14:textId="77777777" w:rsidR="007D05B6" w:rsidRDefault="007D05B6" w:rsidP="007D05B6">
      <w:pPr>
        <w:pStyle w:val="NoSpacing"/>
        <w:numPr>
          <w:ilvl w:val="0"/>
          <w:numId w:val="0"/>
        </w:numPr>
        <w:spacing w:after="0"/>
        <w:ind w:left="567" w:hanging="567"/>
        <w:jc w:val="both"/>
        <w:rPr>
          <w:rFonts w:cs="Angsana New"/>
        </w:rPr>
      </w:pPr>
    </w:p>
    <w:p w14:paraId="646794B4" w14:textId="2603724A" w:rsidR="007D05B6" w:rsidRDefault="007D05B6" w:rsidP="008F2573">
      <w:pPr>
        <w:pStyle w:val="NoSpacing"/>
        <w:numPr>
          <w:ilvl w:val="2"/>
          <w:numId w:val="15"/>
        </w:numPr>
        <w:spacing w:after="0"/>
        <w:ind w:left="1418" w:hanging="425"/>
        <w:jc w:val="both"/>
        <w:rPr>
          <w:rFonts w:cs="Angsana New"/>
          <w:i/>
        </w:rPr>
      </w:pPr>
      <w:r w:rsidRPr="008F2573">
        <w:rPr>
          <w:rFonts w:cs="Angsana New"/>
          <w:i/>
        </w:rPr>
        <w:t>A licensee must not make a material alteration to the licensee’s licensed premises without the Director-General’s approval.</w:t>
      </w:r>
    </w:p>
    <w:p w14:paraId="66CFBC8E" w14:textId="77777777" w:rsidR="008F2573" w:rsidRDefault="008F2573" w:rsidP="008F2573">
      <w:pPr>
        <w:pStyle w:val="NoSpacing"/>
        <w:numPr>
          <w:ilvl w:val="0"/>
          <w:numId w:val="0"/>
        </w:numPr>
        <w:spacing w:after="0"/>
        <w:ind w:left="1418"/>
        <w:jc w:val="both"/>
        <w:rPr>
          <w:rFonts w:cs="Angsana New"/>
          <w:i/>
        </w:rPr>
      </w:pPr>
    </w:p>
    <w:p w14:paraId="4A818567" w14:textId="00944D79" w:rsidR="008F2573" w:rsidRPr="008F2573" w:rsidRDefault="008F2573" w:rsidP="008F2573">
      <w:pPr>
        <w:pStyle w:val="NoSpacing"/>
        <w:numPr>
          <w:ilvl w:val="0"/>
          <w:numId w:val="0"/>
        </w:numPr>
        <w:spacing w:after="0"/>
        <w:ind w:left="1418"/>
        <w:jc w:val="both"/>
        <w:rPr>
          <w:rFonts w:cs="Angsana New"/>
          <w:i/>
        </w:rPr>
      </w:pPr>
      <w:r>
        <w:rPr>
          <w:rFonts w:cs="Angsana New"/>
          <w:i/>
        </w:rPr>
        <w:t>Maximum Penalty:  100 penalty units</w:t>
      </w:r>
    </w:p>
    <w:p w14:paraId="36821FA3" w14:textId="77777777" w:rsidR="007D05B6" w:rsidRDefault="007D05B6" w:rsidP="007D05B6">
      <w:pPr>
        <w:pStyle w:val="NoSpacing"/>
        <w:numPr>
          <w:ilvl w:val="0"/>
          <w:numId w:val="0"/>
        </w:numPr>
        <w:spacing w:after="0"/>
        <w:ind w:left="567"/>
        <w:jc w:val="both"/>
        <w:rPr>
          <w:rFonts w:cs="Angsana New"/>
        </w:rPr>
      </w:pPr>
    </w:p>
    <w:p w14:paraId="0D5F35BE" w14:textId="424053A6" w:rsidR="00B465C5" w:rsidRDefault="00B465C5" w:rsidP="00184CCB">
      <w:pPr>
        <w:pStyle w:val="NoSpacing"/>
        <w:spacing w:after="0"/>
        <w:jc w:val="both"/>
        <w:rPr>
          <w:rFonts w:cs="Angsana New"/>
        </w:rPr>
      </w:pPr>
      <w:r>
        <w:rPr>
          <w:rFonts w:cs="Angsana New"/>
        </w:rPr>
        <w:t>Pursuant to section 4(1) of the Act, a material alteration is defined as:</w:t>
      </w:r>
    </w:p>
    <w:p w14:paraId="4D188F5A" w14:textId="77777777" w:rsidR="00B465C5" w:rsidRDefault="00B465C5" w:rsidP="00B465C5">
      <w:pPr>
        <w:pStyle w:val="NoSpacing"/>
        <w:numPr>
          <w:ilvl w:val="0"/>
          <w:numId w:val="0"/>
        </w:numPr>
        <w:spacing w:after="0"/>
        <w:ind w:left="1287" w:hanging="567"/>
        <w:jc w:val="both"/>
        <w:rPr>
          <w:rFonts w:cs="Angsana New"/>
        </w:rPr>
      </w:pPr>
    </w:p>
    <w:p w14:paraId="38D5ECFC" w14:textId="7606CC5C" w:rsidR="00B465C5" w:rsidRDefault="00B465C5" w:rsidP="00B465C5">
      <w:pPr>
        <w:pStyle w:val="NoSpacing"/>
        <w:numPr>
          <w:ilvl w:val="0"/>
          <w:numId w:val="0"/>
        </w:numPr>
        <w:spacing w:after="0"/>
        <w:ind w:left="1287" w:hanging="567"/>
        <w:jc w:val="both"/>
        <w:rPr>
          <w:rFonts w:cs="Angsana New"/>
          <w:i/>
        </w:rPr>
      </w:pPr>
      <w:r w:rsidRPr="00B465C5">
        <w:rPr>
          <w:rFonts w:cs="Angsana New"/>
          <w:i/>
        </w:rPr>
        <w:t xml:space="preserve">     </w:t>
      </w:r>
      <w:proofErr w:type="gramStart"/>
      <w:r w:rsidRPr="00B465C5">
        <w:rPr>
          <w:rFonts w:cs="Angsana New"/>
          <w:b/>
          <w:i/>
        </w:rPr>
        <w:t>material</w:t>
      </w:r>
      <w:proofErr w:type="gramEnd"/>
      <w:r w:rsidRPr="00B465C5">
        <w:rPr>
          <w:rFonts w:cs="Angsana New"/>
          <w:b/>
          <w:i/>
        </w:rPr>
        <w:t xml:space="preserve"> alteration </w:t>
      </w:r>
      <w:r>
        <w:rPr>
          <w:rFonts w:cs="Angsana New"/>
          <w:i/>
        </w:rPr>
        <w:t>means an alteration to licensed</w:t>
      </w:r>
      <w:r w:rsidR="00B21C86">
        <w:rPr>
          <w:rFonts w:cs="Angsana New"/>
          <w:i/>
        </w:rPr>
        <w:t xml:space="preserve"> premises which:</w:t>
      </w:r>
    </w:p>
    <w:p w14:paraId="0935F50E" w14:textId="77777777" w:rsidR="00B21C86" w:rsidRDefault="00B21C86" w:rsidP="00B465C5">
      <w:pPr>
        <w:pStyle w:val="NoSpacing"/>
        <w:numPr>
          <w:ilvl w:val="0"/>
          <w:numId w:val="0"/>
        </w:numPr>
        <w:spacing w:after="0"/>
        <w:ind w:left="1287" w:hanging="567"/>
        <w:jc w:val="both"/>
        <w:rPr>
          <w:rFonts w:cs="Angsana New"/>
          <w:i/>
        </w:rPr>
      </w:pPr>
    </w:p>
    <w:p w14:paraId="7DDAE10D" w14:textId="1019EA51" w:rsidR="00B21C86" w:rsidRDefault="00122A92" w:rsidP="00B21C86">
      <w:pPr>
        <w:pStyle w:val="NoSpacing"/>
        <w:numPr>
          <w:ilvl w:val="3"/>
          <w:numId w:val="15"/>
        </w:numPr>
        <w:spacing w:after="0"/>
        <w:ind w:left="1418" w:hanging="425"/>
        <w:jc w:val="both"/>
        <w:rPr>
          <w:rFonts w:cs="Angsana New"/>
          <w:i/>
        </w:rPr>
      </w:pPr>
      <w:r>
        <w:rPr>
          <w:rFonts w:cs="Angsana New"/>
          <w:i/>
        </w:rPr>
        <w:t xml:space="preserve">increases or decreases the area used for the </w:t>
      </w:r>
      <w:r w:rsidR="00B505AC">
        <w:rPr>
          <w:rFonts w:cs="Angsana New"/>
          <w:i/>
        </w:rPr>
        <w:t>sale</w:t>
      </w:r>
      <w:r>
        <w:rPr>
          <w:rFonts w:cs="Angsana New"/>
          <w:i/>
        </w:rPr>
        <w:t xml:space="preserve"> of liquor or the sale and consumption of liquor; or</w:t>
      </w:r>
    </w:p>
    <w:p w14:paraId="71A27411" w14:textId="0125E56D" w:rsidR="00122A92" w:rsidRDefault="00122A92" w:rsidP="00B21C86">
      <w:pPr>
        <w:pStyle w:val="NoSpacing"/>
        <w:numPr>
          <w:ilvl w:val="3"/>
          <w:numId w:val="15"/>
        </w:numPr>
        <w:spacing w:after="0"/>
        <w:ind w:left="1418" w:hanging="425"/>
        <w:jc w:val="both"/>
        <w:rPr>
          <w:rFonts w:cs="Angsana New"/>
          <w:i/>
        </w:rPr>
      </w:pPr>
      <w:r>
        <w:rPr>
          <w:rFonts w:cs="Angsana New"/>
          <w:i/>
        </w:rPr>
        <w:t>involves structural alteration; or</w:t>
      </w:r>
    </w:p>
    <w:p w14:paraId="3D1B77A7" w14:textId="023F0000" w:rsidR="00122A92" w:rsidRDefault="00122A92" w:rsidP="00B21C86">
      <w:pPr>
        <w:pStyle w:val="NoSpacing"/>
        <w:numPr>
          <w:ilvl w:val="3"/>
          <w:numId w:val="15"/>
        </w:numPr>
        <w:spacing w:after="0"/>
        <w:ind w:left="1418" w:hanging="425"/>
        <w:jc w:val="both"/>
        <w:rPr>
          <w:rFonts w:cs="Angsana New"/>
          <w:i/>
        </w:rPr>
      </w:pPr>
      <w:r>
        <w:rPr>
          <w:rFonts w:cs="Angsana New"/>
          <w:i/>
        </w:rPr>
        <w:t>alters access to or egress from the premises; or</w:t>
      </w:r>
    </w:p>
    <w:p w14:paraId="3F563DB6" w14:textId="152BAEF0" w:rsidR="00122A92" w:rsidRPr="00B465C5" w:rsidRDefault="00122A92" w:rsidP="00B21C86">
      <w:pPr>
        <w:pStyle w:val="NoSpacing"/>
        <w:numPr>
          <w:ilvl w:val="3"/>
          <w:numId w:val="15"/>
        </w:numPr>
        <w:spacing w:after="0"/>
        <w:ind w:left="1418" w:hanging="425"/>
        <w:jc w:val="both"/>
        <w:rPr>
          <w:rFonts w:cs="Angsana New"/>
          <w:i/>
        </w:rPr>
      </w:pPr>
      <w:r>
        <w:rPr>
          <w:rFonts w:cs="Angsana New"/>
          <w:i/>
        </w:rPr>
        <w:lastRenderedPageBreak/>
        <w:t>alters the external appearance or facilities.</w:t>
      </w:r>
    </w:p>
    <w:p w14:paraId="189D7345" w14:textId="77777777" w:rsidR="00B465C5" w:rsidRDefault="00B465C5" w:rsidP="00B465C5">
      <w:pPr>
        <w:pStyle w:val="NoSpacing"/>
        <w:numPr>
          <w:ilvl w:val="0"/>
          <w:numId w:val="0"/>
        </w:numPr>
        <w:spacing w:after="0"/>
        <w:ind w:left="567"/>
        <w:jc w:val="both"/>
        <w:rPr>
          <w:rFonts w:cs="Angsana New"/>
        </w:rPr>
      </w:pPr>
    </w:p>
    <w:p w14:paraId="7E84A227" w14:textId="77777777" w:rsidR="00184CCB" w:rsidRDefault="009873E1" w:rsidP="00184CCB">
      <w:pPr>
        <w:pStyle w:val="NoSpacing"/>
        <w:spacing w:after="0"/>
        <w:jc w:val="both"/>
        <w:rPr>
          <w:rFonts w:cs="Angsana New"/>
        </w:rPr>
      </w:pPr>
      <w:r>
        <w:rPr>
          <w:rFonts w:cs="Angsana New"/>
        </w:rPr>
        <w:t xml:space="preserve">I am satisfied that the works undertaken by the licensee </w:t>
      </w:r>
      <w:r w:rsidR="00184CCB">
        <w:rPr>
          <w:rFonts w:cs="Angsana New"/>
        </w:rPr>
        <w:t xml:space="preserve">were </w:t>
      </w:r>
      <w:r>
        <w:rPr>
          <w:rFonts w:cs="Angsana New"/>
        </w:rPr>
        <w:t>material alterations</w:t>
      </w:r>
      <w:r w:rsidR="00184CCB">
        <w:rPr>
          <w:rFonts w:cs="Angsana New"/>
        </w:rPr>
        <w:t xml:space="preserve"> in that the works altered access to and egress from the premises and, that the external appearance of the premises has been altered.  Having reached that view, I have not further considered (and make no finding as to) whether or not the building works involved structural alteration.  The definition of ‘material alteration’ provided is in the alternative and in my view, determination of the structural nature of building works is immaterial to determination of this matter. </w:t>
      </w:r>
    </w:p>
    <w:p w14:paraId="2171CFFD" w14:textId="77777777" w:rsidR="00C772E6" w:rsidRDefault="00C772E6" w:rsidP="00C772E6">
      <w:pPr>
        <w:pStyle w:val="NoSpacing"/>
        <w:numPr>
          <w:ilvl w:val="0"/>
          <w:numId w:val="0"/>
        </w:numPr>
        <w:spacing w:after="0"/>
        <w:ind w:left="567"/>
        <w:jc w:val="both"/>
        <w:rPr>
          <w:rFonts w:cs="Angsana New"/>
        </w:rPr>
      </w:pPr>
    </w:p>
    <w:p w14:paraId="3D5B15E8" w14:textId="58CC989D" w:rsidR="00C772E6" w:rsidRDefault="00C772E6" w:rsidP="00140CFF">
      <w:pPr>
        <w:pStyle w:val="NoSpacing"/>
        <w:spacing w:after="0"/>
        <w:jc w:val="both"/>
        <w:rPr>
          <w:rFonts w:cs="Angsana New"/>
        </w:rPr>
      </w:pPr>
      <w:r w:rsidRPr="00C772E6">
        <w:rPr>
          <w:rFonts w:cs="Angsana New"/>
        </w:rPr>
        <w:t xml:space="preserve">As noted at paragraph 19, </w:t>
      </w:r>
      <w:r w:rsidRPr="009873E1">
        <w:t xml:space="preserve">Counsel for the licensee </w:t>
      </w:r>
      <w:r>
        <w:t xml:space="preserve">during the public hearing </w:t>
      </w:r>
      <w:r w:rsidRPr="009873E1">
        <w:t>conceded that the licensee had not submitted an application for material alterations in accordance with section 119(1) of the Act.</w:t>
      </w:r>
      <w:r>
        <w:t xml:space="preserve">  </w:t>
      </w:r>
      <w:r w:rsidRPr="00C772E6">
        <w:rPr>
          <w:rFonts w:cs="Angsana New"/>
        </w:rPr>
        <w:t xml:space="preserve">Had the licensee </w:t>
      </w:r>
      <w:r>
        <w:rPr>
          <w:rFonts w:cs="Angsana New"/>
        </w:rPr>
        <w:t>done so</w:t>
      </w:r>
      <w:r w:rsidRPr="00C772E6">
        <w:rPr>
          <w:rFonts w:cs="Angsana New"/>
        </w:rPr>
        <w:t>, section 119(3) would have been enlivened in that had I considered it to be in the public interest</w:t>
      </w:r>
      <w:r w:rsidR="00CF54F9">
        <w:rPr>
          <w:rFonts w:cs="Angsana New"/>
        </w:rPr>
        <w:t xml:space="preserve"> to do so</w:t>
      </w:r>
      <w:r w:rsidRPr="00C772E6">
        <w:rPr>
          <w:rFonts w:cs="Angsana New"/>
        </w:rPr>
        <w:t>, I may have required the lic</w:t>
      </w:r>
      <w:r w:rsidR="002A35BE">
        <w:rPr>
          <w:rFonts w:cs="Angsana New"/>
        </w:rPr>
        <w:t>e</w:t>
      </w:r>
      <w:r w:rsidRPr="00C772E6">
        <w:rPr>
          <w:rFonts w:cs="Angsana New"/>
        </w:rPr>
        <w:t>nsee to publish notice of the application</w:t>
      </w:r>
      <w:r>
        <w:rPr>
          <w:rFonts w:cs="Angsana New"/>
        </w:rPr>
        <w:t xml:space="preserve"> thereby allo</w:t>
      </w:r>
      <w:r w:rsidR="009C7608">
        <w:rPr>
          <w:rFonts w:cs="Angsana New"/>
        </w:rPr>
        <w:t>wing for objections to be made</w:t>
      </w:r>
      <w:r>
        <w:rPr>
          <w:rFonts w:cs="Angsana New"/>
        </w:rPr>
        <w:t xml:space="preserve"> by affected </w:t>
      </w:r>
      <w:r w:rsidR="002A35BE">
        <w:rPr>
          <w:rFonts w:cs="Angsana New"/>
        </w:rPr>
        <w:t>members of the community.</w:t>
      </w:r>
      <w:r w:rsidR="007109B2">
        <w:rPr>
          <w:rFonts w:cs="Angsana New"/>
        </w:rPr>
        <w:t xml:space="preserve">  Following of which, pursuant to section 119(8) I would have made a determination to approve or refuse to approve the material alteration.</w:t>
      </w:r>
    </w:p>
    <w:p w14:paraId="69ADD540" w14:textId="77777777" w:rsidR="00CF54F9" w:rsidRDefault="00CF54F9" w:rsidP="00CF54F9">
      <w:pPr>
        <w:pStyle w:val="ListParagraph"/>
        <w:rPr>
          <w:rFonts w:cs="Angsana New"/>
        </w:rPr>
      </w:pPr>
    </w:p>
    <w:p w14:paraId="4FAD81DD" w14:textId="4C8D2B71" w:rsidR="00FA196E" w:rsidRPr="00FA196E" w:rsidRDefault="00FA196E" w:rsidP="00FA196E">
      <w:pPr>
        <w:rPr>
          <w:b/>
          <w:sz w:val="28"/>
          <w:szCs w:val="28"/>
        </w:rPr>
      </w:pPr>
      <w:r>
        <w:rPr>
          <w:b/>
          <w:sz w:val="28"/>
          <w:szCs w:val="28"/>
        </w:rPr>
        <w:t>Decision</w:t>
      </w:r>
    </w:p>
    <w:p w14:paraId="4DFEC2E9" w14:textId="77777777" w:rsidR="00C772E6" w:rsidRPr="00C772E6" w:rsidRDefault="00C772E6" w:rsidP="00C772E6">
      <w:pPr>
        <w:pStyle w:val="NoSpacing"/>
        <w:spacing w:after="0"/>
        <w:jc w:val="both"/>
        <w:rPr>
          <w:rFonts w:cs="Angsana New"/>
        </w:rPr>
      </w:pPr>
      <w:r w:rsidRPr="009873E1">
        <w:t>Having considered all of the evidence and taking into account the appropriate concessions made on behalf of the licensee, I am satisfied that the licensee did breach the Act in that it did not seek or obtain approval to make material alterations to its premises as required by section 119(1) of the Act.</w:t>
      </w:r>
    </w:p>
    <w:p w14:paraId="418842E8" w14:textId="77777777" w:rsidR="00C772E6" w:rsidRPr="00C772E6" w:rsidRDefault="00C772E6" w:rsidP="00C772E6">
      <w:pPr>
        <w:pStyle w:val="NoSpacing"/>
        <w:numPr>
          <w:ilvl w:val="0"/>
          <w:numId w:val="0"/>
        </w:numPr>
        <w:spacing w:after="0"/>
        <w:ind w:left="567"/>
        <w:jc w:val="both"/>
        <w:rPr>
          <w:rFonts w:cs="Angsana New"/>
        </w:rPr>
      </w:pPr>
    </w:p>
    <w:p w14:paraId="2C7D0988" w14:textId="506CF53B" w:rsidR="00755E00" w:rsidRPr="009873E1" w:rsidRDefault="00F62763" w:rsidP="009873E1">
      <w:pPr>
        <w:pStyle w:val="NoSpacing"/>
        <w:spacing w:after="0"/>
        <w:jc w:val="both"/>
        <w:rPr>
          <w:rFonts w:cs="Angsana New"/>
        </w:rPr>
      </w:pPr>
      <w:r w:rsidRPr="009873E1">
        <w:t xml:space="preserve">Having made that finding and taking into account the public interest in ensuring that </w:t>
      </w:r>
      <w:r w:rsidR="00755E00" w:rsidRPr="009873E1">
        <w:t xml:space="preserve">licensees deal with licensed premises in a manner that is compliant with the Act, </w:t>
      </w:r>
      <w:r w:rsidR="00D008B8" w:rsidRPr="009873E1">
        <w:t xml:space="preserve">and to ensure that </w:t>
      </w:r>
      <w:r w:rsidR="00755E00" w:rsidRPr="009873E1">
        <w:t xml:space="preserve">material </w:t>
      </w:r>
      <w:r w:rsidRPr="009873E1">
        <w:t xml:space="preserve">alterations </w:t>
      </w:r>
      <w:r w:rsidR="00755E00" w:rsidRPr="009873E1">
        <w:t xml:space="preserve">to licensed premises </w:t>
      </w:r>
      <w:r w:rsidRPr="009873E1">
        <w:t>which have potential to affect the neighbourhood and community are dealt with transparently and in a way which allows affected people to exercise</w:t>
      </w:r>
      <w:r w:rsidR="00D008B8" w:rsidRPr="009873E1">
        <w:t xml:space="preserve"> t</w:t>
      </w:r>
      <w:r w:rsidRPr="009873E1">
        <w:t xml:space="preserve">heir </w:t>
      </w:r>
      <w:r w:rsidR="00D008B8" w:rsidRPr="009873E1">
        <w:t xml:space="preserve">right </w:t>
      </w:r>
      <w:r w:rsidRPr="009873E1">
        <w:t xml:space="preserve">to participate in </w:t>
      </w:r>
      <w:r w:rsidR="00FA196E">
        <w:t xml:space="preserve">the </w:t>
      </w:r>
      <w:r w:rsidR="00755E00" w:rsidRPr="009873E1">
        <w:t>a</w:t>
      </w:r>
      <w:r w:rsidRPr="009873E1">
        <w:t>pplication process</w:t>
      </w:r>
      <w:r w:rsidR="00755E00" w:rsidRPr="009873E1">
        <w:t>es</w:t>
      </w:r>
      <w:r w:rsidR="00D008B8" w:rsidRPr="009873E1">
        <w:t>,</w:t>
      </w:r>
      <w:r w:rsidRPr="009873E1">
        <w:t xml:space="preserve"> I have determined</w:t>
      </w:r>
      <w:r w:rsidR="00D008B8" w:rsidRPr="009873E1">
        <w:t xml:space="preserve"> to issue a written notice of my intention to take disciplinary action in accordance with section 68(5)(b)(iii) of the Act.</w:t>
      </w:r>
    </w:p>
    <w:p w14:paraId="40E25249" w14:textId="77777777" w:rsidR="009873E1" w:rsidRPr="009873E1" w:rsidRDefault="009873E1" w:rsidP="009873E1">
      <w:pPr>
        <w:pStyle w:val="NoSpacing"/>
        <w:numPr>
          <w:ilvl w:val="0"/>
          <w:numId w:val="0"/>
        </w:numPr>
        <w:spacing w:after="0"/>
        <w:ind w:left="567"/>
        <w:jc w:val="both"/>
        <w:rPr>
          <w:rFonts w:cs="Angsana New"/>
        </w:rPr>
      </w:pPr>
    </w:p>
    <w:p w14:paraId="589D975A" w14:textId="77777777" w:rsidR="00353ABF" w:rsidRPr="00353ABF" w:rsidRDefault="00D008B8" w:rsidP="009873E1">
      <w:pPr>
        <w:pStyle w:val="NoSpacing"/>
        <w:spacing w:after="0"/>
        <w:jc w:val="both"/>
        <w:rPr>
          <w:rFonts w:cs="Angsana New"/>
        </w:rPr>
      </w:pPr>
      <w:r w:rsidRPr="009873E1">
        <w:t>S</w:t>
      </w:r>
      <w:r w:rsidR="00F62763" w:rsidRPr="009873E1">
        <w:t>ection 120 of the Act</w:t>
      </w:r>
      <w:r w:rsidRPr="009873E1">
        <w:t xml:space="preserve"> permits me to direct that the premises altered without authority </w:t>
      </w:r>
      <w:r w:rsidR="00204F65" w:rsidRPr="009873E1">
        <w:t>b</w:t>
      </w:r>
      <w:r w:rsidRPr="009873E1">
        <w:t>e restored to the previous condition</w:t>
      </w:r>
      <w:r w:rsidR="00184CCB">
        <w:t xml:space="preserve"> or to some other condition</w:t>
      </w:r>
      <w:r w:rsidRPr="009873E1">
        <w:t xml:space="preserve">.  </w:t>
      </w:r>
      <w:r w:rsidR="009B6620" w:rsidRPr="009873E1">
        <w:t xml:space="preserve">Having regard to the circumstances of this case, </w:t>
      </w:r>
      <w:r w:rsidRPr="009873E1">
        <w:t xml:space="preserve">I am not minded to give such direction.  </w:t>
      </w:r>
    </w:p>
    <w:p w14:paraId="74874597" w14:textId="77777777" w:rsidR="00353ABF" w:rsidRDefault="00353ABF" w:rsidP="00353ABF">
      <w:pPr>
        <w:pStyle w:val="ListParagraph"/>
      </w:pPr>
    </w:p>
    <w:p w14:paraId="12E94116" w14:textId="30C44491" w:rsidR="00D008B8" w:rsidRPr="004522F5" w:rsidRDefault="00D008B8" w:rsidP="009873E1">
      <w:pPr>
        <w:pStyle w:val="NoSpacing"/>
        <w:spacing w:after="0"/>
        <w:jc w:val="both"/>
        <w:rPr>
          <w:rFonts w:cs="Angsana New"/>
        </w:rPr>
      </w:pPr>
      <w:r w:rsidRPr="009873E1">
        <w:t xml:space="preserve">However, as canvassed in the </w:t>
      </w:r>
      <w:r w:rsidR="004522F5">
        <w:t>p</w:t>
      </w:r>
      <w:r w:rsidRPr="009873E1">
        <w:t xml:space="preserve">ublic </w:t>
      </w:r>
      <w:r w:rsidR="004522F5">
        <w:t>h</w:t>
      </w:r>
      <w:r w:rsidRPr="009873E1">
        <w:t xml:space="preserve">earing of this matter, </w:t>
      </w:r>
      <w:r w:rsidR="009B6620" w:rsidRPr="009873E1">
        <w:t xml:space="preserve">I do require </w:t>
      </w:r>
      <w:r w:rsidRPr="009873E1">
        <w:t xml:space="preserve">the licensee </w:t>
      </w:r>
      <w:r w:rsidR="009B6620" w:rsidRPr="009873E1">
        <w:t xml:space="preserve">to </w:t>
      </w:r>
      <w:r w:rsidRPr="009873E1">
        <w:t xml:space="preserve">make application </w:t>
      </w:r>
      <w:r w:rsidR="009B6620" w:rsidRPr="009873E1">
        <w:t>for approval for the material alteration in accordance with section 119(2) of the Act.</w:t>
      </w:r>
    </w:p>
    <w:p w14:paraId="12570412" w14:textId="77777777" w:rsidR="004522F5" w:rsidRDefault="004522F5" w:rsidP="004522F5">
      <w:pPr>
        <w:pStyle w:val="ListParagraph"/>
        <w:rPr>
          <w:rFonts w:cs="Angsana New"/>
        </w:rPr>
      </w:pPr>
    </w:p>
    <w:p w14:paraId="457BA285" w14:textId="05E90D63" w:rsidR="009873E1" w:rsidRPr="004522F5" w:rsidRDefault="004522F5" w:rsidP="004522F5">
      <w:pPr>
        <w:rPr>
          <w:b/>
          <w:sz w:val="28"/>
          <w:szCs w:val="28"/>
        </w:rPr>
      </w:pPr>
      <w:r>
        <w:rPr>
          <w:b/>
          <w:sz w:val="28"/>
          <w:szCs w:val="28"/>
        </w:rPr>
        <w:t>Review of Decision</w:t>
      </w:r>
    </w:p>
    <w:p w14:paraId="225BB61F" w14:textId="69AD944F" w:rsidR="00204F65" w:rsidRPr="009873E1" w:rsidRDefault="00204F65" w:rsidP="009873E1">
      <w:pPr>
        <w:pStyle w:val="NoSpacing"/>
        <w:spacing w:after="0"/>
        <w:jc w:val="both"/>
      </w:pPr>
      <w:r w:rsidRPr="009873E1">
        <w:t xml:space="preserve">The determinations reported here, that is my decision to </w:t>
      </w:r>
      <w:r w:rsidR="00353ABF" w:rsidRPr="009873E1">
        <w:t xml:space="preserve">issue a written notice of my intention </w:t>
      </w:r>
      <w:r w:rsidR="00581588">
        <w:t xml:space="preserve">to </w:t>
      </w:r>
      <w:r w:rsidRPr="009873E1">
        <w:t xml:space="preserve">take disciplinary action in accordance with section </w:t>
      </w:r>
      <w:r w:rsidR="00565562" w:rsidRPr="009873E1">
        <w:t>68(5)(b)(iii)</w:t>
      </w:r>
      <w:r w:rsidRPr="009873E1">
        <w:t xml:space="preserve"> of the Act and my decision not to give any direction pursuant to section 120 of the Act are not reviewable decisions under the Act.</w:t>
      </w:r>
      <w:bookmarkStart w:id="1" w:name="_GoBack"/>
    </w:p>
    <w:p w14:paraId="3316A6A7" w14:textId="77777777" w:rsidR="009873E1" w:rsidRDefault="009873E1" w:rsidP="009873E1">
      <w:pPr>
        <w:spacing w:after="0"/>
        <w:jc w:val="both"/>
        <w:rPr>
          <w:b/>
        </w:rPr>
      </w:pPr>
    </w:p>
    <w:p w14:paraId="17BF437F" w14:textId="77777777" w:rsidR="009873E1" w:rsidRDefault="009873E1" w:rsidP="009873E1">
      <w:pPr>
        <w:spacing w:after="0"/>
        <w:jc w:val="both"/>
        <w:rPr>
          <w:b/>
        </w:rPr>
      </w:pPr>
    </w:p>
    <w:p w14:paraId="1F8D226D" w14:textId="77777777" w:rsidR="009873E1" w:rsidRDefault="009873E1" w:rsidP="009873E1">
      <w:pPr>
        <w:spacing w:after="0"/>
        <w:jc w:val="both"/>
        <w:rPr>
          <w:b/>
        </w:rPr>
      </w:pPr>
    </w:p>
    <w:p w14:paraId="0B40EDA1" w14:textId="77777777" w:rsidR="00184CCB" w:rsidRDefault="00184CCB" w:rsidP="009873E1">
      <w:pPr>
        <w:spacing w:after="0"/>
        <w:jc w:val="both"/>
        <w:rPr>
          <w:b/>
        </w:rPr>
      </w:pPr>
    </w:p>
    <w:bookmarkEnd w:id="1"/>
    <w:p w14:paraId="03ADA258" w14:textId="77777777" w:rsidR="00DD72D2" w:rsidRPr="009873E1" w:rsidRDefault="00DD72D2" w:rsidP="009873E1">
      <w:pPr>
        <w:spacing w:after="0"/>
        <w:jc w:val="both"/>
        <w:rPr>
          <w:b/>
        </w:rPr>
      </w:pPr>
      <w:r w:rsidRPr="009873E1">
        <w:rPr>
          <w:b/>
        </w:rPr>
        <w:t>Cindy Bravos</w:t>
      </w:r>
    </w:p>
    <w:p w14:paraId="08757EC8" w14:textId="77777777" w:rsidR="00184CCB" w:rsidRDefault="00DD72D2" w:rsidP="00DD72D2">
      <w:pPr>
        <w:spacing w:after="240"/>
      </w:pPr>
      <w:r w:rsidRPr="009873E1">
        <w:t>Director-General of Licensing</w:t>
      </w:r>
    </w:p>
    <w:p w14:paraId="03ADA25A" w14:textId="1E8D8611" w:rsidR="00DD72D2" w:rsidRPr="00DD72D2" w:rsidRDefault="00DD72D2" w:rsidP="00DD72D2">
      <w:pPr>
        <w:spacing w:after="240"/>
      </w:pPr>
      <w:r w:rsidRPr="009873E1">
        <w:t>Date</w:t>
      </w:r>
    </w:p>
    <w:sectPr w:rsidR="00DD72D2" w:rsidRPr="00DD72D2" w:rsidSect="00184CCB">
      <w:headerReference w:type="default" r:id="rId11"/>
      <w:footerReference w:type="default" r:id="rId12"/>
      <w:headerReference w:type="first" r:id="rId13"/>
      <w:footerReference w:type="first" r:id="rId14"/>
      <w:pgSz w:w="11906" w:h="16838"/>
      <w:pgMar w:top="1418" w:right="1134" w:bottom="1276" w:left="1134" w:header="709" w:footer="41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DCAB88" w14:textId="77777777" w:rsidR="002A4DCF" w:rsidRDefault="002A4DCF" w:rsidP="003E58C0">
      <w:pPr>
        <w:spacing w:after="0"/>
      </w:pPr>
      <w:r>
        <w:separator/>
      </w:r>
    </w:p>
  </w:endnote>
  <w:endnote w:type="continuationSeparator" w:id="0">
    <w:p w14:paraId="750AE6FE" w14:textId="77777777" w:rsidR="002A4DCF" w:rsidRDefault="002A4DCF" w:rsidP="003E58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38B646" w14:textId="525BE869" w:rsidR="000F4745" w:rsidRPr="00825D0D" w:rsidRDefault="000F4745" w:rsidP="000F4745">
    <w:pPr>
      <w:pBdr>
        <w:top w:val="single" w:sz="4" w:space="1" w:color="auto"/>
      </w:pBdr>
      <w:tabs>
        <w:tab w:val="right" w:pos="9638"/>
      </w:tabs>
      <w:spacing w:after="0"/>
      <w:rPr>
        <w:sz w:val="18"/>
        <w:szCs w:val="18"/>
      </w:rPr>
    </w:pPr>
    <w:r w:rsidRPr="00825D0D">
      <w:rPr>
        <w:sz w:val="18"/>
        <w:szCs w:val="18"/>
      </w:rPr>
      <w:t>Decision for</w:t>
    </w:r>
    <w:r>
      <w:rPr>
        <w:sz w:val="18"/>
        <w:szCs w:val="18"/>
      </w:rPr>
      <w:t xml:space="preserve"> Parap Tavern – Breach </w:t>
    </w:r>
    <w:r w:rsidR="00417594">
      <w:rPr>
        <w:sz w:val="18"/>
        <w:szCs w:val="18"/>
      </w:rPr>
      <w:t xml:space="preserve">of Section </w:t>
    </w:r>
    <w:r>
      <w:rPr>
        <w:sz w:val="18"/>
        <w:szCs w:val="18"/>
      </w:rPr>
      <w:t xml:space="preserve">119 of </w:t>
    </w:r>
    <w:r>
      <w:rPr>
        <w:i/>
        <w:sz w:val="18"/>
        <w:szCs w:val="18"/>
      </w:rPr>
      <w:t>Liquor Act</w:t>
    </w:r>
    <w:r w:rsidRPr="00825D0D">
      <w:rPr>
        <w:sz w:val="18"/>
        <w:szCs w:val="18"/>
      </w:rPr>
      <w:tab/>
      <w:t xml:space="preserve">Date of Decision: </w:t>
    </w:r>
    <w:r>
      <w:rPr>
        <w:sz w:val="18"/>
        <w:szCs w:val="18"/>
      </w:rPr>
      <w:t>16 June 2017</w:t>
    </w:r>
  </w:p>
  <w:p w14:paraId="03ADA262" w14:textId="11EA941B" w:rsidR="00A66342" w:rsidRPr="00047FAA" w:rsidRDefault="000F4745" w:rsidP="000F4745">
    <w:pPr>
      <w:tabs>
        <w:tab w:val="right" w:pos="9638"/>
      </w:tabs>
      <w:rPr>
        <w:sz w:val="18"/>
        <w:szCs w:val="18"/>
      </w:rPr>
    </w:pPr>
    <w:r w:rsidRPr="00825D0D">
      <w:rPr>
        <w:sz w:val="18"/>
        <w:szCs w:val="18"/>
      </w:rPr>
      <w:t xml:space="preserve">Ref# </w:t>
    </w:r>
    <w:r w:rsidR="007B0154">
      <w:rPr>
        <w:sz w:val="18"/>
        <w:szCs w:val="18"/>
      </w:rPr>
      <w:t>DOB2015/00485-0093</w:t>
    </w:r>
    <w:r w:rsidR="00825D0D" w:rsidRPr="00825D0D">
      <w:rPr>
        <w:sz w:val="18"/>
        <w:szCs w:val="18"/>
      </w:rPr>
      <w:tab/>
    </w:r>
    <w:r w:rsidR="00825D0D" w:rsidRPr="00825D0D">
      <w:rPr>
        <w:sz w:val="18"/>
        <w:szCs w:val="18"/>
      </w:rPr>
      <w:fldChar w:fldCharType="begin"/>
    </w:r>
    <w:r w:rsidR="00825D0D" w:rsidRPr="00825D0D">
      <w:rPr>
        <w:sz w:val="18"/>
        <w:szCs w:val="18"/>
      </w:rPr>
      <w:instrText xml:space="preserve"> PAGE   \* MERGEFORMAT </w:instrText>
    </w:r>
    <w:r w:rsidR="00825D0D" w:rsidRPr="00825D0D">
      <w:rPr>
        <w:sz w:val="18"/>
        <w:szCs w:val="18"/>
      </w:rPr>
      <w:fldChar w:fldCharType="separate"/>
    </w:r>
    <w:r w:rsidR="001A54CD">
      <w:rPr>
        <w:noProof/>
        <w:sz w:val="18"/>
        <w:szCs w:val="18"/>
      </w:rPr>
      <w:t>4</w:t>
    </w:r>
    <w:r w:rsidR="00825D0D" w:rsidRPr="00825D0D">
      <w:rPr>
        <w:noProof/>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DA264" w14:textId="1F242E7E" w:rsidR="00825D0D" w:rsidRPr="00825D0D" w:rsidRDefault="00825D0D" w:rsidP="00825D0D">
    <w:pPr>
      <w:pBdr>
        <w:top w:val="single" w:sz="4" w:space="1" w:color="auto"/>
      </w:pBdr>
      <w:tabs>
        <w:tab w:val="right" w:pos="9638"/>
      </w:tabs>
      <w:spacing w:after="0"/>
      <w:rPr>
        <w:sz w:val="18"/>
        <w:szCs w:val="18"/>
      </w:rPr>
    </w:pPr>
    <w:r w:rsidRPr="00825D0D">
      <w:rPr>
        <w:sz w:val="18"/>
        <w:szCs w:val="18"/>
      </w:rPr>
      <w:t>Decision for</w:t>
    </w:r>
    <w:r w:rsidR="000F4745">
      <w:rPr>
        <w:sz w:val="18"/>
        <w:szCs w:val="18"/>
      </w:rPr>
      <w:t xml:space="preserve"> Parap Tavern – Breach of Section 119 of </w:t>
    </w:r>
    <w:r w:rsidR="000F4745">
      <w:rPr>
        <w:i/>
        <w:sz w:val="18"/>
        <w:szCs w:val="18"/>
      </w:rPr>
      <w:t>Liquor Act</w:t>
    </w:r>
    <w:r w:rsidRPr="00825D0D">
      <w:rPr>
        <w:sz w:val="18"/>
        <w:szCs w:val="18"/>
      </w:rPr>
      <w:tab/>
      <w:t xml:space="preserve">Date of Decision: </w:t>
    </w:r>
    <w:r w:rsidR="000F4745">
      <w:rPr>
        <w:sz w:val="18"/>
        <w:szCs w:val="18"/>
      </w:rPr>
      <w:t>16 June 2017</w:t>
    </w:r>
  </w:p>
  <w:p w14:paraId="03ADA266" w14:textId="08E6095B" w:rsidR="00A66342" w:rsidRPr="00047FAA" w:rsidRDefault="00825D0D" w:rsidP="00047FAA">
    <w:pPr>
      <w:tabs>
        <w:tab w:val="right" w:pos="9638"/>
      </w:tabs>
      <w:rPr>
        <w:sz w:val="18"/>
        <w:szCs w:val="18"/>
      </w:rPr>
    </w:pPr>
    <w:r w:rsidRPr="00825D0D">
      <w:rPr>
        <w:sz w:val="18"/>
        <w:szCs w:val="18"/>
      </w:rPr>
      <w:t xml:space="preserve">Ref# </w:t>
    </w:r>
    <w:r w:rsidR="007B0154">
      <w:rPr>
        <w:sz w:val="18"/>
        <w:szCs w:val="18"/>
      </w:rPr>
      <w:t>DOB2015/00485-0093</w:t>
    </w:r>
    <w:r w:rsidRPr="00825D0D">
      <w:rPr>
        <w:sz w:val="18"/>
        <w:szCs w:val="18"/>
      </w:rPr>
      <w:tab/>
    </w:r>
    <w:r w:rsidRPr="00825D0D">
      <w:rPr>
        <w:sz w:val="18"/>
        <w:szCs w:val="18"/>
      </w:rPr>
      <w:fldChar w:fldCharType="begin"/>
    </w:r>
    <w:r w:rsidRPr="00825D0D">
      <w:rPr>
        <w:sz w:val="18"/>
        <w:szCs w:val="18"/>
      </w:rPr>
      <w:instrText xml:space="preserve"> PAGE   \* MERGEFORMAT </w:instrText>
    </w:r>
    <w:r w:rsidRPr="00825D0D">
      <w:rPr>
        <w:sz w:val="18"/>
        <w:szCs w:val="18"/>
      </w:rPr>
      <w:fldChar w:fldCharType="separate"/>
    </w:r>
    <w:r w:rsidR="001A54CD">
      <w:rPr>
        <w:noProof/>
        <w:sz w:val="18"/>
        <w:szCs w:val="18"/>
      </w:rPr>
      <w:t>1</w:t>
    </w:r>
    <w:r w:rsidRPr="00825D0D">
      <w:rPr>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ACC84D" w14:textId="77777777" w:rsidR="002A4DCF" w:rsidRDefault="002A4DCF" w:rsidP="003E58C0">
      <w:pPr>
        <w:spacing w:after="0"/>
      </w:pPr>
      <w:r>
        <w:separator/>
      </w:r>
    </w:p>
  </w:footnote>
  <w:footnote w:type="continuationSeparator" w:id="0">
    <w:p w14:paraId="0CC681DF" w14:textId="77777777" w:rsidR="002A4DCF" w:rsidRDefault="002A4DCF" w:rsidP="003E58C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DA25F" w14:textId="77777777" w:rsidR="008C03F0" w:rsidRDefault="008C03F0" w:rsidP="008C03F0">
    <w:pPr>
      <w:pStyle w:val="Header"/>
      <w:tabs>
        <w:tab w:val="clear" w:pos="4513"/>
        <w:tab w:val="clear" w:pos="90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8840FB" w14:textId="4B6BDE50" w:rsidR="00845ED6" w:rsidRDefault="00845ED6" w:rsidP="00845ED6">
    <w:pPr>
      <w:pStyle w:val="Header"/>
    </w:pPr>
    <w:r>
      <w:rPr>
        <w:noProof/>
        <w:lang w:eastAsia="en-AU"/>
      </w:rPr>
      <w:drawing>
        <wp:inline distT="0" distB="0" distL="0" distR="0" wp14:anchorId="1A57709F" wp14:editId="50905078">
          <wp:extent cx="1880870" cy="664210"/>
          <wp:effectExtent l="0" t="0" r="508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0870" cy="664210"/>
                  </a:xfrm>
                  <a:prstGeom prst="rect">
                    <a:avLst/>
                  </a:prstGeom>
                  <a:noFill/>
                  <a:ln>
                    <a:noFill/>
                  </a:ln>
                </pic:spPr>
              </pic:pic>
            </a:graphicData>
          </a:graphic>
        </wp:inline>
      </w:drawing>
    </w:r>
  </w:p>
  <w:p w14:paraId="69E36434" w14:textId="3068E837" w:rsidR="00845ED6" w:rsidRDefault="00845ED6" w:rsidP="00845ED6">
    <w:pPr>
      <w:pStyle w:val="Header"/>
    </w:pPr>
  </w:p>
  <w:p w14:paraId="03ADA263" w14:textId="57F9B485" w:rsidR="00A66342" w:rsidRPr="00845ED6" w:rsidRDefault="00A66342" w:rsidP="00845E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92D46"/>
    <w:multiLevelType w:val="hybridMultilevel"/>
    <w:tmpl w:val="472609B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895F47"/>
    <w:multiLevelType w:val="hybridMultilevel"/>
    <w:tmpl w:val="ECC60B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AF7F1A"/>
    <w:multiLevelType w:val="hybridMultilevel"/>
    <w:tmpl w:val="B5EA510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1995EE6"/>
    <w:multiLevelType w:val="hybridMultilevel"/>
    <w:tmpl w:val="4A32ADF0"/>
    <w:lvl w:ilvl="0" w:tplc="AB5EB1EA">
      <w:start w:val="1"/>
      <w:numFmt w:val="decimal"/>
      <w:lvlText w:val="%1."/>
      <w:lvlJc w:val="left"/>
      <w:pPr>
        <w:ind w:left="720" w:hanging="360"/>
      </w:pPr>
      <w:rPr>
        <w:rFonts w:ascii="Lato" w:hAnsi="Lato" w:hint="default"/>
      </w:rPr>
    </w:lvl>
    <w:lvl w:ilvl="1" w:tplc="521EAE58">
      <w:start w:val="1"/>
      <w:numFmt w:val="lowerLetter"/>
      <w:lvlText w:val="%2)"/>
      <w:lvlJc w:val="left"/>
      <w:pPr>
        <w:ind w:left="1134" w:hanging="567"/>
      </w:pPr>
      <w:rPr>
        <w:rFonts w:hint="default"/>
      </w:rPr>
    </w:lvl>
    <w:lvl w:ilvl="2" w:tplc="A03467F4">
      <w:start w:val="1"/>
      <w:numFmt w:val="decimal"/>
      <w:lvlText w:val="(%3)"/>
      <w:lvlJc w:val="left"/>
      <w:pPr>
        <w:ind w:left="2340" w:hanging="360"/>
      </w:pPr>
      <w:rPr>
        <w:rFonts w:hint="default"/>
      </w:rPr>
    </w:lvl>
    <w:lvl w:ilvl="3" w:tplc="493279DA">
      <w:start w:val="1"/>
      <w:numFmt w:val="lowerLetter"/>
      <w:lvlText w:val="(%4)"/>
      <w:lvlJc w:val="lef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08C4B9D"/>
    <w:multiLevelType w:val="hybridMultilevel"/>
    <w:tmpl w:val="006C886E"/>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5" w15:restartNumberingAfterBreak="0">
    <w:nsid w:val="21D773DF"/>
    <w:multiLevelType w:val="hybridMultilevel"/>
    <w:tmpl w:val="E5685E3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B3C691C"/>
    <w:multiLevelType w:val="hybridMultilevel"/>
    <w:tmpl w:val="59D4A55A"/>
    <w:lvl w:ilvl="0" w:tplc="CAFEEA62">
      <w:start w:val="1"/>
      <w:numFmt w:val="decimal"/>
      <w:lvlText w:val="%1."/>
      <w:lvlJc w:val="left"/>
      <w:pPr>
        <w:tabs>
          <w:tab w:val="num" w:pos="900"/>
        </w:tabs>
        <w:ind w:left="900" w:hanging="54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2FA80B3D"/>
    <w:multiLevelType w:val="hybridMultilevel"/>
    <w:tmpl w:val="C09A87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3185653"/>
    <w:multiLevelType w:val="hybridMultilevel"/>
    <w:tmpl w:val="DE863BEE"/>
    <w:lvl w:ilvl="0" w:tplc="521EAE58">
      <w:start w:val="1"/>
      <w:numFmt w:val="lowerLetter"/>
      <w:lvlText w:val="%1)"/>
      <w:lvlJc w:val="left"/>
      <w:pPr>
        <w:ind w:left="1134"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343411D"/>
    <w:multiLevelType w:val="hybridMultilevel"/>
    <w:tmpl w:val="8E92F998"/>
    <w:lvl w:ilvl="0" w:tplc="0C090001">
      <w:start w:val="1"/>
      <w:numFmt w:val="bullet"/>
      <w:lvlText w:val=""/>
      <w:lvlJc w:val="left"/>
      <w:pPr>
        <w:ind w:left="927" w:hanging="360"/>
      </w:pPr>
      <w:rPr>
        <w:rFonts w:ascii="Symbol" w:hAnsi="Symbol" w:hint="default"/>
      </w:rPr>
    </w:lvl>
    <w:lvl w:ilvl="1" w:tplc="0C090001">
      <w:start w:val="1"/>
      <w:numFmt w:val="bullet"/>
      <w:lvlText w:val=""/>
      <w:lvlJc w:val="left"/>
      <w:pPr>
        <w:ind w:left="1647" w:hanging="360"/>
      </w:pPr>
      <w:rPr>
        <w:rFonts w:ascii="Symbol" w:hAnsi="Symbol" w:hint="default"/>
      </w:r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0" w15:restartNumberingAfterBreak="0">
    <w:nsid w:val="35C20893"/>
    <w:multiLevelType w:val="hybridMultilevel"/>
    <w:tmpl w:val="200E063A"/>
    <w:lvl w:ilvl="0" w:tplc="0C090001">
      <w:start w:val="1"/>
      <w:numFmt w:val="bullet"/>
      <w:lvlText w:val=""/>
      <w:lvlJc w:val="left"/>
      <w:pPr>
        <w:ind w:left="927" w:hanging="360"/>
      </w:pPr>
      <w:rPr>
        <w:rFonts w:ascii="Symbol" w:hAnsi="Symbol" w:hint="default"/>
      </w:rPr>
    </w:lvl>
    <w:lvl w:ilvl="1" w:tplc="0C090001">
      <w:start w:val="1"/>
      <w:numFmt w:val="bullet"/>
      <w:lvlText w:val=""/>
      <w:lvlJc w:val="left"/>
      <w:pPr>
        <w:ind w:left="1647" w:hanging="360"/>
      </w:pPr>
      <w:rPr>
        <w:rFonts w:ascii="Symbol" w:hAnsi="Symbol" w:hint="default"/>
      </w:r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1" w15:restartNumberingAfterBreak="0">
    <w:nsid w:val="6FF13C54"/>
    <w:multiLevelType w:val="hybridMultilevel"/>
    <w:tmpl w:val="9228B64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72A62202"/>
    <w:multiLevelType w:val="hybridMultilevel"/>
    <w:tmpl w:val="582CED9C"/>
    <w:lvl w:ilvl="0" w:tplc="AB5EB1EA">
      <w:start w:val="1"/>
      <w:numFmt w:val="decimal"/>
      <w:pStyle w:val="NoSpacing"/>
      <w:lvlText w:val="%1."/>
      <w:lvlJc w:val="left"/>
      <w:pPr>
        <w:ind w:left="720" w:hanging="360"/>
      </w:pPr>
      <w:rPr>
        <w:rFonts w:ascii="Lato" w:hAnsi="Lato"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31A7A5F"/>
    <w:multiLevelType w:val="hybridMultilevel"/>
    <w:tmpl w:val="762C11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38C24D8"/>
    <w:multiLevelType w:val="hybridMultilevel"/>
    <w:tmpl w:val="78C6C10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7234AC1"/>
    <w:multiLevelType w:val="hybridMultilevel"/>
    <w:tmpl w:val="4926A34A"/>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93D72B6"/>
    <w:multiLevelType w:val="hybridMultilevel"/>
    <w:tmpl w:val="0340135A"/>
    <w:lvl w:ilvl="0" w:tplc="B91AB0E6">
      <w:start w:val="1"/>
      <w:numFmt w:val="bullet"/>
      <w:lvlText w:val=""/>
      <w:lvlJc w:val="left"/>
      <w:pPr>
        <w:ind w:left="720" w:hanging="72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13"/>
  </w:num>
  <w:num w:numId="4">
    <w:abstractNumId w:val="12"/>
  </w:num>
  <w:num w:numId="5">
    <w:abstractNumId w:val="7"/>
  </w:num>
  <w:num w:numId="6">
    <w:abstractNumId w:val="4"/>
  </w:num>
  <w:num w:numId="7">
    <w:abstractNumId w:val="15"/>
  </w:num>
  <w:num w:numId="8">
    <w:abstractNumId w:val="14"/>
  </w:num>
  <w:num w:numId="9">
    <w:abstractNumId w:val="2"/>
  </w:num>
  <w:num w:numId="10">
    <w:abstractNumId w:val="1"/>
  </w:num>
  <w:num w:numId="11">
    <w:abstractNumId w:val="0"/>
  </w:num>
  <w:num w:numId="12">
    <w:abstractNumId w:val="16"/>
  </w:num>
  <w:num w:numId="13">
    <w:abstractNumId w:val="9"/>
  </w:num>
  <w:num w:numId="14">
    <w:abstractNumId w:val="10"/>
  </w:num>
  <w:num w:numId="15">
    <w:abstractNumId w:val="3"/>
  </w:num>
  <w:num w:numId="16">
    <w:abstractNumId w:val="5"/>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117"/>
    <w:rsid w:val="00047FAA"/>
    <w:rsid w:val="000927D9"/>
    <w:rsid w:val="000F4745"/>
    <w:rsid w:val="001138E8"/>
    <w:rsid w:val="00122A92"/>
    <w:rsid w:val="00154B6F"/>
    <w:rsid w:val="001606E6"/>
    <w:rsid w:val="00184CCB"/>
    <w:rsid w:val="001A54CD"/>
    <w:rsid w:val="001E6FF6"/>
    <w:rsid w:val="00204F65"/>
    <w:rsid w:val="002A35BE"/>
    <w:rsid w:val="002A4DCF"/>
    <w:rsid w:val="002C0009"/>
    <w:rsid w:val="002C03C1"/>
    <w:rsid w:val="002D2C9C"/>
    <w:rsid w:val="002F0817"/>
    <w:rsid w:val="00353ABF"/>
    <w:rsid w:val="003E309D"/>
    <w:rsid w:val="003E58C0"/>
    <w:rsid w:val="00417594"/>
    <w:rsid w:val="00424BE1"/>
    <w:rsid w:val="004500C5"/>
    <w:rsid w:val="004522F5"/>
    <w:rsid w:val="004827C5"/>
    <w:rsid w:val="00496B84"/>
    <w:rsid w:val="00516B5B"/>
    <w:rsid w:val="00540117"/>
    <w:rsid w:val="00544A18"/>
    <w:rsid w:val="00565562"/>
    <w:rsid w:val="00581588"/>
    <w:rsid w:val="005A0B41"/>
    <w:rsid w:val="00611615"/>
    <w:rsid w:val="0063134A"/>
    <w:rsid w:val="0063574A"/>
    <w:rsid w:val="00641618"/>
    <w:rsid w:val="006506E0"/>
    <w:rsid w:val="00690008"/>
    <w:rsid w:val="006A0B9A"/>
    <w:rsid w:val="006A1670"/>
    <w:rsid w:val="006A54E1"/>
    <w:rsid w:val="006C5851"/>
    <w:rsid w:val="006D4E91"/>
    <w:rsid w:val="007109B2"/>
    <w:rsid w:val="00726B6F"/>
    <w:rsid w:val="00731CC0"/>
    <w:rsid w:val="00732CA7"/>
    <w:rsid w:val="0073515A"/>
    <w:rsid w:val="00755E00"/>
    <w:rsid w:val="0078053C"/>
    <w:rsid w:val="007B0154"/>
    <w:rsid w:val="007D05B6"/>
    <w:rsid w:val="007E212F"/>
    <w:rsid w:val="007E4D51"/>
    <w:rsid w:val="008216AD"/>
    <w:rsid w:val="00825D0D"/>
    <w:rsid w:val="00845ED6"/>
    <w:rsid w:val="008B7252"/>
    <w:rsid w:val="008C03F0"/>
    <w:rsid w:val="008E1EBA"/>
    <w:rsid w:val="008F2573"/>
    <w:rsid w:val="00902BD0"/>
    <w:rsid w:val="0095079E"/>
    <w:rsid w:val="009519BE"/>
    <w:rsid w:val="00953B75"/>
    <w:rsid w:val="009873E1"/>
    <w:rsid w:val="009B6620"/>
    <w:rsid w:val="009C5D09"/>
    <w:rsid w:val="009C7608"/>
    <w:rsid w:val="00A66342"/>
    <w:rsid w:val="00A8624A"/>
    <w:rsid w:val="00AC40F7"/>
    <w:rsid w:val="00AC5014"/>
    <w:rsid w:val="00AC6BA9"/>
    <w:rsid w:val="00B21C86"/>
    <w:rsid w:val="00B3234A"/>
    <w:rsid w:val="00B35447"/>
    <w:rsid w:val="00B465C5"/>
    <w:rsid w:val="00B505AC"/>
    <w:rsid w:val="00B83B43"/>
    <w:rsid w:val="00BA6C66"/>
    <w:rsid w:val="00C772E6"/>
    <w:rsid w:val="00C9103C"/>
    <w:rsid w:val="00CC1AFB"/>
    <w:rsid w:val="00CF54F9"/>
    <w:rsid w:val="00D008B8"/>
    <w:rsid w:val="00D402F0"/>
    <w:rsid w:val="00D7349E"/>
    <w:rsid w:val="00D9156F"/>
    <w:rsid w:val="00DB5506"/>
    <w:rsid w:val="00DC76E7"/>
    <w:rsid w:val="00DD72D2"/>
    <w:rsid w:val="00E30632"/>
    <w:rsid w:val="00E34DEC"/>
    <w:rsid w:val="00ED1A9D"/>
    <w:rsid w:val="00F161FF"/>
    <w:rsid w:val="00F62763"/>
    <w:rsid w:val="00F75669"/>
    <w:rsid w:val="00F82422"/>
    <w:rsid w:val="00F86B64"/>
    <w:rsid w:val="00FA196E"/>
    <w:rsid w:val="00FE5A5E"/>
    <w:rsid w:val="00FF47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3ADA237"/>
  <w15:docId w15:val="{7A9BE62B-2062-41E2-912F-1D01172AC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03F0"/>
    <w:pPr>
      <w:spacing w:after="120"/>
    </w:pPr>
    <w:rPr>
      <w:rFonts w:ascii="Lato" w:hAnsi="Lato"/>
      <w:sz w:val="22"/>
      <w:szCs w:val="22"/>
      <w:lang w:eastAsia="en-US"/>
    </w:rPr>
  </w:style>
  <w:style w:type="paragraph" w:styleId="Heading1">
    <w:name w:val="heading 1"/>
    <w:basedOn w:val="Normal"/>
    <w:next w:val="Normal"/>
    <w:link w:val="Heading1Char"/>
    <w:uiPriority w:val="9"/>
    <w:qFormat/>
    <w:rsid w:val="008C03F0"/>
    <w:pPr>
      <w:keepNext/>
      <w:keepLines/>
      <w:spacing w:after="0"/>
      <w:outlineLvl w:val="0"/>
    </w:pPr>
    <w:rPr>
      <w:rFonts w:eastAsia="Times New Roman"/>
      <w:b/>
      <w:bCs/>
      <w:sz w:val="32"/>
      <w:szCs w:val="28"/>
    </w:rPr>
  </w:style>
  <w:style w:type="paragraph" w:styleId="Heading2">
    <w:name w:val="heading 2"/>
    <w:basedOn w:val="Normal"/>
    <w:next w:val="Normal"/>
    <w:link w:val="Heading2Char"/>
    <w:autoRedefine/>
    <w:uiPriority w:val="9"/>
    <w:unhideWhenUsed/>
    <w:qFormat/>
    <w:rsid w:val="00540117"/>
    <w:pPr>
      <w:keepNext/>
      <w:keepLines/>
      <w:spacing w:before="120"/>
      <w:outlineLvl w:val="1"/>
    </w:pPr>
    <w:rPr>
      <w:rFonts w:eastAsia="Times New Roman"/>
      <w:b/>
      <w:bCs/>
      <w:color w:val="606060"/>
      <w:sz w:val="28"/>
      <w:szCs w:val="26"/>
    </w:rPr>
  </w:style>
  <w:style w:type="paragraph" w:styleId="Heading3">
    <w:name w:val="heading 3"/>
    <w:basedOn w:val="Normal"/>
    <w:next w:val="Normal"/>
    <w:link w:val="Heading3Char"/>
    <w:uiPriority w:val="9"/>
    <w:unhideWhenUsed/>
    <w:qFormat/>
    <w:rsid w:val="00731CC0"/>
    <w:pPr>
      <w:keepNext/>
      <w:keepLines/>
      <w:spacing w:after="0"/>
      <w:outlineLvl w:val="2"/>
    </w:pPr>
    <w:rPr>
      <w:rFonts w:eastAsia="Times New Roman"/>
      <w:b/>
      <w:bCs/>
      <w:color w:val="000000"/>
      <w:sz w:val="24"/>
    </w:rPr>
  </w:style>
  <w:style w:type="paragraph" w:styleId="Heading4">
    <w:name w:val="heading 4"/>
    <w:basedOn w:val="Normal"/>
    <w:next w:val="Normal"/>
    <w:link w:val="Heading4Char"/>
    <w:uiPriority w:val="9"/>
    <w:unhideWhenUsed/>
    <w:qFormat/>
    <w:rsid w:val="00731CC0"/>
    <w:pPr>
      <w:keepNext/>
      <w:keepLines/>
      <w:spacing w:after="0"/>
      <w:outlineLvl w:val="3"/>
    </w:pPr>
    <w:rPr>
      <w:rFonts w:eastAsia="Times New Roman"/>
      <w:b/>
      <w:bCs/>
      <w:iCs/>
      <w:color w:val="6060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8C0"/>
    <w:pPr>
      <w:tabs>
        <w:tab w:val="center" w:pos="4513"/>
        <w:tab w:val="right" w:pos="9026"/>
      </w:tabs>
      <w:spacing w:after="0"/>
    </w:pPr>
  </w:style>
  <w:style w:type="character" w:customStyle="1" w:styleId="HeaderChar">
    <w:name w:val="Header Char"/>
    <w:basedOn w:val="DefaultParagraphFont"/>
    <w:link w:val="Header"/>
    <w:uiPriority w:val="99"/>
    <w:rsid w:val="003E58C0"/>
  </w:style>
  <w:style w:type="paragraph" w:styleId="Footer">
    <w:name w:val="footer"/>
    <w:basedOn w:val="Normal"/>
    <w:link w:val="FooterChar"/>
    <w:uiPriority w:val="99"/>
    <w:unhideWhenUsed/>
    <w:rsid w:val="003E58C0"/>
    <w:pPr>
      <w:tabs>
        <w:tab w:val="center" w:pos="4513"/>
        <w:tab w:val="right" w:pos="9026"/>
      </w:tabs>
      <w:spacing w:after="0"/>
    </w:pPr>
  </w:style>
  <w:style w:type="character" w:customStyle="1" w:styleId="FooterChar">
    <w:name w:val="Footer Char"/>
    <w:basedOn w:val="DefaultParagraphFont"/>
    <w:link w:val="Footer"/>
    <w:uiPriority w:val="99"/>
    <w:rsid w:val="003E58C0"/>
  </w:style>
  <w:style w:type="paragraph" w:styleId="Title">
    <w:name w:val="Title"/>
    <w:basedOn w:val="Normal"/>
    <w:next w:val="Normal"/>
    <w:link w:val="TitleChar"/>
    <w:uiPriority w:val="10"/>
    <w:qFormat/>
    <w:rsid w:val="008C03F0"/>
    <w:pPr>
      <w:spacing w:after="240" w:line="480" w:lineRule="auto"/>
      <w:contextualSpacing/>
    </w:pPr>
    <w:rPr>
      <w:rFonts w:eastAsia="Times New Roman"/>
      <w:b/>
      <w:spacing w:val="5"/>
      <w:kern w:val="28"/>
      <w:sz w:val="36"/>
      <w:szCs w:val="52"/>
    </w:rPr>
  </w:style>
  <w:style w:type="character" w:customStyle="1" w:styleId="TitleChar">
    <w:name w:val="Title Char"/>
    <w:link w:val="Title"/>
    <w:uiPriority w:val="10"/>
    <w:rsid w:val="008C03F0"/>
    <w:rPr>
      <w:rFonts w:ascii="Lato" w:eastAsia="Times New Roman" w:hAnsi="Lato" w:cs="Times New Roman"/>
      <w:b/>
      <w:spacing w:val="5"/>
      <w:kern w:val="28"/>
      <w:sz w:val="36"/>
      <w:szCs w:val="52"/>
    </w:rPr>
  </w:style>
  <w:style w:type="character" w:customStyle="1" w:styleId="Heading1Char">
    <w:name w:val="Heading 1 Char"/>
    <w:link w:val="Heading1"/>
    <w:uiPriority w:val="9"/>
    <w:rsid w:val="008C03F0"/>
    <w:rPr>
      <w:rFonts w:ascii="Lato" w:eastAsia="Times New Roman" w:hAnsi="Lato" w:cs="Times New Roman"/>
      <w:b/>
      <w:bCs/>
      <w:sz w:val="32"/>
      <w:szCs w:val="28"/>
    </w:rPr>
  </w:style>
  <w:style w:type="character" w:customStyle="1" w:styleId="Heading2Char">
    <w:name w:val="Heading 2 Char"/>
    <w:link w:val="Heading2"/>
    <w:uiPriority w:val="9"/>
    <w:rsid w:val="00540117"/>
    <w:rPr>
      <w:rFonts w:ascii="Lato" w:eastAsia="Times New Roman" w:hAnsi="Lato"/>
      <w:b/>
      <w:bCs/>
      <w:color w:val="606060"/>
      <w:sz w:val="28"/>
      <w:szCs w:val="26"/>
      <w:lang w:eastAsia="en-US"/>
    </w:rPr>
  </w:style>
  <w:style w:type="character" w:customStyle="1" w:styleId="Heading3Char">
    <w:name w:val="Heading 3 Char"/>
    <w:link w:val="Heading3"/>
    <w:uiPriority w:val="9"/>
    <w:rsid w:val="00731CC0"/>
    <w:rPr>
      <w:rFonts w:ascii="Lato" w:eastAsia="Times New Roman" w:hAnsi="Lato" w:cs="Times New Roman"/>
      <w:b/>
      <w:bCs/>
      <w:color w:val="000000"/>
      <w:sz w:val="24"/>
    </w:rPr>
  </w:style>
  <w:style w:type="character" w:customStyle="1" w:styleId="Heading4Char">
    <w:name w:val="Heading 4 Char"/>
    <w:link w:val="Heading4"/>
    <w:uiPriority w:val="9"/>
    <w:rsid w:val="00731CC0"/>
    <w:rPr>
      <w:rFonts w:ascii="Lato" w:eastAsia="Times New Roman" w:hAnsi="Lato" w:cs="Times New Roman"/>
      <w:b/>
      <w:bCs/>
      <w:iCs/>
      <w:color w:val="606060"/>
    </w:rPr>
  </w:style>
  <w:style w:type="paragraph" w:styleId="ListParagraph">
    <w:name w:val="List Paragraph"/>
    <w:basedOn w:val="Normal"/>
    <w:uiPriority w:val="34"/>
    <w:qFormat/>
    <w:rsid w:val="00DD72D2"/>
    <w:pPr>
      <w:ind w:left="720"/>
      <w:contextualSpacing/>
    </w:pPr>
  </w:style>
  <w:style w:type="paragraph" w:styleId="NoSpacing">
    <w:name w:val="No Spacing"/>
    <w:aliases w:val="Numbered - normal"/>
    <w:autoRedefine/>
    <w:uiPriority w:val="1"/>
    <w:qFormat/>
    <w:rsid w:val="00540117"/>
    <w:pPr>
      <w:numPr>
        <w:numId w:val="4"/>
      </w:numPr>
      <w:spacing w:after="120"/>
      <w:ind w:left="567" w:hanging="567"/>
    </w:pPr>
    <w:rPr>
      <w:rFonts w:ascii="Lato" w:hAnsi="Lato"/>
      <w:sz w:val="22"/>
      <w:szCs w:val="22"/>
      <w:lang w:eastAsia="en-US"/>
    </w:rPr>
  </w:style>
  <w:style w:type="paragraph" w:styleId="BalloonText">
    <w:name w:val="Balloon Text"/>
    <w:basedOn w:val="Normal"/>
    <w:link w:val="BalloonTextChar"/>
    <w:uiPriority w:val="99"/>
    <w:semiHidden/>
    <w:unhideWhenUsed/>
    <w:rsid w:val="00845ED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5ED6"/>
    <w:rPr>
      <w:rFonts w:ascii="Tahoma" w:hAnsi="Tahoma" w:cs="Tahoma"/>
      <w:sz w:val="16"/>
      <w:szCs w:val="16"/>
      <w:lang w:eastAsia="en-US"/>
    </w:rPr>
  </w:style>
  <w:style w:type="paragraph" w:customStyle="1" w:styleId="NewSectionHeading">
    <w:name w:val="New Section Heading"/>
    <w:basedOn w:val="Normal"/>
    <w:next w:val="Normal"/>
    <w:link w:val="NewSectionHeadingChar"/>
    <w:rsid w:val="00496B84"/>
    <w:pPr>
      <w:keepNext/>
      <w:keepLines/>
      <w:widowControl w:val="0"/>
      <w:spacing w:after="240"/>
      <w:ind w:left="1100" w:hanging="1100"/>
      <w:outlineLvl w:val="4"/>
    </w:pPr>
    <w:rPr>
      <w:rFonts w:ascii="Helvetica" w:eastAsia="Times New Roman" w:hAnsi="Helvetica"/>
      <w:b/>
      <w:sz w:val="24"/>
      <w:szCs w:val="24"/>
      <w:lang w:eastAsia="en-AU"/>
    </w:rPr>
  </w:style>
  <w:style w:type="character" w:customStyle="1" w:styleId="NewSectionHeadingChar">
    <w:name w:val="New Section Heading Char"/>
    <w:link w:val="NewSectionHeading"/>
    <w:rsid w:val="00496B84"/>
    <w:rPr>
      <w:rFonts w:ascii="Helvetica" w:eastAsia="Times New Roman" w:hAnsi="Helvetica"/>
      <w:b/>
      <w:sz w:val="24"/>
      <w:szCs w:val="24"/>
    </w:rPr>
  </w:style>
  <w:style w:type="paragraph" w:customStyle="1" w:styleId="Paragraph">
    <w:name w:val="Paragraph"/>
    <w:basedOn w:val="Normal"/>
    <w:link w:val="ParagraphChar"/>
    <w:rsid w:val="00496B84"/>
    <w:pPr>
      <w:widowControl w:val="0"/>
      <w:spacing w:after="240"/>
      <w:ind w:left="1667" w:hanging="567"/>
      <w:jc w:val="both"/>
    </w:pPr>
    <w:rPr>
      <w:rFonts w:ascii="Helvetica" w:eastAsia="Times New Roman" w:hAnsi="Helvetica"/>
      <w:sz w:val="24"/>
      <w:szCs w:val="24"/>
      <w:lang w:eastAsia="en-AU"/>
    </w:rPr>
  </w:style>
  <w:style w:type="character" w:customStyle="1" w:styleId="ParagraphChar">
    <w:name w:val="Paragraph Char"/>
    <w:link w:val="Paragraph"/>
    <w:rsid w:val="00496B84"/>
    <w:rPr>
      <w:rFonts w:ascii="Helvetica" w:eastAsia="Times New Roman" w:hAnsi="Helvetica"/>
      <w:sz w:val="24"/>
      <w:szCs w:val="24"/>
    </w:rPr>
  </w:style>
  <w:style w:type="paragraph" w:customStyle="1" w:styleId="Subsection">
    <w:name w:val="Subsection"/>
    <w:basedOn w:val="Normal"/>
    <w:link w:val="SubsectionChar"/>
    <w:rsid w:val="00496B84"/>
    <w:pPr>
      <w:widowControl w:val="0"/>
      <w:tabs>
        <w:tab w:val="right" w:pos="902"/>
      </w:tabs>
      <w:spacing w:after="240"/>
      <w:ind w:left="1100" w:hanging="1100"/>
      <w:jc w:val="both"/>
    </w:pPr>
    <w:rPr>
      <w:rFonts w:ascii="Helvetica" w:eastAsia="Times New Roman" w:hAnsi="Helvetica"/>
      <w:sz w:val="24"/>
      <w:szCs w:val="24"/>
      <w:lang w:eastAsia="en-AU"/>
    </w:rPr>
  </w:style>
  <w:style w:type="character" w:customStyle="1" w:styleId="SubsectionChar">
    <w:name w:val="Subsection Char"/>
    <w:link w:val="Subsection"/>
    <w:rsid w:val="00496B84"/>
    <w:rPr>
      <w:rFonts w:ascii="Helvetica" w:eastAsia="Times New Roman" w:hAnsi="Helvetica"/>
      <w:sz w:val="24"/>
      <w:szCs w:val="24"/>
    </w:rPr>
  </w:style>
  <w:style w:type="paragraph" w:customStyle="1" w:styleId="Penalty">
    <w:name w:val="Penalty"/>
    <w:basedOn w:val="Normal"/>
    <w:next w:val="Normal"/>
    <w:rsid w:val="00496B84"/>
    <w:pPr>
      <w:widowControl w:val="0"/>
      <w:spacing w:after="240"/>
      <w:ind w:left="3600" w:hanging="2500"/>
    </w:pPr>
    <w:rPr>
      <w:rFonts w:ascii="Helvetica" w:eastAsia="Times New Roman" w:hAnsi="Helvetica"/>
      <w:sz w:val="24"/>
      <w:szCs w:val="24"/>
      <w:lang w:eastAsia="en-AU"/>
    </w:rPr>
  </w:style>
  <w:style w:type="character" w:customStyle="1" w:styleId="DefinitionChar">
    <w:name w:val="Definition Char"/>
    <w:link w:val="Definition"/>
    <w:rsid w:val="00496B84"/>
    <w:rPr>
      <w:rFonts w:ascii="Helvetica" w:hAnsi="Helvetica"/>
      <w:sz w:val="24"/>
    </w:rPr>
  </w:style>
  <w:style w:type="paragraph" w:customStyle="1" w:styleId="Definition">
    <w:name w:val="Definition"/>
    <w:aliases w:val="dd"/>
    <w:basedOn w:val="Normal"/>
    <w:link w:val="DefinitionChar"/>
    <w:rsid w:val="00496B84"/>
    <w:pPr>
      <w:widowControl w:val="0"/>
      <w:spacing w:after="240"/>
      <w:ind w:left="1100"/>
      <w:jc w:val="both"/>
    </w:pPr>
    <w:rPr>
      <w:rFonts w:ascii="Helvetica" w:hAnsi="Helvetica"/>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532453">
      <w:bodyDiv w:val="1"/>
      <w:marLeft w:val="0"/>
      <w:marRight w:val="0"/>
      <w:marTop w:val="0"/>
      <w:marBottom w:val="0"/>
      <w:divBdr>
        <w:top w:val="none" w:sz="0" w:space="0" w:color="auto"/>
        <w:left w:val="none" w:sz="0" w:space="0" w:color="auto"/>
        <w:bottom w:val="none" w:sz="0" w:space="0" w:color="auto"/>
        <w:right w:val="none" w:sz="0" w:space="0" w:color="auto"/>
      </w:divBdr>
    </w:div>
    <w:div w:id="922304181">
      <w:bodyDiv w:val="1"/>
      <w:marLeft w:val="0"/>
      <w:marRight w:val="0"/>
      <w:marTop w:val="0"/>
      <w:marBottom w:val="0"/>
      <w:divBdr>
        <w:top w:val="none" w:sz="0" w:space="0" w:color="auto"/>
        <w:left w:val="none" w:sz="0" w:space="0" w:color="auto"/>
        <w:bottom w:val="none" w:sz="0" w:space="0" w:color="auto"/>
        <w:right w:val="none" w:sz="0" w:space="0" w:color="auto"/>
      </w:divBdr>
    </w:div>
    <w:div w:id="136324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580A8767A4CA49A3747FBE42D6EA6A" ma:contentTypeVersion="1" ma:contentTypeDescription="Create a new document." ma:contentTypeScope="" ma:versionID="a7ce0122461abfe0a428ae502a446990">
  <xsd:schema xmlns:xsd="http://www.w3.org/2001/XMLSchema" xmlns:xs="http://www.w3.org/2001/XMLSchema" xmlns:p="http://schemas.microsoft.com/office/2006/metadata/properties" xmlns:ns2="3f1acef0-744d-4246-9640-1b1641e99d0a" targetNamespace="http://schemas.microsoft.com/office/2006/metadata/properties" ma:root="true" ma:fieldsID="636337c2421304e4d3944e8bc39badbc" ns2:_="">
    <xsd:import namespace="3f1acef0-744d-4246-9640-1b1641e99d0a"/>
    <xsd:element name="properties">
      <xsd:complexType>
        <xsd:sequence>
          <xsd:element name="documentManagement">
            <xsd:complexType>
              <xsd:all>
                <xsd:element ref="ns2:Docum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1acef0-744d-4246-9640-1b1641e99d0a" elementFormDefault="qualified">
    <xsd:import namespace="http://schemas.microsoft.com/office/2006/documentManagement/types"/>
    <xsd:import namespace="http://schemas.microsoft.com/office/infopath/2007/PartnerControls"/>
    <xsd:element name="Document_x0020_Type" ma:index="8" ma:displayName="GLS Document Type" ma:description="List of available Document Types" ma:format="Dropdown" ma:internalName="Document_x0020_Type">
      <xsd:simpleType>
        <xsd:restriction base="dms:Choice">
          <xsd:enumeration value="Forms"/>
          <xsd:enumeration value="Guidelines"/>
          <xsd:enumeration value="Information Sheets"/>
          <xsd:enumeration value="Procedures"/>
          <xsd:enumeration value="Templates"/>
          <xsd:enumeration value="Policies"/>
          <xsd:enumeration value="Regulatory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_x0020_Type xmlns="3f1acef0-744d-4246-9640-1b1641e99d0a">Templates</Document_x0020_Typ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F4066F-EEF1-4CBA-AF3C-B1DB09BB52EF}">
  <ds:schemaRefs>
    <ds:schemaRef ds:uri="http://schemas.microsoft.com/sharepoint/v3/contenttype/forms"/>
  </ds:schemaRefs>
</ds:datastoreItem>
</file>

<file path=customXml/itemProps2.xml><?xml version="1.0" encoding="utf-8"?>
<ds:datastoreItem xmlns:ds="http://schemas.openxmlformats.org/officeDocument/2006/customXml" ds:itemID="{824E6968-EFB7-4DAC-B5AD-1ECB5F39F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1acef0-744d-4246-9640-1b1641e99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294DCD-E20B-418B-B402-80B3B470B33B}">
  <ds:schemaRefs>
    <ds:schemaRef ds:uri="http://purl.org/dc/dcmitype/"/>
    <ds:schemaRef ds:uri="http://purl.org/dc/elements/1.1/"/>
    <ds:schemaRef ds:uri="3f1acef0-744d-4246-9640-1b1641e99d0a"/>
    <ds:schemaRef ds:uri="http://schemas.microsoft.com/office/infopath/2007/PartnerControls"/>
    <ds:schemaRef ds:uri="http://purl.org/dc/terms/"/>
    <ds:schemaRef ds:uri="http://schemas.microsoft.com/office/2006/documentManagement/types"/>
    <ds:schemaRef ds:uri="http://schemas.microsoft.com/office/2006/metadata/properties"/>
    <ds:schemaRef ds:uri="http://www.w3.org/XML/1998/namespace"/>
    <ds:schemaRef ds:uri="http://schemas.openxmlformats.org/package/2006/metadata/core-properties"/>
  </ds:schemaRefs>
</ds:datastoreItem>
</file>

<file path=customXml/itemProps4.xml><?xml version="1.0" encoding="utf-8"?>
<ds:datastoreItem xmlns:ds="http://schemas.openxmlformats.org/officeDocument/2006/customXml" ds:itemID="{A2D1F161-BDB8-4E23-BDFB-6AC218AD3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1592</Words>
  <Characters>9079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Director-General Decision Notice Template</vt:lpstr>
    </vt:vector>
  </TitlesOfParts>
  <Company>NTG</Company>
  <LinksUpToDate>false</LinksUpToDate>
  <CharactersWithSpaces>10650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Director-General Decision Notice Template</dc:title>
  <dc:creator>Karen Gerschwitz</dc:creator>
  <cp:lastModifiedBy>Judith Boiteau</cp:lastModifiedBy>
  <cp:revision>5</cp:revision>
  <dcterms:created xsi:type="dcterms:W3CDTF">2017-06-16T02:10:00Z</dcterms:created>
  <dcterms:modified xsi:type="dcterms:W3CDTF">2017-06-22T00:52:00Z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 Link">
    <vt:lpwstr>http://sharepoint.agd.nt.gov.au/_layouts/WordViewer.aspx?id=/FormServerTemplates/Media%20and%20Communications%20Hub/Executive%20Memorandum%20Template.dotx&amp;OpenIn=browser, http://sharepoint.agd.nt.gov.au/_layouts/WordViewer.aspx?id=/FormServerTemplates/Med</vt:lpwstr>
  </property>
  <property fmtid="{D5CDD505-2E9C-101B-9397-08002B2CF9AE}" pid="3" name="WorkflowChangePath">
    <vt:lpwstr>ef0a4210-0e89-4481-821e-e417017bc26d,6;ef0a4210-0e89-4481-821e-e417017bc26d,10;</vt:lpwstr>
  </property>
  <property fmtid="{D5CDD505-2E9C-101B-9397-08002B2CF9AE}" pid="4" name="ContentTypeId">
    <vt:lpwstr>0x01010088580A8767A4CA49A3747FBE42D6EA6A</vt:lpwstr>
  </property>
</Properties>
</file>