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3699E" w14:textId="3142E801" w:rsidR="00F161FF" w:rsidRDefault="0023784C" w:rsidP="00E30632">
      <w:pPr>
        <w:pStyle w:val="Title"/>
        <w:spacing w:after="0" w:line="360" w:lineRule="auto"/>
        <w:jc w:val="center"/>
        <w:rPr>
          <w:bCs/>
        </w:rPr>
      </w:pPr>
      <w:r>
        <w:rPr>
          <w:bCs/>
        </w:rPr>
        <w:t xml:space="preserve">Deputy </w:t>
      </w:r>
      <w:r w:rsidR="00DD72D2">
        <w:rPr>
          <w:bCs/>
        </w:rPr>
        <w:t>Director-General of Licensing</w:t>
      </w:r>
    </w:p>
    <w:p w14:paraId="2C93699F" w14:textId="77777777"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p>
    <w:p w14:paraId="2C9369A0" w14:textId="026D89AB" w:rsidR="00F161FF" w:rsidRPr="00594BDA" w:rsidRDefault="00DD72D2" w:rsidP="00DD72D2">
      <w:pPr>
        <w:tabs>
          <w:tab w:val="left" w:pos="2835"/>
        </w:tabs>
        <w:spacing w:before="240" w:after="240"/>
      </w:pPr>
      <w:r>
        <w:rPr>
          <w:b/>
        </w:rPr>
        <w:t>MATTER:</w:t>
      </w:r>
      <w:r w:rsidRPr="00594BDA">
        <w:tab/>
      </w:r>
      <w:r w:rsidR="0023784C" w:rsidRPr="00245491">
        <w:t>Material Alterations to Licensed Premises</w:t>
      </w:r>
    </w:p>
    <w:p w14:paraId="2C9369A1" w14:textId="39134AB4" w:rsidR="00F161FF" w:rsidRPr="00594BDA" w:rsidRDefault="00DD72D2" w:rsidP="00DD72D2">
      <w:pPr>
        <w:tabs>
          <w:tab w:val="left" w:pos="2835"/>
        </w:tabs>
        <w:spacing w:before="240" w:after="240"/>
      </w:pPr>
      <w:r w:rsidRPr="00DD72D2">
        <w:rPr>
          <w:b/>
        </w:rPr>
        <w:t>PROPOSED PREMISES:</w:t>
      </w:r>
      <w:r w:rsidRPr="00594BDA">
        <w:tab/>
      </w:r>
      <w:r w:rsidR="0023784C" w:rsidRPr="00245491">
        <w:t>Tennant Creek Hotel</w:t>
      </w:r>
    </w:p>
    <w:p w14:paraId="2C9369A2" w14:textId="5F3D95D0" w:rsidR="00F161FF" w:rsidRPr="00594BDA" w:rsidRDefault="00DD72D2" w:rsidP="00DD72D2">
      <w:pPr>
        <w:tabs>
          <w:tab w:val="left" w:pos="2835"/>
        </w:tabs>
        <w:spacing w:before="240" w:after="240"/>
      </w:pPr>
      <w:r w:rsidRPr="00DD72D2">
        <w:rPr>
          <w:b/>
        </w:rPr>
        <w:t>APPLICANT:</w:t>
      </w:r>
      <w:r w:rsidRPr="00594BDA">
        <w:tab/>
      </w:r>
      <w:r w:rsidR="0023784C" w:rsidRPr="00245491">
        <w:t>Mr Jordan Jenkins, on behalf of, J An R Jenkins Pty Ltd</w:t>
      </w:r>
    </w:p>
    <w:p w14:paraId="2C9369A4" w14:textId="4E9CE2D2" w:rsidR="00F161FF" w:rsidRPr="00594BDA" w:rsidRDefault="00DD72D2" w:rsidP="00DD72D2">
      <w:pPr>
        <w:tabs>
          <w:tab w:val="left" w:pos="2835"/>
        </w:tabs>
        <w:spacing w:before="240" w:after="240"/>
      </w:pPr>
      <w:r w:rsidRPr="00DD72D2">
        <w:rPr>
          <w:b/>
        </w:rPr>
        <w:t>OBJECTORS:</w:t>
      </w:r>
      <w:r w:rsidRPr="00594BDA">
        <w:tab/>
      </w:r>
      <w:r w:rsidR="0023784C" w:rsidRPr="00245491">
        <w:t>None</w:t>
      </w:r>
    </w:p>
    <w:p w14:paraId="0B932F24" w14:textId="2F46ED43" w:rsidR="0023784C" w:rsidRDefault="00DD72D2" w:rsidP="0023784C">
      <w:pPr>
        <w:tabs>
          <w:tab w:val="left" w:pos="2835"/>
        </w:tabs>
        <w:spacing w:before="240" w:after="240"/>
        <w:rPr>
          <w:rFonts w:ascii="Arial" w:eastAsia="Arial" w:hAnsi="Arial" w:cs="Arial"/>
        </w:rPr>
      </w:pPr>
      <w:r w:rsidRPr="00DD72D2">
        <w:rPr>
          <w:b/>
        </w:rPr>
        <w:t>LEGISLATION:</w:t>
      </w:r>
      <w:r w:rsidRPr="00594BDA">
        <w:tab/>
      </w:r>
      <w:r w:rsidR="0023784C" w:rsidRPr="00245491">
        <w:t>Liquor Act Section 119</w:t>
      </w:r>
    </w:p>
    <w:p w14:paraId="2C9369A6" w14:textId="5AB9BE67" w:rsidR="00DD72D2" w:rsidRPr="00594BDA" w:rsidRDefault="00DD72D2" w:rsidP="00DD72D2">
      <w:pPr>
        <w:tabs>
          <w:tab w:val="left" w:pos="2835"/>
        </w:tabs>
        <w:spacing w:before="240" w:after="240"/>
      </w:pPr>
      <w:r w:rsidRPr="00DD72D2">
        <w:rPr>
          <w:b/>
        </w:rPr>
        <w:t>DECISION OF:</w:t>
      </w:r>
      <w:r w:rsidRPr="00594BDA">
        <w:tab/>
      </w:r>
      <w:r w:rsidR="00245491">
        <w:t xml:space="preserve">Deputy </w:t>
      </w:r>
      <w:r w:rsidRPr="00594BDA">
        <w:t>Director-General of Licensing</w:t>
      </w:r>
    </w:p>
    <w:p w14:paraId="7E0D6CC8" w14:textId="6F4E84A6" w:rsidR="008448A7" w:rsidRDefault="00DD72D2" w:rsidP="008448A7">
      <w:pPr>
        <w:spacing w:line="467" w:lineRule="auto"/>
        <w:ind w:right="3088"/>
        <w:rPr>
          <w:rFonts w:ascii="Arial" w:eastAsia="Arial" w:hAnsi="Arial" w:cs="Arial"/>
        </w:rPr>
      </w:pPr>
      <w:r w:rsidRPr="00DD72D2">
        <w:rPr>
          <w:b/>
        </w:rPr>
        <w:t>DATE OF DECISION:</w:t>
      </w:r>
      <w:r w:rsidRPr="00594BDA">
        <w:tab/>
      </w:r>
      <w:r w:rsidR="008448A7">
        <w:tab/>
      </w:r>
      <w:r w:rsidR="008448A7" w:rsidRPr="008448A7">
        <w:t>07 October 2016</w:t>
      </w:r>
    </w:p>
    <w:p w14:paraId="2C9369A8" w14:textId="77777777" w:rsidR="00F161FF" w:rsidRPr="00F161FF" w:rsidRDefault="00F161FF" w:rsidP="00F161FF">
      <w:pPr>
        <w:pBdr>
          <w:bottom w:val="single" w:sz="4" w:space="1" w:color="auto"/>
        </w:pBdr>
        <w:rPr>
          <w:b/>
        </w:rPr>
      </w:pPr>
    </w:p>
    <w:p w14:paraId="2C9369A9" w14:textId="77777777" w:rsidR="00F161FF" w:rsidRPr="00DD72D2" w:rsidRDefault="00DD72D2" w:rsidP="006D2F91">
      <w:pPr>
        <w:pStyle w:val="Heading2"/>
        <w:jc w:val="both"/>
      </w:pPr>
      <w:bookmarkStart w:id="0" w:name="TypeHere"/>
      <w:bookmarkEnd w:id="0"/>
      <w:r w:rsidRPr="00DD72D2">
        <w:t>BACKGROUND</w:t>
      </w:r>
    </w:p>
    <w:p w14:paraId="2C9369AB" w14:textId="2582E34F" w:rsidR="00DD72D2" w:rsidRPr="00F161FF" w:rsidRDefault="00B67E88" w:rsidP="00E24BCD">
      <w:pPr>
        <w:pStyle w:val="NoSpacing"/>
        <w:ind w:left="567" w:hanging="567"/>
      </w:pPr>
      <w:r>
        <w:rPr>
          <w:color w:val="0E0E0E"/>
          <w:w w:val="105"/>
        </w:rPr>
        <w:t>Mr</w:t>
      </w:r>
      <w:r>
        <w:rPr>
          <w:color w:val="0E0E0E"/>
          <w:spacing w:val="-7"/>
          <w:w w:val="105"/>
        </w:rPr>
        <w:t xml:space="preserve"> </w:t>
      </w:r>
      <w:r>
        <w:rPr>
          <w:color w:val="0E0E0E"/>
          <w:w w:val="105"/>
        </w:rPr>
        <w:t>Jordan</w:t>
      </w:r>
      <w:r>
        <w:rPr>
          <w:color w:val="0E0E0E"/>
          <w:spacing w:val="2"/>
          <w:w w:val="105"/>
        </w:rPr>
        <w:t xml:space="preserve"> </w:t>
      </w:r>
      <w:r>
        <w:rPr>
          <w:color w:val="0E0E0E"/>
          <w:w w:val="105"/>
        </w:rPr>
        <w:t>Jenk</w:t>
      </w:r>
      <w:r>
        <w:rPr>
          <w:color w:val="0E0E0E"/>
          <w:spacing w:val="5"/>
          <w:w w:val="105"/>
        </w:rPr>
        <w:t>i</w:t>
      </w:r>
      <w:r>
        <w:rPr>
          <w:color w:val="0E0E0E"/>
          <w:w w:val="105"/>
        </w:rPr>
        <w:t>ns</w:t>
      </w:r>
      <w:r>
        <w:rPr>
          <w:color w:val="0E0E0E"/>
          <w:spacing w:val="-11"/>
          <w:w w:val="105"/>
        </w:rPr>
        <w:t xml:space="preserve"> </w:t>
      </w:r>
      <w:r>
        <w:rPr>
          <w:color w:val="0E0E0E"/>
          <w:w w:val="105"/>
        </w:rPr>
        <w:t>(the</w:t>
      </w:r>
      <w:r>
        <w:rPr>
          <w:color w:val="0E0E0E"/>
          <w:spacing w:val="-9"/>
          <w:w w:val="105"/>
        </w:rPr>
        <w:t xml:space="preserve"> </w:t>
      </w:r>
      <w:r>
        <w:rPr>
          <w:color w:val="0E0E0E"/>
          <w:w w:val="105"/>
        </w:rPr>
        <w:t>App</w:t>
      </w:r>
      <w:r>
        <w:rPr>
          <w:color w:val="0E0E0E"/>
          <w:spacing w:val="12"/>
          <w:w w:val="105"/>
        </w:rPr>
        <w:t>l</w:t>
      </w:r>
      <w:r>
        <w:rPr>
          <w:color w:val="0E0E0E"/>
          <w:spacing w:val="-20"/>
          <w:w w:val="105"/>
        </w:rPr>
        <w:t>i</w:t>
      </w:r>
      <w:r>
        <w:rPr>
          <w:color w:val="0E0E0E"/>
          <w:w w:val="105"/>
        </w:rPr>
        <w:t>cant), acting</w:t>
      </w:r>
      <w:r>
        <w:rPr>
          <w:color w:val="0E0E0E"/>
          <w:spacing w:val="-3"/>
          <w:w w:val="105"/>
        </w:rPr>
        <w:t xml:space="preserve"> </w:t>
      </w:r>
      <w:r>
        <w:rPr>
          <w:color w:val="0E0E0E"/>
          <w:w w:val="105"/>
        </w:rPr>
        <w:t>on</w:t>
      </w:r>
      <w:r>
        <w:rPr>
          <w:color w:val="0E0E0E"/>
          <w:spacing w:val="-2"/>
          <w:w w:val="105"/>
        </w:rPr>
        <w:t xml:space="preserve"> </w:t>
      </w:r>
      <w:r>
        <w:rPr>
          <w:color w:val="0E0E0E"/>
          <w:w w:val="105"/>
        </w:rPr>
        <w:t>beha</w:t>
      </w:r>
      <w:r>
        <w:rPr>
          <w:color w:val="0E0E0E"/>
          <w:spacing w:val="-10"/>
          <w:w w:val="105"/>
        </w:rPr>
        <w:t>l</w:t>
      </w:r>
      <w:r>
        <w:rPr>
          <w:color w:val="0E0E0E"/>
          <w:w w:val="105"/>
        </w:rPr>
        <w:t>f</w:t>
      </w:r>
      <w:r>
        <w:rPr>
          <w:color w:val="0E0E0E"/>
          <w:spacing w:val="-1"/>
          <w:w w:val="105"/>
        </w:rPr>
        <w:t xml:space="preserve"> </w:t>
      </w:r>
      <w:r>
        <w:rPr>
          <w:color w:val="0E0E0E"/>
          <w:w w:val="105"/>
        </w:rPr>
        <w:t>of</w:t>
      </w:r>
      <w:r>
        <w:rPr>
          <w:color w:val="0E0E0E"/>
          <w:spacing w:val="1"/>
          <w:w w:val="105"/>
        </w:rPr>
        <w:t xml:space="preserve"> </w:t>
      </w:r>
      <w:r>
        <w:rPr>
          <w:color w:val="0E0E0E"/>
          <w:w w:val="105"/>
        </w:rPr>
        <w:t>J</w:t>
      </w:r>
      <w:r>
        <w:rPr>
          <w:color w:val="0E0E0E"/>
          <w:spacing w:val="-11"/>
          <w:w w:val="105"/>
        </w:rPr>
        <w:t xml:space="preserve"> </w:t>
      </w:r>
      <w:r>
        <w:rPr>
          <w:color w:val="0E0E0E"/>
          <w:w w:val="105"/>
        </w:rPr>
        <w:t>An</w:t>
      </w:r>
      <w:r>
        <w:rPr>
          <w:color w:val="0E0E0E"/>
          <w:spacing w:val="11"/>
          <w:w w:val="105"/>
        </w:rPr>
        <w:t xml:space="preserve"> </w:t>
      </w:r>
      <w:r>
        <w:rPr>
          <w:color w:val="0E0E0E"/>
          <w:w w:val="105"/>
        </w:rPr>
        <w:t>R</w:t>
      </w:r>
      <w:r>
        <w:rPr>
          <w:color w:val="0E0E0E"/>
          <w:spacing w:val="-21"/>
          <w:w w:val="105"/>
        </w:rPr>
        <w:t xml:space="preserve"> </w:t>
      </w:r>
      <w:r>
        <w:rPr>
          <w:color w:val="0E0E0E"/>
          <w:w w:val="105"/>
        </w:rPr>
        <w:t>Jenk</w:t>
      </w:r>
      <w:r>
        <w:rPr>
          <w:color w:val="0E0E0E"/>
          <w:spacing w:val="5"/>
          <w:w w:val="105"/>
        </w:rPr>
        <w:t>i</w:t>
      </w:r>
      <w:r>
        <w:rPr>
          <w:color w:val="0E0E0E"/>
          <w:w w:val="105"/>
        </w:rPr>
        <w:t>ns</w:t>
      </w:r>
      <w:r>
        <w:rPr>
          <w:color w:val="0E0E0E"/>
          <w:spacing w:val="-4"/>
          <w:w w:val="105"/>
        </w:rPr>
        <w:t xml:space="preserve"> </w:t>
      </w:r>
      <w:r>
        <w:rPr>
          <w:color w:val="0E0E0E"/>
          <w:w w:val="105"/>
        </w:rPr>
        <w:t>Pty</w:t>
      </w:r>
      <w:r>
        <w:rPr>
          <w:color w:val="0E0E0E"/>
          <w:spacing w:val="-3"/>
          <w:w w:val="105"/>
        </w:rPr>
        <w:t xml:space="preserve"> </w:t>
      </w:r>
      <w:r>
        <w:rPr>
          <w:color w:val="0E0E0E"/>
          <w:w w:val="105"/>
        </w:rPr>
        <w:t>Ltd</w:t>
      </w:r>
      <w:r>
        <w:rPr>
          <w:color w:val="0E0E0E"/>
          <w:spacing w:val="-11"/>
          <w:w w:val="105"/>
        </w:rPr>
        <w:t xml:space="preserve"> </w:t>
      </w:r>
      <w:r>
        <w:rPr>
          <w:color w:val="0E0E0E"/>
          <w:w w:val="105"/>
        </w:rPr>
        <w:t>(the</w:t>
      </w:r>
      <w:r>
        <w:rPr>
          <w:color w:val="0E0E0E"/>
          <w:spacing w:val="1"/>
          <w:w w:val="105"/>
        </w:rPr>
        <w:t xml:space="preserve"> </w:t>
      </w:r>
      <w:r>
        <w:rPr>
          <w:color w:val="0E0E0E"/>
          <w:w w:val="105"/>
        </w:rPr>
        <w:t>Licensee),</w:t>
      </w:r>
      <w:r>
        <w:rPr>
          <w:color w:val="0E0E0E"/>
          <w:w w:val="103"/>
        </w:rPr>
        <w:t xml:space="preserve"> </w:t>
      </w:r>
      <w:r>
        <w:rPr>
          <w:color w:val="0E0E0E"/>
          <w:w w:val="105"/>
        </w:rPr>
        <w:t>applied</w:t>
      </w:r>
      <w:r>
        <w:rPr>
          <w:color w:val="0E0E0E"/>
          <w:spacing w:val="-4"/>
          <w:w w:val="105"/>
        </w:rPr>
        <w:t xml:space="preserve"> </w:t>
      </w:r>
      <w:r>
        <w:rPr>
          <w:color w:val="0E0E0E"/>
          <w:w w:val="105"/>
        </w:rPr>
        <w:t>to</w:t>
      </w:r>
      <w:r>
        <w:rPr>
          <w:color w:val="0E0E0E"/>
          <w:spacing w:val="-8"/>
          <w:w w:val="105"/>
        </w:rPr>
        <w:t xml:space="preserve"> </w:t>
      </w:r>
      <w:r>
        <w:rPr>
          <w:color w:val="0E0E0E"/>
          <w:w w:val="105"/>
        </w:rPr>
        <w:t>the</w:t>
      </w:r>
      <w:r>
        <w:rPr>
          <w:color w:val="0E0E0E"/>
          <w:spacing w:val="-3"/>
          <w:w w:val="105"/>
        </w:rPr>
        <w:t xml:space="preserve"> </w:t>
      </w:r>
      <w:r>
        <w:rPr>
          <w:color w:val="0E0E0E"/>
          <w:spacing w:val="-1"/>
          <w:w w:val="105"/>
        </w:rPr>
        <w:t>Di</w:t>
      </w:r>
      <w:r>
        <w:rPr>
          <w:color w:val="0E0E0E"/>
          <w:spacing w:val="-2"/>
          <w:w w:val="105"/>
        </w:rPr>
        <w:t>rector-General</w:t>
      </w:r>
      <w:r>
        <w:rPr>
          <w:color w:val="0E0E0E"/>
          <w:spacing w:val="3"/>
          <w:w w:val="105"/>
        </w:rPr>
        <w:t xml:space="preserve"> </w:t>
      </w:r>
      <w:r>
        <w:rPr>
          <w:color w:val="0E0E0E"/>
          <w:w w:val="105"/>
        </w:rPr>
        <w:t>of</w:t>
      </w:r>
      <w:r>
        <w:rPr>
          <w:color w:val="0E0E0E"/>
          <w:spacing w:val="-2"/>
          <w:w w:val="105"/>
        </w:rPr>
        <w:t xml:space="preserve"> </w:t>
      </w:r>
      <w:r>
        <w:rPr>
          <w:color w:val="0E0E0E"/>
          <w:w w:val="105"/>
        </w:rPr>
        <w:t>Licensing,</w:t>
      </w:r>
      <w:r>
        <w:rPr>
          <w:color w:val="0E0E0E"/>
          <w:spacing w:val="3"/>
          <w:w w:val="105"/>
        </w:rPr>
        <w:t xml:space="preserve"> </w:t>
      </w:r>
      <w:r>
        <w:rPr>
          <w:color w:val="0E0E0E"/>
          <w:w w:val="105"/>
        </w:rPr>
        <w:t>pursuant</w:t>
      </w:r>
      <w:r>
        <w:rPr>
          <w:color w:val="0E0E0E"/>
          <w:spacing w:val="-10"/>
          <w:w w:val="105"/>
        </w:rPr>
        <w:t xml:space="preserve"> </w:t>
      </w:r>
      <w:r>
        <w:rPr>
          <w:color w:val="0E0E0E"/>
          <w:w w:val="105"/>
        </w:rPr>
        <w:t>to</w:t>
      </w:r>
      <w:r>
        <w:rPr>
          <w:color w:val="0E0E0E"/>
          <w:spacing w:val="-8"/>
          <w:w w:val="105"/>
        </w:rPr>
        <w:t xml:space="preserve"> </w:t>
      </w:r>
      <w:r>
        <w:rPr>
          <w:color w:val="0E0E0E"/>
          <w:w w:val="105"/>
        </w:rPr>
        <w:t>section</w:t>
      </w:r>
      <w:r>
        <w:rPr>
          <w:color w:val="0E0E0E"/>
          <w:spacing w:val="12"/>
          <w:w w:val="105"/>
        </w:rPr>
        <w:t xml:space="preserve"> </w:t>
      </w:r>
      <w:r>
        <w:rPr>
          <w:color w:val="0E0E0E"/>
          <w:w w:val="105"/>
        </w:rPr>
        <w:t>119</w:t>
      </w:r>
      <w:r>
        <w:rPr>
          <w:color w:val="0E0E0E"/>
          <w:spacing w:val="-23"/>
          <w:w w:val="105"/>
        </w:rPr>
        <w:t xml:space="preserve"> </w:t>
      </w:r>
      <w:r>
        <w:rPr>
          <w:color w:val="0E0E0E"/>
          <w:w w:val="105"/>
        </w:rPr>
        <w:t>of</w:t>
      </w:r>
      <w:r>
        <w:rPr>
          <w:color w:val="0E0E0E"/>
          <w:spacing w:val="-13"/>
          <w:w w:val="105"/>
        </w:rPr>
        <w:t xml:space="preserve"> </w:t>
      </w:r>
      <w:r>
        <w:rPr>
          <w:color w:val="0E0E0E"/>
          <w:w w:val="105"/>
        </w:rPr>
        <w:t>the</w:t>
      </w:r>
      <w:r>
        <w:rPr>
          <w:color w:val="0E0E0E"/>
          <w:spacing w:val="1"/>
          <w:w w:val="105"/>
        </w:rPr>
        <w:t xml:space="preserve"> </w:t>
      </w:r>
      <w:r>
        <w:rPr>
          <w:color w:val="0E0E0E"/>
          <w:w w:val="105"/>
        </w:rPr>
        <w:t>Liquor</w:t>
      </w:r>
      <w:r>
        <w:rPr>
          <w:color w:val="0E0E0E"/>
          <w:spacing w:val="-12"/>
          <w:w w:val="105"/>
        </w:rPr>
        <w:t xml:space="preserve"> </w:t>
      </w:r>
      <w:r>
        <w:rPr>
          <w:color w:val="0E0E0E"/>
          <w:w w:val="105"/>
        </w:rPr>
        <w:t>Act</w:t>
      </w:r>
      <w:r>
        <w:rPr>
          <w:color w:val="0E0E0E"/>
          <w:spacing w:val="3"/>
          <w:w w:val="105"/>
        </w:rPr>
        <w:t xml:space="preserve"> </w:t>
      </w:r>
      <w:r>
        <w:rPr>
          <w:color w:val="0E0E0E"/>
          <w:w w:val="105"/>
        </w:rPr>
        <w:t>("the</w:t>
      </w:r>
      <w:r>
        <w:rPr>
          <w:color w:val="0E0E0E"/>
          <w:spacing w:val="26"/>
          <w:w w:val="102"/>
        </w:rPr>
        <w:t xml:space="preserve"> </w:t>
      </w:r>
      <w:r>
        <w:rPr>
          <w:color w:val="0E0E0E"/>
          <w:w w:val="105"/>
        </w:rPr>
        <w:t>Act"), to</w:t>
      </w:r>
      <w:r>
        <w:rPr>
          <w:color w:val="0E0E0E"/>
          <w:spacing w:val="-3"/>
          <w:w w:val="105"/>
        </w:rPr>
        <w:t xml:space="preserve"> </w:t>
      </w:r>
      <w:r>
        <w:rPr>
          <w:color w:val="0E0E0E"/>
          <w:w w:val="105"/>
        </w:rPr>
        <w:t>make</w:t>
      </w:r>
      <w:r>
        <w:rPr>
          <w:color w:val="0E0E0E"/>
          <w:spacing w:val="-11"/>
          <w:w w:val="105"/>
        </w:rPr>
        <w:t xml:space="preserve"> </w:t>
      </w:r>
      <w:r>
        <w:rPr>
          <w:color w:val="0E0E0E"/>
          <w:w w:val="105"/>
        </w:rPr>
        <w:t>material</w:t>
      </w:r>
      <w:r>
        <w:rPr>
          <w:color w:val="0E0E0E"/>
          <w:spacing w:val="-8"/>
          <w:w w:val="105"/>
        </w:rPr>
        <w:t xml:space="preserve"> </w:t>
      </w:r>
      <w:r>
        <w:rPr>
          <w:color w:val="0E0E0E"/>
          <w:w w:val="105"/>
        </w:rPr>
        <w:t>alterations</w:t>
      </w:r>
      <w:r>
        <w:rPr>
          <w:color w:val="0E0E0E"/>
          <w:spacing w:val="1"/>
          <w:w w:val="105"/>
        </w:rPr>
        <w:t xml:space="preserve"> </w:t>
      </w:r>
      <w:r>
        <w:rPr>
          <w:color w:val="0E0E0E"/>
          <w:w w:val="105"/>
        </w:rPr>
        <w:t>to</w:t>
      </w:r>
      <w:r>
        <w:rPr>
          <w:color w:val="0E0E0E"/>
          <w:spacing w:val="-15"/>
          <w:w w:val="105"/>
        </w:rPr>
        <w:t xml:space="preserve"> </w:t>
      </w:r>
      <w:r>
        <w:rPr>
          <w:color w:val="0E0E0E"/>
          <w:w w:val="105"/>
        </w:rPr>
        <w:t>the</w:t>
      </w:r>
      <w:r>
        <w:rPr>
          <w:color w:val="0E0E0E"/>
          <w:spacing w:val="-2"/>
          <w:w w:val="105"/>
        </w:rPr>
        <w:t xml:space="preserve"> </w:t>
      </w:r>
      <w:r>
        <w:rPr>
          <w:color w:val="0E0E0E"/>
          <w:w w:val="105"/>
        </w:rPr>
        <w:t>licensed</w:t>
      </w:r>
      <w:r>
        <w:rPr>
          <w:color w:val="0E0E0E"/>
          <w:spacing w:val="-7"/>
          <w:w w:val="105"/>
        </w:rPr>
        <w:t xml:space="preserve"> </w:t>
      </w:r>
      <w:r>
        <w:rPr>
          <w:color w:val="0E0E0E"/>
          <w:w w:val="105"/>
        </w:rPr>
        <w:t>premises</w:t>
      </w:r>
      <w:r>
        <w:rPr>
          <w:color w:val="0E0E0E"/>
          <w:spacing w:val="-11"/>
          <w:w w:val="105"/>
        </w:rPr>
        <w:t xml:space="preserve"> </w:t>
      </w:r>
      <w:r>
        <w:rPr>
          <w:color w:val="0E0E0E"/>
          <w:w w:val="105"/>
        </w:rPr>
        <w:t>that</w:t>
      </w:r>
      <w:r>
        <w:rPr>
          <w:color w:val="0E0E0E"/>
          <w:spacing w:val="-11"/>
          <w:w w:val="105"/>
        </w:rPr>
        <w:t xml:space="preserve"> </w:t>
      </w:r>
      <w:r>
        <w:rPr>
          <w:color w:val="0E0E0E"/>
          <w:w w:val="105"/>
        </w:rPr>
        <w:t>trades</w:t>
      </w:r>
      <w:r>
        <w:rPr>
          <w:color w:val="0E0E0E"/>
          <w:spacing w:val="1"/>
          <w:w w:val="105"/>
        </w:rPr>
        <w:t xml:space="preserve"> </w:t>
      </w:r>
      <w:r>
        <w:rPr>
          <w:color w:val="0E0E0E"/>
          <w:w w:val="105"/>
        </w:rPr>
        <w:t>as</w:t>
      </w:r>
      <w:r>
        <w:rPr>
          <w:color w:val="0E0E0E"/>
          <w:spacing w:val="-15"/>
          <w:w w:val="105"/>
        </w:rPr>
        <w:t xml:space="preserve"> </w:t>
      </w:r>
      <w:r>
        <w:rPr>
          <w:color w:val="0E0E0E"/>
          <w:w w:val="105"/>
        </w:rPr>
        <w:t>the</w:t>
      </w:r>
      <w:r>
        <w:rPr>
          <w:color w:val="0E0E0E"/>
          <w:spacing w:val="-5"/>
          <w:w w:val="105"/>
        </w:rPr>
        <w:t xml:space="preserve"> </w:t>
      </w:r>
      <w:r>
        <w:rPr>
          <w:color w:val="0E0E0E"/>
          <w:w w:val="105"/>
        </w:rPr>
        <w:t>Tennant</w:t>
      </w:r>
      <w:r>
        <w:rPr>
          <w:color w:val="0E0E0E"/>
          <w:spacing w:val="8"/>
          <w:w w:val="105"/>
        </w:rPr>
        <w:t xml:space="preserve"> </w:t>
      </w:r>
      <w:r>
        <w:rPr>
          <w:color w:val="0E0E0E"/>
          <w:w w:val="105"/>
        </w:rPr>
        <w:t>Creek</w:t>
      </w:r>
      <w:r>
        <w:rPr>
          <w:color w:val="0E0E0E"/>
          <w:w w:val="102"/>
        </w:rPr>
        <w:t xml:space="preserve"> </w:t>
      </w:r>
      <w:r>
        <w:rPr>
          <w:color w:val="0E0E0E"/>
          <w:w w:val="105"/>
        </w:rPr>
        <w:t>Hotel,</w:t>
      </w:r>
      <w:r>
        <w:rPr>
          <w:color w:val="0E0E0E"/>
          <w:spacing w:val="-16"/>
          <w:w w:val="105"/>
        </w:rPr>
        <w:t xml:space="preserve"> </w:t>
      </w:r>
      <w:r>
        <w:rPr>
          <w:color w:val="0E0E0E"/>
          <w:w w:val="105"/>
        </w:rPr>
        <w:t>located</w:t>
      </w:r>
      <w:r>
        <w:rPr>
          <w:color w:val="0E0E0E"/>
          <w:spacing w:val="-18"/>
          <w:w w:val="105"/>
        </w:rPr>
        <w:t xml:space="preserve"> </w:t>
      </w:r>
      <w:r>
        <w:rPr>
          <w:color w:val="0E0E0E"/>
          <w:w w:val="105"/>
        </w:rPr>
        <w:t>on</w:t>
      </w:r>
      <w:r>
        <w:rPr>
          <w:color w:val="0E0E0E"/>
          <w:spacing w:val="-17"/>
          <w:w w:val="105"/>
        </w:rPr>
        <w:t xml:space="preserve"> </w:t>
      </w:r>
      <w:r>
        <w:rPr>
          <w:color w:val="0E0E0E"/>
          <w:w w:val="105"/>
        </w:rPr>
        <w:t>Paterson</w:t>
      </w:r>
      <w:r>
        <w:rPr>
          <w:color w:val="0E0E0E"/>
          <w:spacing w:val="-15"/>
          <w:w w:val="105"/>
        </w:rPr>
        <w:t xml:space="preserve"> </w:t>
      </w:r>
      <w:r>
        <w:rPr>
          <w:color w:val="0E0E0E"/>
          <w:w w:val="105"/>
        </w:rPr>
        <w:t>Street,</w:t>
      </w:r>
      <w:r>
        <w:rPr>
          <w:color w:val="0E0E0E"/>
          <w:spacing w:val="-15"/>
          <w:w w:val="105"/>
        </w:rPr>
        <w:t xml:space="preserve"> </w:t>
      </w:r>
      <w:r>
        <w:rPr>
          <w:color w:val="0E0E0E"/>
          <w:w w:val="105"/>
        </w:rPr>
        <w:t>Tennant</w:t>
      </w:r>
      <w:r>
        <w:rPr>
          <w:color w:val="0E0E0E"/>
          <w:spacing w:val="-4"/>
          <w:w w:val="105"/>
        </w:rPr>
        <w:t xml:space="preserve"> </w:t>
      </w:r>
      <w:r>
        <w:rPr>
          <w:color w:val="0E0E0E"/>
          <w:w w:val="105"/>
        </w:rPr>
        <w:t>Creek.</w:t>
      </w:r>
    </w:p>
    <w:p w14:paraId="2C9369AC" w14:textId="77777777" w:rsidR="00F161FF" w:rsidRPr="00DD72D2" w:rsidRDefault="00DD72D2" w:rsidP="00E24BCD">
      <w:pPr>
        <w:pStyle w:val="Heading2"/>
      </w:pPr>
      <w:r w:rsidRPr="00DD72D2">
        <w:t>CURRENT SITUATION</w:t>
      </w:r>
    </w:p>
    <w:p w14:paraId="53281DF7" w14:textId="0D38FF44" w:rsidR="008B00DE" w:rsidRPr="008B00DE" w:rsidRDefault="008B00DE" w:rsidP="00E24BCD">
      <w:pPr>
        <w:pStyle w:val="NoSpacing"/>
        <w:ind w:left="567" w:hanging="567"/>
        <w:rPr>
          <w:color w:val="0E0E0E"/>
          <w:spacing w:val="-1"/>
          <w:w w:val="105"/>
        </w:rPr>
      </w:pPr>
      <w:r w:rsidRPr="008B00DE">
        <w:rPr>
          <w:color w:val="0E0E0E"/>
          <w:spacing w:val="-1"/>
          <w:w w:val="105"/>
        </w:rPr>
        <w:t xml:space="preserve">The nominee made material alterations to the Tennant Creek Hotel without making a formal application to Licensing NT prior to undertaking the works. The works involved the </w:t>
      </w:r>
      <w:r>
        <w:rPr>
          <w:color w:val="0E0E0E"/>
          <w:spacing w:val="-1"/>
          <w:w w:val="105"/>
        </w:rPr>
        <w:t>replacement</w:t>
      </w:r>
      <w:r w:rsidRPr="008B00DE">
        <w:rPr>
          <w:color w:val="0E0E0E"/>
          <w:spacing w:val="-1"/>
          <w:w w:val="105"/>
        </w:rPr>
        <w:t xml:space="preserve"> of the exterior door</w:t>
      </w:r>
      <w:r>
        <w:rPr>
          <w:color w:val="0E0E0E"/>
          <w:spacing w:val="-1"/>
          <w:w w:val="105"/>
        </w:rPr>
        <w:t xml:space="preserve"> </w:t>
      </w:r>
      <w:r w:rsidRPr="008B00DE">
        <w:rPr>
          <w:color w:val="0E0E0E"/>
          <w:spacing w:val="-1"/>
          <w:w w:val="105"/>
        </w:rPr>
        <w:t>of the Faye Lewis Lounge Bar which leads onto</w:t>
      </w:r>
      <w:r>
        <w:rPr>
          <w:color w:val="0E0E0E"/>
          <w:spacing w:val="-1"/>
          <w:w w:val="105"/>
        </w:rPr>
        <w:t xml:space="preserve"> </w:t>
      </w:r>
      <w:r w:rsidRPr="008B00DE">
        <w:rPr>
          <w:color w:val="0E0E0E"/>
          <w:spacing w:val="-1"/>
          <w:w w:val="105"/>
        </w:rPr>
        <w:t>Paterson Street with</w:t>
      </w:r>
      <w:r>
        <w:rPr>
          <w:color w:val="0E0E0E"/>
          <w:spacing w:val="-1"/>
          <w:w w:val="105"/>
        </w:rPr>
        <w:t xml:space="preserve"> </w:t>
      </w:r>
      <w:r w:rsidRPr="008B00DE">
        <w:rPr>
          <w:color w:val="0E0E0E"/>
          <w:spacing w:val="-1"/>
          <w:w w:val="105"/>
        </w:rPr>
        <w:t>two fire doors. Two</w:t>
      </w:r>
      <w:r>
        <w:rPr>
          <w:color w:val="0E0E0E"/>
          <w:spacing w:val="-1"/>
          <w:w w:val="105"/>
        </w:rPr>
        <w:t xml:space="preserve"> </w:t>
      </w:r>
      <w:r w:rsidRPr="008B00DE">
        <w:rPr>
          <w:color w:val="0E0E0E"/>
          <w:spacing w:val="-1"/>
          <w:w w:val="105"/>
        </w:rPr>
        <w:t>metres inside the entrance, two interior doors and a part wall between the doors have also been removed. The stated reason for the alterations was to improve patron safety in the event of an emergency.</w:t>
      </w:r>
    </w:p>
    <w:p w14:paraId="709C2230" w14:textId="5E55F9D7" w:rsidR="008B00DE" w:rsidRPr="008B00DE" w:rsidRDefault="008B00DE" w:rsidP="00E24BCD">
      <w:pPr>
        <w:pStyle w:val="NoSpacing"/>
        <w:ind w:left="567" w:hanging="567"/>
        <w:rPr>
          <w:color w:val="0E0E0E"/>
          <w:spacing w:val="-1"/>
          <w:w w:val="105"/>
        </w:rPr>
      </w:pPr>
      <w:r w:rsidRPr="008B00DE">
        <w:rPr>
          <w:color w:val="0E0E0E"/>
          <w:spacing w:val="-1"/>
          <w:w w:val="105"/>
        </w:rPr>
        <w:t>In a letter dated 25 November 2015 the nominee was advised in writing that an application for the works was required. An application to undertake material alterations, dated 10 January 2016, was received by Licensing NT. Upon review it was noted that the Building Permit issued on 17 June 2015 was invalid. A new Building Permit was subsequently issued on 9 May 2016.</w:t>
      </w:r>
    </w:p>
    <w:p w14:paraId="30D87DB4" w14:textId="77777777" w:rsidR="008B00DE" w:rsidRPr="008B00DE" w:rsidRDefault="008B00DE" w:rsidP="00E24BCD">
      <w:pPr>
        <w:pStyle w:val="NoSpacing"/>
        <w:ind w:left="567" w:hanging="567"/>
        <w:rPr>
          <w:color w:val="0E0E0E"/>
          <w:spacing w:val="-1"/>
          <w:w w:val="105"/>
        </w:rPr>
      </w:pPr>
      <w:r w:rsidRPr="008B00DE">
        <w:rPr>
          <w:color w:val="0E0E0E"/>
          <w:spacing w:val="-1"/>
          <w:w w:val="105"/>
        </w:rPr>
        <w:t>The Delegate of the Director-General determined the application was in the public interest requiring public notices in the Tennant and District Times to inform the general public. This occurred on the 12th and 19th of August 2016.</w:t>
      </w:r>
    </w:p>
    <w:p w14:paraId="532834D9" w14:textId="77777777" w:rsidR="008B00DE" w:rsidRPr="008B00DE" w:rsidRDefault="008B00DE" w:rsidP="00E24BCD">
      <w:pPr>
        <w:pStyle w:val="NoSpacing"/>
        <w:ind w:left="567" w:hanging="567"/>
        <w:rPr>
          <w:color w:val="0E0E0E"/>
          <w:spacing w:val="-1"/>
          <w:w w:val="105"/>
        </w:rPr>
      </w:pPr>
      <w:r w:rsidRPr="008B00DE">
        <w:rPr>
          <w:color w:val="0E0E0E"/>
          <w:spacing w:val="-1"/>
          <w:w w:val="105"/>
        </w:rPr>
        <w:t>In addition, NT Police and the Department of Health were notified and asked to provide comment</w:t>
      </w:r>
      <w:r>
        <w:rPr>
          <w:color w:val="0E0E0E"/>
          <w:spacing w:val="-1"/>
          <w:w w:val="105"/>
        </w:rPr>
        <w:t xml:space="preserve"> </w:t>
      </w:r>
      <w:r w:rsidRPr="008B00DE">
        <w:rPr>
          <w:color w:val="0E0E0E"/>
          <w:spacing w:val="-1"/>
          <w:w w:val="105"/>
        </w:rPr>
        <w:t>on the alteration. The Department of Health responded stating it had no objections to the alterations. NT Police chose</w:t>
      </w:r>
      <w:r>
        <w:rPr>
          <w:color w:val="0E0E0E"/>
          <w:spacing w:val="-1"/>
          <w:w w:val="105"/>
        </w:rPr>
        <w:t xml:space="preserve"> </w:t>
      </w:r>
      <w:r w:rsidRPr="008B00DE">
        <w:rPr>
          <w:color w:val="0E0E0E"/>
          <w:spacing w:val="-1"/>
          <w:w w:val="105"/>
        </w:rPr>
        <w:t>not to respond.</w:t>
      </w:r>
    </w:p>
    <w:p w14:paraId="2C9369AE" w14:textId="77777777" w:rsidR="00DD72D2" w:rsidRPr="00F161FF" w:rsidRDefault="00DD72D2" w:rsidP="00E24BCD">
      <w:pPr>
        <w:pStyle w:val="NoSpacing"/>
        <w:numPr>
          <w:ilvl w:val="0"/>
          <w:numId w:val="0"/>
        </w:numPr>
        <w:ind w:left="720"/>
      </w:pPr>
    </w:p>
    <w:p w14:paraId="2C9369AF" w14:textId="77777777" w:rsidR="00F161FF" w:rsidRPr="00DD72D2" w:rsidRDefault="00DD72D2" w:rsidP="00E24BCD">
      <w:pPr>
        <w:pStyle w:val="Heading2"/>
      </w:pPr>
      <w:r w:rsidRPr="00DD72D2">
        <w:lastRenderedPageBreak/>
        <w:t>ASSESSMENT OF MATTER</w:t>
      </w:r>
    </w:p>
    <w:p w14:paraId="0DA5B485" w14:textId="50995C34" w:rsidR="00C13667" w:rsidRPr="00C13667" w:rsidRDefault="00C13667" w:rsidP="00E24BCD">
      <w:pPr>
        <w:pStyle w:val="NoSpacing"/>
        <w:ind w:left="567" w:hanging="567"/>
        <w:rPr>
          <w:color w:val="0E0E0E"/>
          <w:spacing w:val="-1"/>
          <w:w w:val="105"/>
        </w:rPr>
      </w:pPr>
      <w:r w:rsidRPr="00C13667">
        <w:rPr>
          <w:color w:val="0E0E0E"/>
          <w:spacing w:val="-1"/>
          <w:w w:val="105"/>
        </w:rPr>
        <w:t>No objections to the alterations have been received.</w:t>
      </w:r>
    </w:p>
    <w:p w14:paraId="2C9369B1" w14:textId="488E4D7A" w:rsidR="00DD72D2" w:rsidRPr="00C13667" w:rsidRDefault="00C13667" w:rsidP="00E24BCD">
      <w:pPr>
        <w:pStyle w:val="NoSpacing"/>
        <w:ind w:left="567" w:hanging="567"/>
        <w:rPr>
          <w:color w:val="0E0E0E"/>
          <w:spacing w:val="-1"/>
          <w:w w:val="105"/>
        </w:rPr>
      </w:pPr>
      <w:r w:rsidRPr="00C13667">
        <w:rPr>
          <w:color w:val="0E0E0E"/>
          <w:spacing w:val="-1"/>
          <w:w w:val="105"/>
        </w:rPr>
        <w:t>The material alterations have improved the safety of patrons in the event of an emergency.</w:t>
      </w:r>
    </w:p>
    <w:p w14:paraId="2C9369B8" w14:textId="77777777" w:rsidR="00DD72D2" w:rsidRPr="00DD72D2" w:rsidRDefault="00DD72D2" w:rsidP="00E24BCD">
      <w:pPr>
        <w:pStyle w:val="Heading2"/>
      </w:pPr>
      <w:r>
        <w:t>DECISION</w:t>
      </w:r>
    </w:p>
    <w:p w14:paraId="2C9369BA" w14:textId="040FAE1C" w:rsidR="00DD72D2" w:rsidRPr="00CE516C" w:rsidRDefault="00CE516C" w:rsidP="00E24BCD">
      <w:pPr>
        <w:pStyle w:val="NoSpacing"/>
        <w:ind w:left="567" w:hanging="567"/>
        <w:rPr>
          <w:color w:val="0E0E0E"/>
          <w:spacing w:val="-1"/>
          <w:w w:val="105"/>
        </w:rPr>
      </w:pPr>
      <w:r w:rsidRPr="00CE516C">
        <w:rPr>
          <w:color w:val="0E0E0E"/>
          <w:spacing w:val="-1"/>
          <w:w w:val="105"/>
        </w:rPr>
        <w:t>The decision is to approve the material alterations applied for.</w:t>
      </w:r>
    </w:p>
    <w:p w14:paraId="18CE71C9" w14:textId="6A1B7771" w:rsidR="00212D78" w:rsidRPr="00212D78" w:rsidRDefault="00DD72D2" w:rsidP="00E24BCD">
      <w:pPr>
        <w:pStyle w:val="Heading2"/>
      </w:pPr>
      <w:r>
        <w:t>REVIEW OF DECISION</w:t>
      </w:r>
    </w:p>
    <w:p w14:paraId="440B80F4" w14:textId="2D2B9DF9" w:rsidR="00212D78" w:rsidRPr="00212D78" w:rsidRDefault="00212D78" w:rsidP="00E24BCD">
      <w:pPr>
        <w:pStyle w:val="NoSpacing"/>
        <w:ind w:left="567" w:hanging="567"/>
        <w:rPr>
          <w:color w:val="0E0E0E"/>
          <w:spacing w:val="-1"/>
          <w:w w:val="105"/>
        </w:rPr>
      </w:pPr>
      <w:r w:rsidRPr="00212D78">
        <w:rPr>
          <w:color w:val="0E0E0E"/>
          <w:spacing w:val="-1"/>
          <w:w w:val="105"/>
        </w:rPr>
        <w:t xml:space="preserve">Section 8 of the </w:t>
      </w:r>
      <w:r w:rsidRPr="00947B70">
        <w:rPr>
          <w:i/>
          <w:color w:val="0E0E0E"/>
          <w:spacing w:val="-1"/>
          <w:w w:val="105"/>
        </w:rPr>
        <w:t>Licensing (Director-General) Act</w:t>
      </w:r>
      <w:r w:rsidRPr="00212D78">
        <w:rPr>
          <w:color w:val="0E0E0E"/>
          <w:spacing w:val="-1"/>
          <w:w w:val="105"/>
        </w:rPr>
        <w:t xml:space="preserve"> prescribes a delegate decision is a decision, under any Act, of the Director-General that is made by a delegate of the Director­ General.  The Director-General delegated the determination of applications made under Section 119 of the </w:t>
      </w:r>
      <w:r w:rsidRPr="00947B70">
        <w:rPr>
          <w:i/>
          <w:color w:val="0E0E0E"/>
          <w:spacing w:val="-1"/>
          <w:w w:val="105"/>
        </w:rPr>
        <w:t>Liquor Act</w:t>
      </w:r>
      <w:r w:rsidRPr="00212D78">
        <w:rPr>
          <w:color w:val="0E0E0E"/>
          <w:spacing w:val="-1"/>
          <w:w w:val="105"/>
        </w:rPr>
        <w:t xml:space="preserve"> by instrument to the person from time to time holding, acting in or performing the duties of the position in the Department of Business specified in Schedule 2 of that instrument.  This decision was made by a person referred to in that schedule.   Section 10 of the </w:t>
      </w:r>
      <w:r w:rsidRPr="00947B70">
        <w:rPr>
          <w:i/>
          <w:color w:val="0E0E0E"/>
          <w:spacing w:val="-1"/>
          <w:w w:val="105"/>
        </w:rPr>
        <w:t>Licensing (Director-General) Act</w:t>
      </w:r>
      <w:r w:rsidRPr="00212D78">
        <w:rPr>
          <w:color w:val="0E0E0E"/>
          <w:spacing w:val="-1"/>
          <w:w w:val="105"/>
        </w:rPr>
        <w:t xml:space="preserve"> provides that an affected person for a delegate decision may apply to the Director-General for a review of the</w:t>
      </w:r>
      <w:r>
        <w:rPr>
          <w:color w:val="0E0E0E"/>
          <w:spacing w:val="-1"/>
          <w:w w:val="105"/>
        </w:rPr>
        <w:t xml:space="preserve"> </w:t>
      </w:r>
      <w:r w:rsidRPr="00212D78">
        <w:rPr>
          <w:color w:val="0E0E0E"/>
          <w:spacing w:val="-1"/>
          <w:w w:val="105"/>
        </w:rPr>
        <w:t xml:space="preserve">decision.  This application for review must be made within 28 days after written notice of the delegate decision is given to the affected person, or within any additional time that the Director-General allows.  Section 9 of the </w:t>
      </w:r>
      <w:r w:rsidRPr="00947B70">
        <w:rPr>
          <w:i/>
          <w:color w:val="0E0E0E"/>
          <w:spacing w:val="-1"/>
          <w:w w:val="105"/>
        </w:rPr>
        <w:t>Licensing (Director-General) Act</w:t>
      </w:r>
      <w:r w:rsidRPr="00212D78">
        <w:rPr>
          <w:color w:val="0E0E0E"/>
          <w:spacing w:val="-1"/>
          <w:w w:val="105"/>
        </w:rPr>
        <w:t xml:space="preserve"> prescribes an affected person for a delegate decision to be the applicant for the material alteration and a person who made a submission, complaint or objection (however described) during the process that resulted in the decision being made.</w:t>
      </w:r>
    </w:p>
    <w:p w14:paraId="085EDF9E" w14:textId="77777777" w:rsidR="00212D78" w:rsidRPr="00212D78" w:rsidRDefault="00212D78" w:rsidP="00E24BCD">
      <w:pPr>
        <w:pStyle w:val="NoSpacing"/>
        <w:ind w:left="567" w:hanging="567"/>
        <w:rPr>
          <w:color w:val="0E0E0E"/>
          <w:spacing w:val="-1"/>
          <w:w w:val="105"/>
        </w:rPr>
      </w:pPr>
      <w:r w:rsidRPr="00212D78">
        <w:rPr>
          <w:color w:val="0E0E0E"/>
          <w:spacing w:val="-1"/>
          <w:w w:val="105"/>
        </w:rPr>
        <w:t>Accordingly, the affected person in relation to this decision is J An R Jenkins Pty Ltd.</w:t>
      </w:r>
    </w:p>
    <w:p w14:paraId="2C9369BD" w14:textId="22689F6F" w:rsidR="00DD72D2" w:rsidRPr="001E6FF6" w:rsidRDefault="00212D78" w:rsidP="001E6FF6">
      <w:pPr>
        <w:spacing w:before="1600" w:after="0"/>
        <w:rPr>
          <w:b/>
        </w:rPr>
      </w:pPr>
      <w:r>
        <w:rPr>
          <w:b/>
        </w:rPr>
        <w:t>Julie Rannard</w:t>
      </w:r>
    </w:p>
    <w:p w14:paraId="2C9369BE" w14:textId="5B4410C4" w:rsidR="00DD72D2" w:rsidRPr="00212D78" w:rsidRDefault="00212D78" w:rsidP="00DD72D2">
      <w:pPr>
        <w:spacing w:after="240"/>
        <w:rPr>
          <w:b/>
        </w:rPr>
      </w:pPr>
      <w:r w:rsidRPr="00212D78">
        <w:rPr>
          <w:b/>
        </w:rPr>
        <w:t>A/Deputy Director-General of Licensing</w:t>
      </w:r>
    </w:p>
    <w:p w14:paraId="2C9369BF" w14:textId="523FCA16" w:rsidR="00DD72D2" w:rsidRPr="00DD72D2" w:rsidRDefault="00212D78" w:rsidP="00DD72D2">
      <w:pPr>
        <w:spacing w:after="240"/>
      </w:pPr>
      <w:r>
        <w:t>07 October 2016</w:t>
      </w:r>
      <w:bookmarkStart w:id="1" w:name="_GoBack"/>
      <w:bookmarkEnd w:id="1"/>
    </w:p>
    <w:sectPr w:rsidR="00DD72D2" w:rsidRPr="00DD72D2" w:rsidSect="00F75669">
      <w:headerReference w:type="default" r:id="rId12"/>
      <w:footerReference w:type="default" r:id="rId13"/>
      <w:headerReference w:type="first" r:id="rId14"/>
      <w:footerReference w:type="first" r:id="rId15"/>
      <w:pgSz w:w="11906" w:h="16838"/>
      <w:pgMar w:top="2127" w:right="1134" w:bottom="1440" w:left="1134" w:header="709"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369C2" w14:textId="77777777" w:rsidR="006C0B9E" w:rsidRDefault="006C0B9E" w:rsidP="003E58C0">
      <w:pPr>
        <w:spacing w:after="0"/>
      </w:pPr>
      <w:r>
        <w:separator/>
      </w:r>
    </w:p>
  </w:endnote>
  <w:endnote w:type="continuationSeparator" w:id="0">
    <w:p w14:paraId="2C9369C3" w14:textId="77777777" w:rsidR="006C0B9E" w:rsidRDefault="006C0B9E"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CBBA7" w14:textId="77777777" w:rsidR="00A94548" w:rsidRPr="00A94548" w:rsidRDefault="00A94548" w:rsidP="00A94548">
    <w:pPr>
      <w:pBdr>
        <w:top w:val="single" w:sz="4" w:space="1" w:color="auto"/>
      </w:pBdr>
      <w:tabs>
        <w:tab w:val="right" w:pos="9638"/>
      </w:tabs>
      <w:spacing w:after="0"/>
      <w:rPr>
        <w:sz w:val="18"/>
        <w:szCs w:val="18"/>
      </w:rPr>
    </w:pPr>
    <w:r w:rsidRPr="00A94548">
      <w:rPr>
        <w:sz w:val="18"/>
        <w:szCs w:val="18"/>
      </w:rPr>
      <w:t>Decision J AN R Jenkins Pty Ltd</w:t>
    </w:r>
    <w:r w:rsidRPr="00A94548">
      <w:rPr>
        <w:sz w:val="18"/>
        <w:szCs w:val="18"/>
      </w:rPr>
      <w:tab/>
      <w:t>Date of Decision: 07 October 2016</w:t>
    </w:r>
  </w:p>
  <w:p w14:paraId="0F97DC19" w14:textId="77777777" w:rsidR="00A94548" w:rsidRPr="00A94548" w:rsidRDefault="00A94548" w:rsidP="00A94548">
    <w:pPr>
      <w:tabs>
        <w:tab w:val="right" w:pos="9638"/>
      </w:tabs>
      <w:rPr>
        <w:noProof/>
        <w:sz w:val="18"/>
        <w:szCs w:val="18"/>
      </w:rPr>
    </w:pPr>
    <w:r w:rsidRPr="00A94548">
      <w:rPr>
        <w:sz w:val="18"/>
        <w:szCs w:val="18"/>
      </w:rPr>
      <w:t>Ref# DOB2016/4020</w:t>
    </w:r>
    <w:r w:rsidRPr="00A94548">
      <w:rPr>
        <w:sz w:val="18"/>
        <w:szCs w:val="18"/>
      </w:rPr>
      <w:tab/>
    </w:r>
    <w:r w:rsidRPr="00A94548">
      <w:rPr>
        <w:sz w:val="18"/>
        <w:szCs w:val="18"/>
      </w:rPr>
      <w:fldChar w:fldCharType="begin"/>
    </w:r>
    <w:r w:rsidRPr="00A94548">
      <w:rPr>
        <w:sz w:val="18"/>
        <w:szCs w:val="18"/>
      </w:rPr>
      <w:instrText xml:space="preserve"> PAGE   \* MERGEFORMAT </w:instrText>
    </w:r>
    <w:r w:rsidRPr="00A94548">
      <w:rPr>
        <w:sz w:val="18"/>
        <w:szCs w:val="18"/>
      </w:rPr>
      <w:fldChar w:fldCharType="separate"/>
    </w:r>
    <w:r w:rsidR="00E403A7">
      <w:rPr>
        <w:noProof/>
        <w:sz w:val="18"/>
        <w:szCs w:val="18"/>
      </w:rPr>
      <w:t>2</w:t>
    </w:r>
    <w:r w:rsidRPr="00A94548">
      <w:rPr>
        <w:noProof/>
        <w:sz w:val="18"/>
        <w:szCs w:val="18"/>
      </w:rPr>
      <w:fldChar w:fldCharType="end"/>
    </w:r>
  </w:p>
  <w:p w14:paraId="2C9369C7" w14:textId="626CF193" w:rsidR="00A66342" w:rsidRPr="00A94548" w:rsidRDefault="00E403A7" w:rsidP="00A94548">
    <w:pPr>
      <w:spacing w:line="204" w:lineRule="exact"/>
      <w:ind w:left="20"/>
      <w:jc w:val="right"/>
      <w:rPr>
        <w:rFonts w:eastAsia="Times New Roman"/>
        <w:b/>
        <w:sz w:val="18"/>
        <w:szCs w:val="18"/>
      </w:rPr>
    </w:pPr>
    <w:hyperlink r:id="rId1">
      <w:r w:rsidR="00A94548" w:rsidRPr="00A94548">
        <w:rPr>
          <w:b/>
          <w:color w:val="0E0E0E"/>
          <w:sz w:val="18"/>
        </w:rPr>
        <w:t>http://www.nt.gov.au/justice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69C9" w14:textId="49E5491D" w:rsidR="00825D0D" w:rsidRPr="00A94548" w:rsidRDefault="00825D0D" w:rsidP="00825D0D">
    <w:pPr>
      <w:pBdr>
        <w:top w:val="single" w:sz="4" w:space="1" w:color="auto"/>
      </w:pBdr>
      <w:tabs>
        <w:tab w:val="right" w:pos="9638"/>
      </w:tabs>
      <w:spacing w:after="0"/>
      <w:rPr>
        <w:sz w:val="18"/>
        <w:szCs w:val="18"/>
      </w:rPr>
    </w:pPr>
    <w:r w:rsidRPr="00A94548">
      <w:rPr>
        <w:sz w:val="18"/>
        <w:szCs w:val="18"/>
      </w:rPr>
      <w:t xml:space="preserve">Decision </w:t>
    </w:r>
    <w:r w:rsidR="008B00DE" w:rsidRPr="00A94548">
      <w:rPr>
        <w:sz w:val="18"/>
        <w:szCs w:val="18"/>
      </w:rPr>
      <w:t>J AN R Jenkins Pty Ltd</w:t>
    </w:r>
    <w:r w:rsidRPr="00A94548">
      <w:rPr>
        <w:sz w:val="18"/>
        <w:szCs w:val="18"/>
      </w:rPr>
      <w:tab/>
      <w:t xml:space="preserve">Date of Decision: </w:t>
    </w:r>
    <w:r w:rsidR="00A94548" w:rsidRPr="00A94548">
      <w:rPr>
        <w:sz w:val="18"/>
        <w:szCs w:val="18"/>
      </w:rPr>
      <w:t>07 October 2016</w:t>
    </w:r>
  </w:p>
  <w:p w14:paraId="2C9369CB" w14:textId="1BC957E1" w:rsidR="00A66342" w:rsidRPr="00A94548" w:rsidRDefault="00825D0D" w:rsidP="00E163AD">
    <w:pPr>
      <w:tabs>
        <w:tab w:val="right" w:pos="9638"/>
      </w:tabs>
      <w:rPr>
        <w:noProof/>
        <w:sz w:val="18"/>
        <w:szCs w:val="18"/>
      </w:rPr>
    </w:pPr>
    <w:r w:rsidRPr="00A94548">
      <w:rPr>
        <w:sz w:val="18"/>
        <w:szCs w:val="18"/>
      </w:rPr>
      <w:t xml:space="preserve">Ref# </w:t>
    </w:r>
    <w:r w:rsidR="008B00DE" w:rsidRPr="00A94548">
      <w:rPr>
        <w:sz w:val="18"/>
        <w:szCs w:val="18"/>
      </w:rPr>
      <w:t>DOB2016/4020</w:t>
    </w:r>
    <w:r w:rsidRPr="00A94548">
      <w:rPr>
        <w:sz w:val="18"/>
        <w:szCs w:val="18"/>
      </w:rPr>
      <w:tab/>
    </w:r>
    <w:r w:rsidRPr="00A94548">
      <w:rPr>
        <w:sz w:val="18"/>
        <w:szCs w:val="18"/>
      </w:rPr>
      <w:fldChar w:fldCharType="begin"/>
    </w:r>
    <w:r w:rsidRPr="00A94548">
      <w:rPr>
        <w:sz w:val="18"/>
        <w:szCs w:val="18"/>
      </w:rPr>
      <w:instrText xml:space="preserve"> PAGE   \* MERGEFORMAT </w:instrText>
    </w:r>
    <w:r w:rsidRPr="00A94548">
      <w:rPr>
        <w:sz w:val="18"/>
        <w:szCs w:val="18"/>
      </w:rPr>
      <w:fldChar w:fldCharType="separate"/>
    </w:r>
    <w:r w:rsidR="00E403A7">
      <w:rPr>
        <w:noProof/>
        <w:sz w:val="18"/>
        <w:szCs w:val="18"/>
      </w:rPr>
      <w:t>1</w:t>
    </w:r>
    <w:r w:rsidRPr="00A94548">
      <w:rPr>
        <w:noProof/>
        <w:sz w:val="18"/>
        <w:szCs w:val="18"/>
      </w:rPr>
      <w:fldChar w:fldCharType="end"/>
    </w:r>
  </w:p>
  <w:p w14:paraId="623B555C" w14:textId="469992F8" w:rsidR="00A94548" w:rsidRPr="00A94548" w:rsidRDefault="00E403A7" w:rsidP="00A94548">
    <w:pPr>
      <w:spacing w:line="204" w:lineRule="exact"/>
      <w:ind w:left="20"/>
      <w:jc w:val="right"/>
      <w:rPr>
        <w:rFonts w:eastAsia="Times New Roman"/>
        <w:b/>
        <w:sz w:val="18"/>
        <w:szCs w:val="18"/>
      </w:rPr>
    </w:pPr>
    <w:hyperlink r:id="rId1">
      <w:r w:rsidR="00A94548" w:rsidRPr="00A94548">
        <w:rPr>
          <w:b/>
          <w:color w:val="0E0E0E"/>
          <w:sz w:val="18"/>
        </w:rPr>
        <w:t>http://www.nt.gov.au/justice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369C0" w14:textId="77777777" w:rsidR="006C0B9E" w:rsidRDefault="006C0B9E" w:rsidP="003E58C0">
      <w:pPr>
        <w:spacing w:after="0"/>
      </w:pPr>
      <w:r>
        <w:separator/>
      </w:r>
    </w:p>
  </w:footnote>
  <w:footnote w:type="continuationSeparator" w:id="0">
    <w:p w14:paraId="2C9369C1" w14:textId="77777777" w:rsidR="006C0B9E" w:rsidRDefault="006C0B9E"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69C4" w14:textId="77777777" w:rsidR="008C03F0" w:rsidRDefault="008C03F0"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DFCF8" w14:textId="2F1A62C5" w:rsidR="00ED557E" w:rsidRDefault="00ED557E" w:rsidP="00ED557E">
    <w:pPr>
      <w:pStyle w:val="Header"/>
    </w:pPr>
    <w:r>
      <w:rPr>
        <w:noProof/>
        <w:lang w:eastAsia="en-AU"/>
      </w:rPr>
      <w:drawing>
        <wp:inline distT="0" distB="0" distL="0" distR="0" wp14:anchorId="42E33A3D" wp14:editId="79D9AEF8">
          <wp:extent cx="1880870" cy="664210"/>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664210"/>
                  </a:xfrm>
                  <a:prstGeom prst="rect">
                    <a:avLst/>
                  </a:prstGeom>
                  <a:noFill/>
                  <a:ln>
                    <a:noFill/>
                  </a:ln>
                </pic:spPr>
              </pic:pic>
            </a:graphicData>
          </a:graphic>
        </wp:inline>
      </w:drawing>
    </w:r>
  </w:p>
  <w:p w14:paraId="2C9369C8" w14:textId="1EE28EFE" w:rsidR="00A66342" w:rsidRPr="00ED557E" w:rsidRDefault="00A66342" w:rsidP="00ED55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7B9"/>
    <w:multiLevelType w:val="hybridMultilevel"/>
    <w:tmpl w:val="CE82FB14"/>
    <w:lvl w:ilvl="0" w:tplc="8012BD0C">
      <w:start w:val="1"/>
      <w:numFmt w:val="decimal"/>
      <w:pStyle w:val="NoSpacing"/>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6FF13C54"/>
    <w:multiLevelType w:val="hybridMultilevel"/>
    <w:tmpl w:val="DC0A1C8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4F65D57"/>
    <w:multiLevelType w:val="hybridMultilevel"/>
    <w:tmpl w:val="4AFC0686"/>
    <w:lvl w:ilvl="0" w:tplc="8D965D3E">
      <w:start w:val="1"/>
      <w:numFmt w:val="bullet"/>
      <w:lvlText w:val="-"/>
      <w:lvlJc w:val="left"/>
      <w:pPr>
        <w:ind w:left="591" w:hanging="325"/>
      </w:pPr>
      <w:rPr>
        <w:rFonts w:ascii="Arial" w:eastAsia="Arial" w:hAnsi="Arial" w:hint="default"/>
        <w:color w:val="C84421"/>
        <w:spacing w:val="-25"/>
        <w:w w:val="477"/>
        <w:sz w:val="22"/>
        <w:szCs w:val="22"/>
      </w:rPr>
    </w:lvl>
    <w:lvl w:ilvl="1" w:tplc="6B0C4E2E">
      <w:start w:val="1"/>
      <w:numFmt w:val="decimal"/>
      <w:lvlText w:val="%2."/>
      <w:lvlJc w:val="left"/>
      <w:pPr>
        <w:ind w:left="682" w:hanging="349"/>
        <w:jc w:val="right"/>
      </w:pPr>
      <w:rPr>
        <w:rFonts w:ascii="Arial" w:eastAsia="Arial" w:hAnsi="Arial" w:hint="default"/>
        <w:color w:val="0E0E0E"/>
        <w:sz w:val="21"/>
        <w:szCs w:val="21"/>
      </w:rPr>
    </w:lvl>
    <w:lvl w:ilvl="2" w:tplc="95F43A54">
      <w:start w:val="1"/>
      <w:numFmt w:val="bullet"/>
      <w:lvlText w:val="•"/>
      <w:lvlJc w:val="left"/>
      <w:pPr>
        <w:ind w:left="917" w:hanging="349"/>
      </w:pPr>
      <w:rPr>
        <w:rFonts w:hint="default"/>
      </w:rPr>
    </w:lvl>
    <w:lvl w:ilvl="3" w:tplc="F1A871A0">
      <w:start w:val="1"/>
      <w:numFmt w:val="bullet"/>
      <w:lvlText w:val="•"/>
      <w:lvlJc w:val="left"/>
      <w:pPr>
        <w:ind w:left="1153" w:hanging="349"/>
      </w:pPr>
      <w:rPr>
        <w:rFonts w:hint="default"/>
      </w:rPr>
    </w:lvl>
    <w:lvl w:ilvl="4" w:tplc="8FA2C72C">
      <w:start w:val="1"/>
      <w:numFmt w:val="bullet"/>
      <w:lvlText w:val="•"/>
      <w:lvlJc w:val="left"/>
      <w:pPr>
        <w:ind w:left="1388" w:hanging="349"/>
      </w:pPr>
      <w:rPr>
        <w:rFonts w:hint="default"/>
      </w:rPr>
    </w:lvl>
    <w:lvl w:ilvl="5" w:tplc="6DA48EB6">
      <w:start w:val="1"/>
      <w:numFmt w:val="bullet"/>
      <w:lvlText w:val="•"/>
      <w:lvlJc w:val="left"/>
      <w:pPr>
        <w:ind w:left="1624" w:hanging="349"/>
      </w:pPr>
      <w:rPr>
        <w:rFonts w:hint="default"/>
      </w:rPr>
    </w:lvl>
    <w:lvl w:ilvl="6" w:tplc="6C5C61EA">
      <w:start w:val="1"/>
      <w:numFmt w:val="bullet"/>
      <w:lvlText w:val="•"/>
      <w:lvlJc w:val="left"/>
      <w:pPr>
        <w:ind w:left="1859" w:hanging="349"/>
      </w:pPr>
      <w:rPr>
        <w:rFonts w:hint="default"/>
      </w:rPr>
    </w:lvl>
    <w:lvl w:ilvl="7" w:tplc="CE26468E">
      <w:start w:val="1"/>
      <w:numFmt w:val="bullet"/>
      <w:lvlText w:val="•"/>
      <w:lvlJc w:val="left"/>
      <w:pPr>
        <w:ind w:left="2094" w:hanging="349"/>
      </w:pPr>
      <w:rPr>
        <w:rFonts w:hint="default"/>
      </w:rPr>
    </w:lvl>
    <w:lvl w:ilvl="8" w:tplc="279E5BA4">
      <w:start w:val="1"/>
      <w:numFmt w:val="bullet"/>
      <w:lvlText w:val="•"/>
      <w:lvlJc w:val="left"/>
      <w:pPr>
        <w:ind w:left="2330" w:hanging="349"/>
      </w:pPr>
      <w:rPr>
        <w:rFonts w:hint="default"/>
      </w:rPr>
    </w:lvl>
  </w:abstractNum>
  <w:num w:numId="1">
    <w:abstractNumId w:val="1"/>
  </w:num>
  <w:num w:numId="2">
    <w:abstractNumId w:val="2"/>
  </w:num>
  <w:num w:numId="3">
    <w:abstractNumId w:val="3"/>
  </w:num>
  <w:num w:numId="4">
    <w:abstractNumId w:val="0"/>
  </w:num>
  <w:num w:numId="5">
    <w:abstractNumId w:val="0"/>
  </w:num>
  <w:num w:numId="6">
    <w:abstractNumId w:val="4"/>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9A2"/>
    <w:rsid w:val="000438DD"/>
    <w:rsid w:val="000B2CD0"/>
    <w:rsid w:val="00154B6F"/>
    <w:rsid w:val="001606E6"/>
    <w:rsid w:val="001E6FF6"/>
    <w:rsid w:val="00212D78"/>
    <w:rsid w:val="0023784C"/>
    <w:rsid w:val="00245491"/>
    <w:rsid w:val="002A2638"/>
    <w:rsid w:val="002C0009"/>
    <w:rsid w:val="002D2C9C"/>
    <w:rsid w:val="003E309D"/>
    <w:rsid w:val="003E58C0"/>
    <w:rsid w:val="00424BE1"/>
    <w:rsid w:val="004500C5"/>
    <w:rsid w:val="004827C5"/>
    <w:rsid w:val="00516B5B"/>
    <w:rsid w:val="005322BD"/>
    <w:rsid w:val="00554044"/>
    <w:rsid w:val="00594BDA"/>
    <w:rsid w:val="005A0B41"/>
    <w:rsid w:val="00611615"/>
    <w:rsid w:val="0063134A"/>
    <w:rsid w:val="00641618"/>
    <w:rsid w:val="006506E0"/>
    <w:rsid w:val="00690008"/>
    <w:rsid w:val="006A0B9A"/>
    <w:rsid w:val="006C0B9E"/>
    <w:rsid w:val="006D2F91"/>
    <w:rsid w:val="00731CC0"/>
    <w:rsid w:val="0073515A"/>
    <w:rsid w:val="007419A2"/>
    <w:rsid w:val="0078053C"/>
    <w:rsid w:val="00825D0D"/>
    <w:rsid w:val="008448A7"/>
    <w:rsid w:val="0086664D"/>
    <w:rsid w:val="008B00DE"/>
    <w:rsid w:val="008C03F0"/>
    <w:rsid w:val="008E1EBA"/>
    <w:rsid w:val="00947B70"/>
    <w:rsid w:val="009519BE"/>
    <w:rsid w:val="009C5D09"/>
    <w:rsid w:val="00A02122"/>
    <w:rsid w:val="00A66342"/>
    <w:rsid w:val="00A94548"/>
    <w:rsid w:val="00AC5014"/>
    <w:rsid w:val="00B35447"/>
    <w:rsid w:val="00B67E88"/>
    <w:rsid w:val="00B83B43"/>
    <w:rsid w:val="00C13667"/>
    <w:rsid w:val="00C9103C"/>
    <w:rsid w:val="00CE516C"/>
    <w:rsid w:val="00D402F0"/>
    <w:rsid w:val="00D72204"/>
    <w:rsid w:val="00D7349E"/>
    <w:rsid w:val="00DA7EEE"/>
    <w:rsid w:val="00DB5506"/>
    <w:rsid w:val="00DD72D2"/>
    <w:rsid w:val="00E163AD"/>
    <w:rsid w:val="00E21396"/>
    <w:rsid w:val="00E24BCD"/>
    <w:rsid w:val="00E30632"/>
    <w:rsid w:val="00E403A7"/>
    <w:rsid w:val="00E91362"/>
    <w:rsid w:val="00ED557E"/>
    <w:rsid w:val="00F161FF"/>
    <w:rsid w:val="00F75669"/>
    <w:rsid w:val="00F86B64"/>
    <w:rsid w:val="00FE5A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93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2A2638"/>
    <w:pPr>
      <w:keepNext/>
      <w:keepLines/>
      <w:spacing w:before="240" w:after="24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2A2638"/>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A02122"/>
    <w:pPr>
      <w:numPr>
        <w:numId w:val="4"/>
      </w:numPr>
      <w:spacing w:after="120"/>
    </w:pPr>
    <w:rPr>
      <w:rFonts w:ascii="Lato" w:hAnsi="Lato"/>
      <w:sz w:val="22"/>
      <w:szCs w:val="22"/>
      <w:lang w:eastAsia="en-US"/>
    </w:rPr>
  </w:style>
  <w:style w:type="paragraph" w:styleId="BalloonText">
    <w:name w:val="Balloon Text"/>
    <w:basedOn w:val="Normal"/>
    <w:link w:val="BalloonTextChar"/>
    <w:uiPriority w:val="99"/>
    <w:semiHidden/>
    <w:unhideWhenUsed/>
    <w:rsid w:val="00ED557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7E"/>
    <w:rPr>
      <w:rFonts w:ascii="Tahoma" w:hAnsi="Tahoma" w:cs="Tahoma"/>
      <w:sz w:val="16"/>
      <w:szCs w:val="16"/>
      <w:lang w:eastAsia="en-US"/>
    </w:rPr>
  </w:style>
  <w:style w:type="paragraph" w:styleId="BodyText">
    <w:name w:val="Body Text"/>
    <w:basedOn w:val="Normal"/>
    <w:link w:val="BodyTextChar"/>
    <w:uiPriority w:val="1"/>
    <w:qFormat/>
    <w:rsid w:val="00B67E88"/>
    <w:pPr>
      <w:widowControl w:val="0"/>
      <w:spacing w:after="0"/>
      <w:ind w:left="673" w:hanging="354"/>
    </w:pPr>
    <w:rPr>
      <w:rFonts w:ascii="Arial" w:eastAsia="Arial" w:hAnsi="Arial" w:cstheme="minorBidi"/>
      <w:sz w:val="21"/>
      <w:szCs w:val="21"/>
      <w:lang w:val="en-US"/>
    </w:rPr>
  </w:style>
  <w:style w:type="character" w:customStyle="1" w:styleId="BodyTextChar">
    <w:name w:val="Body Text Char"/>
    <w:basedOn w:val="DefaultParagraphFont"/>
    <w:link w:val="BodyText"/>
    <w:uiPriority w:val="1"/>
    <w:rsid w:val="00B67E88"/>
    <w:rPr>
      <w:rFonts w:ascii="Arial" w:eastAsia="Arial" w:hAnsi="Arial" w:cstheme="minorBidi"/>
      <w:sz w:val="21"/>
      <w:szCs w:val="21"/>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2A2638"/>
    <w:pPr>
      <w:keepNext/>
      <w:keepLines/>
      <w:spacing w:before="240" w:after="24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2A2638"/>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A02122"/>
    <w:pPr>
      <w:numPr>
        <w:numId w:val="4"/>
      </w:numPr>
      <w:spacing w:after="120"/>
    </w:pPr>
    <w:rPr>
      <w:rFonts w:ascii="Lato" w:hAnsi="Lato"/>
      <w:sz w:val="22"/>
      <w:szCs w:val="22"/>
      <w:lang w:eastAsia="en-US"/>
    </w:rPr>
  </w:style>
  <w:style w:type="paragraph" w:styleId="BalloonText">
    <w:name w:val="Balloon Text"/>
    <w:basedOn w:val="Normal"/>
    <w:link w:val="BalloonTextChar"/>
    <w:uiPriority w:val="99"/>
    <w:semiHidden/>
    <w:unhideWhenUsed/>
    <w:rsid w:val="00ED557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7E"/>
    <w:rPr>
      <w:rFonts w:ascii="Tahoma" w:hAnsi="Tahoma" w:cs="Tahoma"/>
      <w:sz w:val="16"/>
      <w:szCs w:val="16"/>
      <w:lang w:eastAsia="en-US"/>
    </w:rPr>
  </w:style>
  <w:style w:type="paragraph" w:styleId="BodyText">
    <w:name w:val="Body Text"/>
    <w:basedOn w:val="Normal"/>
    <w:link w:val="BodyTextChar"/>
    <w:uiPriority w:val="1"/>
    <w:qFormat/>
    <w:rsid w:val="00B67E88"/>
    <w:pPr>
      <w:widowControl w:val="0"/>
      <w:spacing w:after="0"/>
      <w:ind w:left="673" w:hanging="354"/>
    </w:pPr>
    <w:rPr>
      <w:rFonts w:ascii="Arial" w:eastAsia="Arial" w:hAnsi="Arial" w:cstheme="minorBidi"/>
      <w:sz w:val="21"/>
      <w:szCs w:val="21"/>
      <w:lang w:val="en-US"/>
    </w:rPr>
  </w:style>
  <w:style w:type="character" w:customStyle="1" w:styleId="BodyTextChar">
    <w:name w:val="Body Text Char"/>
    <w:basedOn w:val="DefaultParagraphFont"/>
    <w:link w:val="BodyText"/>
    <w:uiPriority w:val="1"/>
    <w:rsid w:val="00B67E88"/>
    <w:rPr>
      <w:rFonts w:ascii="Arial" w:eastAsia="Arial" w:hAnsi="Arial" w:cstheme="minorBidi"/>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3723">
      <w:bodyDiv w:val="1"/>
      <w:marLeft w:val="0"/>
      <w:marRight w:val="0"/>
      <w:marTop w:val="0"/>
      <w:marBottom w:val="0"/>
      <w:divBdr>
        <w:top w:val="none" w:sz="0" w:space="0" w:color="auto"/>
        <w:left w:val="none" w:sz="0" w:space="0" w:color="auto"/>
        <w:bottom w:val="none" w:sz="0" w:space="0" w:color="auto"/>
        <w:right w:val="none" w:sz="0" w:space="0" w:color="auto"/>
      </w:divBdr>
    </w:div>
    <w:div w:id="177239900">
      <w:bodyDiv w:val="1"/>
      <w:marLeft w:val="0"/>
      <w:marRight w:val="0"/>
      <w:marTop w:val="0"/>
      <w:marBottom w:val="0"/>
      <w:divBdr>
        <w:top w:val="none" w:sz="0" w:space="0" w:color="auto"/>
        <w:left w:val="none" w:sz="0" w:space="0" w:color="auto"/>
        <w:bottom w:val="none" w:sz="0" w:space="0" w:color="auto"/>
        <w:right w:val="none" w:sz="0" w:space="0" w:color="auto"/>
      </w:divBdr>
    </w:div>
    <w:div w:id="831532453">
      <w:bodyDiv w:val="1"/>
      <w:marLeft w:val="0"/>
      <w:marRight w:val="0"/>
      <w:marTop w:val="0"/>
      <w:marBottom w:val="0"/>
      <w:divBdr>
        <w:top w:val="none" w:sz="0" w:space="0" w:color="auto"/>
        <w:left w:val="none" w:sz="0" w:space="0" w:color="auto"/>
        <w:bottom w:val="none" w:sz="0" w:space="0" w:color="auto"/>
        <w:right w:val="none" w:sz="0" w:space="0" w:color="auto"/>
      </w:divBdr>
    </w:div>
    <w:div w:id="190737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nt.gov.au/justic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t.gov.au/justi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3.xml><?xml version="1.0" encoding="utf-8"?>
<ds:datastoreItem xmlns:ds="http://schemas.openxmlformats.org/officeDocument/2006/customXml" ds:itemID="{E1294DCD-E20B-418B-B402-80B3B470B33B}">
  <ds:schemaRef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3f1acef0-744d-4246-9640-1b1641e99d0a"/>
    <ds:schemaRef ds:uri="http://purl.org/dc/terms/"/>
  </ds:schemaRefs>
</ds:datastoreItem>
</file>

<file path=customXml/itemProps4.xml><?xml version="1.0" encoding="utf-8"?>
<ds:datastoreItem xmlns:ds="http://schemas.openxmlformats.org/officeDocument/2006/customXml" ds:itemID="{7C5752A0-AF7E-4D13-AB5F-0787CE8BF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Delegate of the Director-General Decision Notice Template</vt:lpstr>
    </vt:vector>
  </TitlesOfParts>
  <Company>NTG</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 - Tennant Creek Hotel</dc:title>
  <dc:creator>Karen Gerschwitz</dc:creator>
  <cp:lastModifiedBy>Karen Gerschwitz</cp:lastModifiedBy>
  <cp:revision>15</cp:revision>
  <cp:lastPrinted>2016-12-13T03:00:00Z</cp:lastPrinted>
  <dcterms:created xsi:type="dcterms:W3CDTF">2016-12-13T01:53:00Z</dcterms:created>
  <dcterms:modified xsi:type="dcterms:W3CDTF">2016-12-13T03:00:00Z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