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1FF" w:rsidRDefault="00E91362" w:rsidP="00E30632">
      <w:pPr>
        <w:pStyle w:val="Title"/>
        <w:spacing w:after="0" w:line="360" w:lineRule="auto"/>
        <w:jc w:val="center"/>
        <w:rPr>
          <w:bCs/>
        </w:rPr>
      </w:pPr>
      <w:r>
        <w:rPr>
          <w:bCs/>
        </w:rPr>
        <w:t xml:space="preserve">Delegate of the </w:t>
      </w:r>
      <w:r w:rsidR="00DD72D2">
        <w:rPr>
          <w:bCs/>
        </w:rPr>
        <w:t>Director-General of Licensing</w:t>
      </w:r>
    </w:p>
    <w:p w:rsidR="00DD72D2" w:rsidRPr="00DD72D2" w:rsidRDefault="00DD72D2" w:rsidP="00DD72D2">
      <w:pPr>
        <w:pStyle w:val="Title"/>
        <w:pBdr>
          <w:bottom w:val="single" w:sz="4" w:space="1" w:color="auto"/>
        </w:pBdr>
        <w:spacing w:after="0" w:line="240" w:lineRule="auto"/>
        <w:jc w:val="center"/>
        <w:rPr>
          <w:bCs/>
        </w:rPr>
      </w:pPr>
      <w:r w:rsidRPr="00DD72D2">
        <w:rPr>
          <w:bCs/>
        </w:rPr>
        <w:t>Decision Notice</w:t>
      </w:r>
    </w:p>
    <w:p w:rsidR="00F161FF" w:rsidRPr="00594BDA" w:rsidRDefault="00DD72D2" w:rsidP="00DD72D2">
      <w:pPr>
        <w:tabs>
          <w:tab w:val="left" w:pos="2835"/>
        </w:tabs>
        <w:spacing w:before="240" w:after="240"/>
      </w:pPr>
      <w:r>
        <w:rPr>
          <w:b/>
        </w:rPr>
        <w:t>MATTER:</w:t>
      </w:r>
      <w:r w:rsidRPr="00594BDA">
        <w:tab/>
      </w:r>
      <w:r w:rsidR="00355F21">
        <w:t>Material Alteration</w:t>
      </w:r>
      <w:r w:rsidR="00AE0456">
        <w:t>s and Variation of Liquor Licenc</w:t>
      </w:r>
      <w:r w:rsidR="00355F21">
        <w:t>e</w:t>
      </w:r>
      <w:r w:rsidR="00AE0456">
        <w:t xml:space="preserve"> Conditions</w:t>
      </w:r>
    </w:p>
    <w:p w:rsidR="00F161FF" w:rsidRPr="00594BDA" w:rsidRDefault="00125FE3" w:rsidP="00DD72D2">
      <w:pPr>
        <w:tabs>
          <w:tab w:val="left" w:pos="2835"/>
        </w:tabs>
        <w:spacing w:before="240" w:after="240"/>
      </w:pPr>
      <w:r>
        <w:rPr>
          <w:b/>
        </w:rPr>
        <w:t>LICENSEE</w:t>
      </w:r>
      <w:r w:rsidR="00DD72D2" w:rsidRPr="00DD72D2">
        <w:rPr>
          <w:b/>
        </w:rPr>
        <w:t>:</w:t>
      </w:r>
      <w:r w:rsidR="00DD72D2" w:rsidRPr="00594BDA">
        <w:tab/>
      </w:r>
      <w:proofErr w:type="spellStart"/>
      <w:r w:rsidR="00355F21">
        <w:t>SKYCITY</w:t>
      </w:r>
      <w:proofErr w:type="spellEnd"/>
      <w:r w:rsidR="00355F21">
        <w:t xml:space="preserve"> Darwin Pty </w:t>
      </w:r>
      <w:r w:rsidR="00961C2A">
        <w:t>Ltd</w:t>
      </w:r>
    </w:p>
    <w:p w:rsidR="00F161FF" w:rsidRPr="00594BDA" w:rsidRDefault="00125FE3" w:rsidP="00DD72D2">
      <w:pPr>
        <w:tabs>
          <w:tab w:val="left" w:pos="2835"/>
        </w:tabs>
        <w:spacing w:before="240" w:after="240"/>
      </w:pPr>
      <w:r>
        <w:rPr>
          <w:b/>
        </w:rPr>
        <w:t>PREMISES</w:t>
      </w:r>
      <w:r w:rsidR="00DD72D2" w:rsidRPr="00DD72D2">
        <w:rPr>
          <w:b/>
        </w:rPr>
        <w:t>:</w:t>
      </w:r>
      <w:r w:rsidR="00DD72D2" w:rsidRPr="00594BDA">
        <w:tab/>
      </w:r>
      <w:proofErr w:type="spellStart"/>
      <w:r w:rsidR="00355F21">
        <w:t>SKYCITY</w:t>
      </w:r>
      <w:proofErr w:type="spellEnd"/>
      <w:r w:rsidR="00355F21">
        <w:t xml:space="preserve"> Darwin</w:t>
      </w:r>
    </w:p>
    <w:p w:rsidR="00F161FF" w:rsidRPr="00594BDA" w:rsidRDefault="00DD72D2" w:rsidP="00DD72D2">
      <w:pPr>
        <w:tabs>
          <w:tab w:val="left" w:pos="2835"/>
        </w:tabs>
        <w:spacing w:before="240" w:after="240"/>
      </w:pPr>
      <w:r w:rsidRPr="00DD72D2">
        <w:rPr>
          <w:b/>
        </w:rPr>
        <w:t>NOMINEE:</w:t>
      </w:r>
      <w:r w:rsidRPr="00594BDA">
        <w:tab/>
      </w:r>
      <w:r w:rsidR="00F17F0D">
        <w:t xml:space="preserve">Mr </w:t>
      </w:r>
      <w:r w:rsidR="005B76A8">
        <w:t>Grant Dewsbury</w:t>
      </w:r>
    </w:p>
    <w:p w:rsidR="00843814" w:rsidRPr="00594BDA" w:rsidRDefault="00DD72D2" w:rsidP="00355F21">
      <w:pPr>
        <w:tabs>
          <w:tab w:val="left" w:pos="2835"/>
        </w:tabs>
        <w:spacing w:before="240" w:after="240"/>
      </w:pPr>
      <w:r w:rsidRPr="00DD72D2">
        <w:rPr>
          <w:b/>
        </w:rPr>
        <w:t>OBJECTORS:</w:t>
      </w:r>
      <w:r w:rsidRPr="00594BDA">
        <w:tab/>
      </w:r>
      <w:r w:rsidR="00355F21">
        <w:t>Nil</w:t>
      </w:r>
    </w:p>
    <w:p w:rsidR="00DD72D2" w:rsidRPr="00125FE3" w:rsidRDefault="00DD72D2" w:rsidP="00DD72D2">
      <w:pPr>
        <w:tabs>
          <w:tab w:val="left" w:pos="2835"/>
        </w:tabs>
        <w:spacing w:before="240" w:after="240"/>
        <w:rPr>
          <w:i/>
        </w:rPr>
      </w:pPr>
      <w:r w:rsidRPr="00DD72D2">
        <w:rPr>
          <w:b/>
        </w:rPr>
        <w:t>LEGISLATION:</w:t>
      </w:r>
      <w:r w:rsidRPr="00594BDA">
        <w:tab/>
      </w:r>
      <w:r w:rsidR="00125FE3">
        <w:t>Section</w:t>
      </w:r>
      <w:r w:rsidR="00F17F0D">
        <w:t>s</w:t>
      </w:r>
      <w:r w:rsidR="00125FE3">
        <w:t xml:space="preserve"> </w:t>
      </w:r>
      <w:r w:rsidR="009B44E0">
        <w:t>119 and 32(A)</w:t>
      </w:r>
      <w:r w:rsidR="00125FE3">
        <w:t xml:space="preserve"> of the </w:t>
      </w:r>
      <w:r w:rsidR="00125FE3" w:rsidRPr="00125FE3">
        <w:rPr>
          <w:i/>
        </w:rPr>
        <w:t>Liquor Act</w:t>
      </w:r>
    </w:p>
    <w:p w:rsidR="00DD72D2" w:rsidRPr="00594BDA" w:rsidRDefault="00DD72D2" w:rsidP="00DD72D2">
      <w:pPr>
        <w:tabs>
          <w:tab w:val="left" w:pos="2835"/>
        </w:tabs>
        <w:spacing w:before="240" w:after="240"/>
      </w:pPr>
      <w:r w:rsidRPr="00DD72D2">
        <w:rPr>
          <w:b/>
        </w:rPr>
        <w:t>DECISION OF:</w:t>
      </w:r>
      <w:r w:rsidRPr="00594BDA">
        <w:tab/>
      </w:r>
      <w:r w:rsidR="00E91362" w:rsidRPr="00594BDA">
        <w:t xml:space="preserve">Delegate of the </w:t>
      </w:r>
      <w:r w:rsidRPr="00594BDA">
        <w:t>Director-General of Licensing</w:t>
      </w:r>
    </w:p>
    <w:p w:rsidR="00DD72D2" w:rsidRPr="00594BDA" w:rsidRDefault="00DD72D2" w:rsidP="00DD72D2">
      <w:pPr>
        <w:tabs>
          <w:tab w:val="left" w:pos="2835"/>
        </w:tabs>
        <w:spacing w:before="240" w:after="0"/>
      </w:pPr>
      <w:r w:rsidRPr="00DD72D2">
        <w:rPr>
          <w:b/>
        </w:rPr>
        <w:t>DATE OF DECISION:</w:t>
      </w:r>
      <w:r w:rsidRPr="00594BDA">
        <w:tab/>
      </w:r>
      <w:r w:rsidR="00961C2A">
        <w:t>1 August</w:t>
      </w:r>
      <w:r w:rsidR="00411D61">
        <w:t xml:space="preserve"> </w:t>
      </w:r>
      <w:r w:rsidR="00125FE3">
        <w:t>2017</w:t>
      </w:r>
    </w:p>
    <w:p w:rsidR="00F161FF" w:rsidRPr="00F161FF" w:rsidRDefault="00F161FF" w:rsidP="00F161FF">
      <w:pPr>
        <w:pBdr>
          <w:bottom w:val="single" w:sz="4" w:space="1" w:color="auto"/>
        </w:pBdr>
        <w:rPr>
          <w:b/>
        </w:rPr>
      </w:pPr>
    </w:p>
    <w:p w:rsidR="00F161FF" w:rsidRPr="00DD72D2" w:rsidRDefault="00DD72D2" w:rsidP="006D2F91">
      <w:pPr>
        <w:pStyle w:val="Heading2"/>
        <w:jc w:val="both"/>
      </w:pPr>
      <w:bookmarkStart w:id="0" w:name="TypeHere"/>
      <w:bookmarkEnd w:id="0"/>
      <w:r w:rsidRPr="00DD72D2">
        <w:t>BACKGROUND</w:t>
      </w:r>
    </w:p>
    <w:p w:rsidR="00DD72D2" w:rsidRDefault="00355F21" w:rsidP="000347C8">
      <w:pPr>
        <w:pStyle w:val="NoSpacing"/>
      </w:pPr>
      <w:r>
        <w:t xml:space="preserve">On 2 and 13 February 2017 the </w:t>
      </w:r>
      <w:r w:rsidR="00961C2A">
        <w:t xml:space="preserve">nominee/manager for the </w:t>
      </w:r>
      <w:proofErr w:type="spellStart"/>
      <w:r w:rsidR="00961C2A">
        <w:t>SKYCITY</w:t>
      </w:r>
      <w:proofErr w:type="spellEnd"/>
      <w:r w:rsidR="00961C2A">
        <w:t xml:space="preserve"> Darwin liquor licence</w:t>
      </w:r>
      <w:r>
        <w:t xml:space="preserve"> </w:t>
      </w:r>
      <w:r w:rsidR="0027504F">
        <w:t>(</w:t>
      </w:r>
      <w:proofErr w:type="gramStart"/>
      <w:r w:rsidR="0027504F">
        <w:t>the</w:t>
      </w:r>
      <w:proofErr w:type="gramEnd"/>
      <w:r w:rsidR="0027504F">
        <w:t xml:space="preserve"> Applicant) </w:t>
      </w:r>
      <w:r>
        <w:t xml:space="preserve">applied to the Director-General of Licensing </w:t>
      </w:r>
      <w:r w:rsidR="0027504F">
        <w:t xml:space="preserve">pursuant to section 119 of the </w:t>
      </w:r>
      <w:r w:rsidR="0027504F" w:rsidRPr="0027504F">
        <w:rPr>
          <w:i/>
        </w:rPr>
        <w:t>Liquor Act</w:t>
      </w:r>
      <w:r w:rsidR="0027504F">
        <w:t xml:space="preserve"> (the Act) </w:t>
      </w:r>
      <w:r>
        <w:t>for a</w:t>
      </w:r>
      <w:r w:rsidR="00961C2A">
        <w:t>pproval of</w:t>
      </w:r>
      <w:r>
        <w:t xml:space="preserve"> material alteration</w:t>
      </w:r>
      <w:r w:rsidR="00961C2A">
        <w:t>s</w:t>
      </w:r>
      <w:r>
        <w:t xml:space="preserve"> to the licensed premises</w:t>
      </w:r>
      <w:r w:rsidR="00F17F0D">
        <w:t>.</w:t>
      </w:r>
    </w:p>
    <w:p w:rsidR="0027504F" w:rsidRDefault="0027504F" w:rsidP="000347C8">
      <w:pPr>
        <w:pStyle w:val="NoSpacing"/>
      </w:pPr>
      <w:r>
        <w:t>The Applicant also applied for permanent varia</w:t>
      </w:r>
      <w:r w:rsidR="009E3189">
        <w:t xml:space="preserve">tions to the conditions associated </w:t>
      </w:r>
      <w:r>
        <w:t xml:space="preserve">with the liquor licence pursuant to section </w:t>
      </w:r>
      <w:proofErr w:type="spellStart"/>
      <w:r>
        <w:t>32A</w:t>
      </w:r>
      <w:proofErr w:type="spellEnd"/>
      <w:r>
        <w:t xml:space="preserve"> of the Act.</w:t>
      </w:r>
    </w:p>
    <w:p w:rsidR="00F161FF" w:rsidRPr="00DD72D2" w:rsidRDefault="00DD72D2" w:rsidP="006D2F91">
      <w:pPr>
        <w:pStyle w:val="Heading2"/>
        <w:jc w:val="both"/>
      </w:pPr>
      <w:r w:rsidRPr="00DD72D2">
        <w:t>CURRENT SITUATION</w:t>
      </w:r>
    </w:p>
    <w:p w:rsidR="00A36996" w:rsidRDefault="00961C2A" w:rsidP="000347C8">
      <w:pPr>
        <w:pStyle w:val="NoSpacing"/>
      </w:pPr>
      <w:r>
        <w:t xml:space="preserve">The material alterations include the relocation of the </w:t>
      </w:r>
      <w:r w:rsidR="00A36996">
        <w:t>VIP gaming area</w:t>
      </w:r>
      <w:r>
        <w:t>,</w:t>
      </w:r>
      <w:r w:rsidR="00A36996">
        <w:t xml:space="preserve"> currently located in the </w:t>
      </w:r>
      <w:proofErr w:type="spellStart"/>
      <w:r w:rsidR="00A36996">
        <w:t>Skyroom</w:t>
      </w:r>
      <w:proofErr w:type="spellEnd"/>
      <w:r w:rsidR="00A36996">
        <w:t xml:space="preserve"> Private Salon</w:t>
      </w:r>
      <w:r>
        <w:t>,</w:t>
      </w:r>
      <w:r w:rsidR="00A36996">
        <w:t xml:space="preserve"> to the Diamond Room on the main gaming floor, which will be renamed the “Arafura” room and </w:t>
      </w:r>
      <w:r>
        <w:t xml:space="preserve">will </w:t>
      </w:r>
      <w:r w:rsidR="00A36996">
        <w:t>facilitate VIP premium gaming. The proposed works include tiling the entry/egress and associated common areas of the VIP gaming entrance off the 100 club car park, placing partition panels along the new entrance to restrict access to the Arafura Room, removing a 1.5</w:t>
      </w:r>
      <w:r>
        <w:t xml:space="preserve"> </w:t>
      </w:r>
      <w:r w:rsidR="00A36996">
        <w:t>m</w:t>
      </w:r>
      <w:r>
        <w:t>etre</w:t>
      </w:r>
      <w:r w:rsidR="00A36996">
        <w:t xml:space="preserve"> section of the wall to allow access directly to the </w:t>
      </w:r>
      <w:r>
        <w:t>main gaming floor</w:t>
      </w:r>
      <w:r w:rsidR="00A36996">
        <w:t xml:space="preserve"> and replacing the glass swinging entry door to the room with a glass sliding door</w:t>
      </w:r>
      <w:r w:rsidR="005B76A8">
        <w:t>.</w:t>
      </w:r>
    </w:p>
    <w:p w:rsidR="005B76A8" w:rsidRDefault="00961C2A" w:rsidP="000347C8">
      <w:pPr>
        <w:pStyle w:val="NoSpacing"/>
      </w:pPr>
      <w:r>
        <w:t>The alterations also include the replacement of</w:t>
      </w:r>
      <w:r w:rsidR="00A36996">
        <w:t xml:space="preserve"> the wall between the Sandbar and the Do</w:t>
      </w:r>
      <w:r w:rsidR="009E3189">
        <w:t>l</w:t>
      </w:r>
      <w:r w:rsidR="00A36996">
        <w:t>phin Electronic Gaming Machine Area.</w:t>
      </w:r>
      <w:r w:rsidR="005B76A8">
        <w:t xml:space="preserve"> </w:t>
      </w:r>
    </w:p>
    <w:p w:rsidR="005B76A8" w:rsidRDefault="00961C2A" w:rsidP="000347C8">
      <w:pPr>
        <w:pStyle w:val="NoSpacing"/>
      </w:pPr>
      <w:r>
        <w:t>The applica</w:t>
      </w:r>
      <w:r w:rsidR="008F46CD">
        <w:t>tion for permanent varia</w:t>
      </w:r>
      <w:r w:rsidR="006A69B6">
        <w:t>t</w:t>
      </w:r>
      <w:r w:rsidR="008F46CD">
        <w:t>i</w:t>
      </w:r>
      <w:r w:rsidR="006A69B6">
        <w:t>ons to</w:t>
      </w:r>
      <w:r>
        <w:t xml:space="preserve"> the licence conditions seeks approval to </w:t>
      </w:r>
      <w:r w:rsidR="006A69B6">
        <w:t xml:space="preserve">rename the exiting </w:t>
      </w:r>
      <w:r w:rsidR="00F17F0D">
        <w:t xml:space="preserve">“ACES” Bar </w:t>
      </w:r>
      <w:r w:rsidR="006A69B6">
        <w:t>to</w:t>
      </w:r>
      <w:r w:rsidR="005B76A8">
        <w:t xml:space="preserve"> the “</w:t>
      </w:r>
      <w:proofErr w:type="spellStart"/>
      <w:r w:rsidR="005B76A8">
        <w:t>Sportsbar</w:t>
      </w:r>
      <w:proofErr w:type="spellEnd"/>
      <w:r w:rsidR="005B76A8">
        <w:t>”</w:t>
      </w:r>
      <w:r w:rsidR="006A69B6">
        <w:t>.  The application also seeks a variation to the exemption under section 104(3</w:t>
      </w:r>
      <w:proofErr w:type="gramStart"/>
      <w:r w:rsidR="006A69B6">
        <w:t>)(</w:t>
      </w:r>
      <w:proofErr w:type="gramEnd"/>
      <w:r w:rsidR="006A69B6">
        <w:t xml:space="preserve">g) of the Act that is </w:t>
      </w:r>
      <w:r w:rsidR="005B76A8">
        <w:t>currently in effect for the “ACES” bar be</w:t>
      </w:r>
      <w:r w:rsidR="006A69B6">
        <w:t xml:space="preserve"> extended for the “</w:t>
      </w:r>
      <w:proofErr w:type="spellStart"/>
      <w:r w:rsidR="006A69B6">
        <w:t>Sportsbar</w:t>
      </w:r>
      <w:proofErr w:type="spellEnd"/>
      <w:r w:rsidR="006A69B6">
        <w:t>”</w:t>
      </w:r>
      <w:r w:rsidR="005B76A8">
        <w:t xml:space="preserve"> from </w:t>
      </w:r>
      <w:r w:rsidR="009E3189">
        <w:t>the</w:t>
      </w:r>
      <w:r w:rsidR="006A69B6">
        <w:t xml:space="preserve"> current hours of </w:t>
      </w:r>
      <w:r w:rsidR="005B76A8">
        <w:t>4:00</w:t>
      </w:r>
      <w:r w:rsidR="006A69B6">
        <w:t xml:space="preserve"> am to </w:t>
      </w:r>
      <w:r w:rsidR="005B76A8">
        <w:t xml:space="preserve">6:00 </w:t>
      </w:r>
      <w:r w:rsidR="006A69B6">
        <w:t xml:space="preserve">am to </w:t>
      </w:r>
      <w:r w:rsidR="005B76A8">
        <w:t>04:00</w:t>
      </w:r>
      <w:r w:rsidR="0027504F">
        <w:t xml:space="preserve"> am to </w:t>
      </w:r>
      <w:r w:rsidR="005B76A8">
        <w:t xml:space="preserve">10:00 </w:t>
      </w:r>
      <w:r w:rsidR="0027504F">
        <w:t>am.  The application also seeks the removal of the rider attached to the section 104(3</w:t>
      </w:r>
      <w:proofErr w:type="gramStart"/>
      <w:r w:rsidR="0027504F">
        <w:t>)(</w:t>
      </w:r>
      <w:proofErr w:type="gramEnd"/>
      <w:r w:rsidR="0027504F">
        <w:t xml:space="preserve">g) exemption that currently restricts the sale of alcohol during those hours to be only in </w:t>
      </w:r>
      <w:r w:rsidR="00555569">
        <w:t>conjunction</w:t>
      </w:r>
      <w:r w:rsidR="005B76A8">
        <w:t xml:space="preserve"> wi</w:t>
      </w:r>
      <w:r w:rsidR="0027504F">
        <w:t>th gaming activities</w:t>
      </w:r>
      <w:r w:rsidR="005B76A8">
        <w:t xml:space="preserve">. </w:t>
      </w:r>
      <w:r w:rsidR="0027504F">
        <w:t xml:space="preserve"> </w:t>
      </w:r>
      <w:r w:rsidR="005B76A8">
        <w:t xml:space="preserve">This request has been made on the basis that no gaming takes place in this area and </w:t>
      </w:r>
      <w:r w:rsidR="0027504F">
        <w:t>activity primarily involves patrons viewing</w:t>
      </w:r>
      <w:r w:rsidR="005B76A8">
        <w:t xml:space="preserve"> TV monitors showing </w:t>
      </w:r>
      <w:r w:rsidR="005B76A8">
        <w:lastRenderedPageBreak/>
        <w:t>sports at all hours from all regions of the world</w:t>
      </w:r>
      <w:r w:rsidR="0027504F">
        <w:t xml:space="preserve">.  The applicant submits that </w:t>
      </w:r>
      <w:r w:rsidR="009E3189">
        <w:t>this</w:t>
      </w:r>
      <w:r w:rsidR="0027504F">
        <w:t xml:space="preserve"> area m</w:t>
      </w:r>
      <w:r w:rsidR="005B76A8">
        <w:t xml:space="preserve">ay be utilised </w:t>
      </w:r>
      <w:r w:rsidR="0027504F">
        <w:t>by</w:t>
      </w:r>
      <w:r w:rsidR="005B76A8">
        <w:t xml:space="preserve"> patrons wishing to take a break from gaming </w:t>
      </w:r>
      <w:r w:rsidR="00555569">
        <w:t>activities</w:t>
      </w:r>
      <w:r w:rsidR="005B76A8">
        <w:t>.</w:t>
      </w:r>
    </w:p>
    <w:p w:rsidR="009A5E80" w:rsidRDefault="005B76A8" w:rsidP="000347C8">
      <w:pPr>
        <w:pStyle w:val="NoSpacing"/>
      </w:pPr>
      <w:r>
        <w:t>Further</w:t>
      </w:r>
      <w:r w:rsidR="000347C8">
        <w:t>,</w:t>
      </w:r>
      <w:r>
        <w:t xml:space="preserve"> a variation undersectio</w:t>
      </w:r>
      <w:r w:rsidR="000347C8">
        <w:t xml:space="preserve">n of </w:t>
      </w:r>
      <w:proofErr w:type="spellStart"/>
      <w:r w:rsidR="000347C8">
        <w:t>32A</w:t>
      </w:r>
      <w:proofErr w:type="spellEnd"/>
      <w:r>
        <w:t xml:space="preserve"> of the Liquor Act is sought in </w:t>
      </w:r>
      <w:r w:rsidR="00555569">
        <w:t>relation</w:t>
      </w:r>
      <w:r>
        <w:t xml:space="preserve"> to Bar 8 to make the provisions </w:t>
      </w:r>
      <w:r w:rsidR="000347C8">
        <w:t>relating to</w:t>
      </w:r>
      <w:r>
        <w:t xml:space="preserve"> the service</w:t>
      </w:r>
      <w:r w:rsidR="000347C8">
        <w:t xml:space="preserve"> of alcohol consistent with those</w:t>
      </w:r>
      <w:r>
        <w:t xml:space="preserve"> </w:t>
      </w:r>
      <w:r w:rsidR="00555569">
        <w:t>existing</w:t>
      </w:r>
      <w:r>
        <w:t xml:space="preserve"> </w:t>
      </w:r>
      <w:r w:rsidR="000347C8">
        <w:t xml:space="preserve">for </w:t>
      </w:r>
      <w:r>
        <w:t>premium gaming areas within the venue</w:t>
      </w:r>
      <w:r w:rsidR="0027504F">
        <w:t xml:space="preserve">.  The application seeks to have the following licence condition in place for Bar 8: </w:t>
      </w:r>
      <w:r>
        <w:t xml:space="preserve">“Trading is permitted at any hour in conjunction with gaming </w:t>
      </w:r>
      <w:r w:rsidR="00555569">
        <w:t>activities</w:t>
      </w:r>
      <w:r>
        <w:t xml:space="preserve"> within the Arafura room. </w:t>
      </w:r>
      <w:r w:rsidR="0027504F">
        <w:t xml:space="preserve"> </w:t>
      </w:r>
      <w:r>
        <w:t>The Arafura room is an area to be used for priv</w:t>
      </w:r>
      <w:r w:rsidR="00BE3014">
        <w:t>ate gambling by invitation only</w:t>
      </w:r>
      <w:r>
        <w:t xml:space="preserve">”. </w:t>
      </w:r>
      <w:r w:rsidR="00843814">
        <w:t xml:space="preserve"> </w:t>
      </w:r>
    </w:p>
    <w:p w:rsidR="003656E6" w:rsidRDefault="009A5E80" w:rsidP="000347C8">
      <w:pPr>
        <w:pStyle w:val="NoSpacing"/>
      </w:pPr>
      <w:r>
        <w:t>In accordance with Section 6(2) of the</w:t>
      </w:r>
      <w:r w:rsidR="0027504F">
        <w:t xml:space="preserve"> Act</w:t>
      </w:r>
      <w:r>
        <w:t>, the Applicant has addressed the criteria relevant to the applic</w:t>
      </w:r>
      <w:r w:rsidR="00355F21">
        <w:t>a</w:t>
      </w:r>
      <w:r>
        <w:t>t</w:t>
      </w:r>
      <w:r w:rsidR="00355F21">
        <w:t>i</w:t>
      </w:r>
      <w:r w:rsidR="003656E6">
        <w:t xml:space="preserve">on and submitted </w:t>
      </w:r>
      <w:r w:rsidR="00355F21">
        <w:t xml:space="preserve">that the </w:t>
      </w:r>
      <w:r w:rsidR="003656E6">
        <w:t>material alterations and the variation of licence conditions were unlikely to impact o</w:t>
      </w:r>
      <w:r w:rsidR="00355F21">
        <w:t xml:space="preserve">n the </w:t>
      </w:r>
      <w:r>
        <w:t>public interest</w:t>
      </w:r>
      <w:r w:rsidR="003656E6">
        <w:t xml:space="preserve"> in the business conducted under the liquor licence</w:t>
      </w:r>
      <w:r>
        <w:t>.</w:t>
      </w:r>
      <w:r w:rsidR="00355F21">
        <w:t xml:space="preserve"> </w:t>
      </w:r>
      <w:r w:rsidR="003656E6">
        <w:t xml:space="preserve">  As a result it was submitted that the </w:t>
      </w:r>
      <w:r w:rsidR="009E3189">
        <w:t>Director-General</w:t>
      </w:r>
      <w:r w:rsidR="003656E6">
        <w:t xml:space="preserve"> should not require the </w:t>
      </w:r>
      <w:r w:rsidR="009E3189">
        <w:t>application</w:t>
      </w:r>
      <w:r w:rsidR="003656E6">
        <w:t xml:space="preserve"> to be advertised by way of public notice.</w:t>
      </w:r>
    </w:p>
    <w:p w:rsidR="009A5E80" w:rsidRDefault="003656E6" w:rsidP="000347C8">
      <w:pPr>
        <w:pStyle w:val="NoSpacing"/>
      </w:pPr>
      <w:r>
        <w:t>Given the relatively minor nature of the material alterations and the variation of licence conditions</w:t>
      </w:r>
      <w:r w:rsidR="00F108C4">
        <w:t>,</w:t>
      </w:r>
      <w:r>
        <w:t xml:space="preserve"> a delegate of the Director-General determined that the </w:t>
      </w:r>
      <w:r w:rsidR="00BE3014">
        <w:t>there was no public interest in advertising the application.  As a result there were no obj</w:t>
      </w:r>
      <w:r w:rsidR="00F108C4">
        <w:t>ectio</w:t>
      </w:r>
      <w:r w:rsidR="00BE3014">
        <w:t>ns to the application from members of the public.</w:t>
      </w:r>
    </w:p>
    <w:p w:rsidR="00F161FF" w:rsidRPr="00DD72D2" w:rsidRDefault="00BE3014" w:rsidP="006D2F91">
      <w:pPr>
        <w:pStyle w:val="Heading2"/>
        <w:jc w:val="both"/>
      </w:pPr>
      <w:r>
        <w:t>STAKEHOLDER CONSULTATION</w:t>
      </w:r>
    </w:p>
    <w:p w:rsidR="009A5E80" w:rsidRDefault="00BE3014" w:rsidP="000347C8">
      <w:pPr>
        <w:pStyle w:val="NoSpacing"/>
      </w:pPr>
      <w:r>
        <w:t>As per normal practice, t</w:t>
      </w:r>
      <w:r w:rsidR="009A5E80">
        <w:t xml:space="preserve">he application was </w:t>
      </w:r>
      <w:r>
        <w:t>forwarded</w:t>
      </w:r>
      <w:r w:rsidR="009A5E80">
        <w:t xml:space="preserve"> to the </w:t>
      </w:r>
      <w:r w:rsidR="00F108C4">
        <w:t xml:space="preserve">following stakeholders: </w:t>
      </w:r>
      <w:r w:rsidR="009A5E80">
        <w:t xml:space="preserve">Department of Health, NT Fire Safety, NT Police, Development Consent Authority and Darwin City Council. </w:t>
      </w:r>
      <w:r w:rsidR="00355F21">
        <w:t xml:space="preserve">There were no adverse </w:t>
      </w:r>
      <w:r w:rsidR="00F108C4">
        <w:t>comments received regarding the</w:t>
      </w:r>
      <w:r w:rsidR="00355F21">
        <w:t xml:space="preserve"> applicatio</w:t>
      </w:r>
      <w:r w:rsidR="00F108C4">
        <w:t>n</w:t>
      </w:r>
      <w:r w:rsidR="000347C8">
        <w:t>s for material alterations and variation of licence conditions</w:t>
      </w:r>
      <w:r w:rsidR="00355F21">
        <w:t xml:space="preserve">. </w:t>
      </w:r>
      <w:r w:rsidR="009A5E80">
        <w:t xml:space="preserve"> </w:t>
      </w:r>
    </w:p>
    <w:p w:rsidR="00F161FF" w:rsidRPr="00DD72D2" w:rsidRDefault="00DD72D2" w:rsidP="006D2F91">
      <w:pPr>
        <w:pStyle w:val="Heading2"/>
        <w:jc w:val="both"/>
      </w:pPr>
      <w:r w:rsidRPr="00DD72D2">
        <w:t>CONSIDERATION CRITERIA</w:t>
      </w:r>
    </w:p>
    <w:p w:rsidR="00BA2142" w:rsidRDefault="00582F7D" w:rsidP="000347C8">
      <w:pPr>
        <w:pStyle w:val="NoSpacing"/>
      </w:pPr>
      <w:r>
        <w:t xml:space="preserve">In determining this application the objects of the Act must be taken into account.  The objects, as set </w:t>
      </w:r>
      <w:r w:rsidR="009E3189">
        <w:t>out</w:t>
      </w:r>
      <w:r>
        <w:t xml:space="preserve"> </w:t>
      </w:r>
      <w:r w:rsidR="009E3189">
        <w:t>in</w:t>
      </w:r>
      <w:r>
        <w:t xml:space="preserve"> section 3 of the Act, include the regulation of the sale of liquor so as to minimise associated harms and </w:t>
      </w:r>
      <w:r w:rsidR="000347C8">
        <w:t xml:space="preserve">to protect </w:t>
      </w:r>
      <w:r>
        <w:t xml:space="preserve">and enhance community amenity.  </w:t>
      </w:r>
      <w:r w:rsidR="00BA2142">
        <w:t>A further objective of the Act is to facilitate a diversity of licensed premises and associated services for the benefit of the community.</w:t>
      </w:r>
    </w:p>
    <w:p w:rsidR="00BA2142" w:rsidRDefault="00582F7D" w:rsidP="000347C8">
      <w:pPr>
        <w:pStyle w:val="NoSpacing"/>
      </w:pPr>
      <w:r>
        <w:t>As noted above</w:t>
      </w:r>
      <w:r w:rsidR="00BA2142">
        <w:t xml:space="preserve">, in waiving the requirement to advertise the material alterations and the variation to licence conditions a delegate of the Director-General determined that, given the relatively minor </w:t>
      </w:r>
      <w:r w:rsidR="000347C8">
        <w:t xml:space="preserve">nature and </w:t>
      </w:r>
      <w:r w:rsidR="00BA2142">
        <w:t xml:space="preserve">impact of the alterations and </w:t>
      </w:r>
      <w:r w:rsidR="009E3189">
        <w:t>variations</w:t>
      </w:r>
      <w:r w:rsidR="00BA2142">
        <w:t xml:space="preserve"> to licence </w:t>
      </w:r>
      <w:r w:rsidR="009E3189">
        <w:t>conditions</w:t>
      </w:r>
      <w:r w:rsidR="00BA2142">
        <w:t xml:space="preserve">, there was no public interest that would require </w:t>
      </w:r>
      <w:r w:rsidR="009E3189">
        <w:t>the</w:t>
      </w:r>
      <w:r w:rsidR="00BA2142">
        <w:t xml:space="preserve"> </w:t>
      </w:r>
      <w:r w:rsidR="009E3189">
        <w:t>application</w:t>
      </w:r>
      <w:r w:rsidR="00BA2142">
        <w:t xml:space="preserve"> to be publicly advertised.  I agree with that assessment.</w:t>
      </w:r>
    </w:p>
    <w:p w:rsidR="00BA2142" w:rsidRDefault="00BA2142" w:rsidP="000347C8">
      <w:pPr>
        <w:pStyle w:val="NoSpacing"/>
      </w:pPr>
      <w:r>
        <w:t xml:space="preserve">As a consequence, in </w:t>
      </w:r>
      <w:r w:rsidR="009E3189">
        <w:t>considering</w:t>
      </w:r>
      <w:r>
        <w:t xml:space="preserve"> this application with the objects of the Act in mind, there are no issues arising that would persuade me to refuse to approve the alterations to the premises or the variation to licence conditions that will necessarily flow from the relocation of the VIP gaming room.</w:t>
      </w:r>
    </w:p>
    <w:p w:rsidR="00DD72D2" w:rsidRDefault="00BA2142" w:rsidP="000347C8">
      <w:pPr>
        <w:pStyle w:val="NoSpacing"/>
      </w:pPr>
      <w:r>
        <w:t xml:space="preserve">In those circumstances I have determined to approve the application for material alterations and the </w:t>
      </w:r>
      <w:r w:rsidR="009E3189">
        <w:t>application</w:t>
      </w:r>
      <w:r>
        <w:t xml:space="preserve"> for variation of licence conditions as sought by the Applicant </w:t>
      </w:r>
      <w:r w:rsidR="00AE0456">
        <w:t xml:space="preserve">and </w:t>
      </w:r>
      <w:r>
        <w:t>as set out in paragraphs 3 to 6 above.</w:t>
      </w:r>
    </w:p>
    <w:p w:rsidR="00DD72D2" w:rsidRPr="00DD72D2" w:rsidRDefault="00DD72D2" w:rsidP="006D2F91">
      <w:pPr>
        <w:pStyle w:val="Heading2"/>
        <w:jc w:val="both"/>
      </w:pPr>
      <w:r>
        <w:lastRenderedPageBreak/>
        <w:t>DECISION</w:t>
      </w:r>
    </w:p>
    <w:p w:rsidR="00BA2142" w:rsidRDefault="00BA2142" w:rsidP="000347C8">
      <w:pPr>
        <w:pStyle w:val="NoSpacing"/>
      </w:pPr>
      <w:r>
        <w:t>Pursuant to section</w:t>
      </w:r>
      <w:r w:rsidR="00596B14">
        <w:t xml:space="preserve"> </w:t>
      </w:r>
      <w:r w:rsidR="00355F21">
        <w:t xml:space="preserve">119 </w:t>
      </w:r>
      <w:r>
        <w:t xml:space="preserve">of the Act I have determined to approve the material alterations to the </w:t>
      </w:r>
      <w:proofErr w:type="spellStart"/>
      <w:r>
        <w:t>SKYCITY</w:t>
      </w:r>
      <w:proofErr w:type="spellEnd"/>
      <w:r>
        <w:t xml:space="preserve"> Darwin premises as set out above.</w:t>
      </w:r>
    </w:p>
    <w:p w:rsidR="000347C8" w:rsidRDefault="00BA2142" w:rsidP="000347C8">
      <w:pPr>
        <w:pStyle w:val="NoSpacing"/>
      </w:pPr>
      <w:r>
        <w:t xml:space="preserve">In addition, I have determined </w:t>
      </w:r>
      <w:r w:rsidR="009E3189">
        <w:t>pursuant</w:t>
      </w:r>
      <w:r>
        <w:t xml:space="preserve"> to section </w:t>
      </w:r>
      <w:proofErr w:type="spellStart"/>
      <w:proofErr w:type="gramStart"/>
      <w:r>
        <w:t>32</w:t>
      </w:r>
      <w:r w:rsidR="00355F21">
        <w:t>A</w:t>
      </w:r>
      <w:proofErr w:type="spellEnd"/>
      <w:r>
        <w:t>(</w:t>
      </w:r>
      <w:proofErr w:type="gramEnd"/>
      <w:r>
        <w:t>7</w:t>
      </w:r>
      <w:r w:rsidR="00355F21">
        <w:t>)</w:t>
      </w:r>
      <w:r>
        <w:t xml:space="preserve">(a) of the </w:t>
      </w:r>
      <w:r w:rsidR="00596B14">
        <w:t>Act</w:t>
      </w:r>
      <w:r>
        <w:t xml:space="preserve"> to approve the variation of licence conditions for the liquor licence </w:t>
      </w:r>
      <w:r w:rsidR="008F46CD">
        <w:t>authorise the renaming of the exiting “ACES” Bar to the “</w:t>
      </w:r>
      <w:proofErr w:type="spellStart"/>
      <w:r w:rsidR="008F46CD">
        <w:t>Sportsbar</w:t>
      </w:r>
      <w:proofErr w:type="spellEnd"/>
      <w:r w:rsidR="008F46CD">
        <w:t>” and to vary the exemption granted under section 104(3)(g) of the Act for the “</w:t>
      </w:r>
      <w:proofErr w:type="spellStart"/>
      <w:r w:rsidR="008F46CD">
        <w:t>Sportsbar</w:t>
      </w:r>
      <w:proofErr w:type="spellEnd"/>
      <w:r w:rsidR="008F46CD">
        <w:t>” from the current hours of 4:00 am to 6:00 am to the new hours of 04:00 am to 10:00 am.  The rider attached to the current section 104(3</w:t>
      </w:r>
      <w:proofErr w:type="gramStart"/>
      <w:r w:rsidR="008F46CD">
        <w:t>)(</w:t>
      </w:r>
      <w:proofErr w:type="gramEnd"/>
      <w:r w:rsidR="008F46CD">
        <w:t xml:space="preserve">g) exemption that restricts the sale of alcohol during those hours to be only in conjunction with gaming activities is to be removed as requested by the Applicant. </w:t>
      </w:r>
    </w:p>
    <w:p w:rsidR="008F46CD" w:rsidRPr="00F161FF" w:rsidRDefault="000347C8" w:rsidP="000347C8">
      <w:pPr>
        <w:pStyle w:val="NoSpacing"/>
      </w:pPr>
      <w:r>
        <w:t xml:space="preserve">The sale of alcohol in the Bar 8 area of the premises shall be subject to the </w:t>
      </w:r>
      <w:r w:rsidR="00046F68">
        <w:t xml:space="preserve">following </w:t>
      </w:r>
      <w:r>
        <w:t xml:space="preserve">licence condition: “Trading is permitted at any hour in conjunction with gaming activities within the Arafura room.  The Arafura room is an area to be used for private gambling by invitation only”.  </w:t>
      </w:r>
    </w:p>
    <w:p w:rsidR="00DD72D2" w:rsidRPr="00DD72D2" w:rsidRDefault="00DD72D2" w:rsidP="006D2F91">
      <w:pPr>
        <w:pStyle w:val="Heading2"/>
        <w:jc w:val="both"/>
      </w:pPr>
      <w:r>
        <w:t>REVIEW OF DECISION</w:t>
      </w:r>
    </w:p>
    <w:p w:rsidR="00F879FA" w:rsidRDefault="00A02122" w:rsidP="000347C8">
      <w:pPr>
        <w:pStyle w:val="NoSpacing"/>
      </w:pPr>
      <w:r w:rsidRPr="00A02122">
        <w:t>Section</w:t>
      </w:r>
      <w:r>
        <w:t xml:space="preserve"> 8 of the </w:t>
      </w:r>
      <w:r w:rsidRPr="00992BBD">
        <w:rPr>
          <w:i/>
          <w:iCs/>
        </w:rPr>
        <w:t>Licensing (Director-General) Act</w:t>
      </w:r>
      <w:r>
        <w:t xml:space="preserve"> </w:t>
      </w:r>
      <w:r w:rsidR="000347C8">
        <w:t xml:space="preserve">prescribes a delegate decision as a decision </w:t>
      </w:r>
      <w:r>
        <w:t>of the Director-General</w:t>
      </w:r>
      <w:r w:rsidR="000347C8">
        <w:t>, under any act</w:t>
      </w:r>
      <w:r>
        <w:t xml:space="preserve"> that is made by a delegate of the Director-General.  The Director-General delegated the determination of a</w:t>
      </w:r>
      <w:r w:rsidR="009B409E">
        <w:t>pplications made under Section 26</w:t>
      </w:r>
      <w:r>
        <w:t xml:space="preserve"> of the </w:t>
      </w:r>
      <w:r w:rsidRPr="00992BBD">
        <w:rPr>
          <w:i/>
          <w:iCs/>
        </w:rPr>
        <w:t>Liquor Act</w:t>
      </w:r>
      <w:r>
        <w:t xml:space="preserve"> by instrument to the person from time to time holding, acting in or performing the duties of the position</w:t>
      </w:r>
      <w:r w:rsidRPr="00992BBD">
        <w:rPr>
          <w:color w:val="000000"/>
        </w:rPr>
        <w:t xml:space="preserve"> of</w:t>
      </w:r>
      <w:r w:rsidR="00F879FA">
        <w:rPr>
          <w:color w:val="000000"/>
        </w:rPr>
        <w:t xml:space="preserve"> Deputy Director-General (Operations)</w:t>
      </w:r>
      <w:r w:rsidRPr="00992BBD">
        <w:rPr>
          <w:color w:val="000000"/>
        </w:rPr>
        <w:t>, Licensing NT</w:t>
      </w:r>
      <w:r>
        <w:t>.</w:t>
      </w:r>
    </w:p>
    <w:p w:rsidR="00555569" w:rsidRDefault="00A02122" w:rsidP="000347C8">
      <w:pPr>
        <w:pStyle w:val="NoSpacing"/>
        <w:numPr>
          <w:ilvl w:val="0"/>
          <w:numId w:val="0"/>
        </w:numPr>
        <w:ind w:left="720"/>
      </w:pPr>
      <w:r>
        <w:t xml:space="preserve">Section 10 of the </w:t>
      </w:r>
      <w:r w:rsidRPr="00E56A2B">
        <w:rPr>
          <w:i/>
          <w:iCs/>
        </w:rPr>
        <w:t>Licensing (Director-General) Act</w:t>
      </w:r>
      <w:r>
        <w:t xml:space="preserve"> provides that an affected person for a delegate decision may apply to the Director-General for a review of the decision.  </w:t>
      </w:r>
      <w:r w:rsidR="000347C8">
        <w:t>An</w:t>
      </w:r>
      <w:r>
        <w:t xml:space="preserve"> application for review must be made within 28 days after written notice of the delegate decision is given to the affected person, or within any additional time that the Director-General allows.</w:t>
      </w:r>
    </w:p>
    <w:p w:rsidR="00355F21" w:rsidRDefault="00A02122" w:rsidP="006670E6">
      <w:pPr>
        <w:pStyle w:val="NoSpacing"/>
        <w:numPr>
          <w:ilvl w:val="0"/>
          <w:numId w:val="0"/>
        </w:numPr>
        <w:ind w:left="720" w:hanging="360"/>
      </w:pPr>
      <w:r>
        <w:t xml:space="preserve">Section 9 of the </w:t>
      </w:r>
      <w:r w:rsidRPr="000347C8">
        <w:rPr>
          <w:i/>
          <w:iCs/>
        </w:rPr>
        <w:t>Licensing (Director-General) Act</w:t>
      </w:r>
      <w:r>
        <w:t xml:space="preserve"> prescribes an affected person f</w:t>
      </w:r>
      <w:r w:rsidR="00E56A2B">
        <w:t>or a delegate decision to be an</w:t>
      </w:r>
      <w:r>
        <w:t xml:space="preserve"> applicant and a</w:t>
      </w:r>
      <w:r w:rsidR="00E56A2B">
        <w:t>ny</w:t>
      </w:r>
      <w:r>
        <w:t xml:space="preserve"> person who made a submission, complaint </w:t>
      </w:r>
      <w:r w:rsidR="00E56A2B">
        <w:t>or objection</w:t>
      </w:r>
      <w:r>
        <w:t xml:space="preserve"> during the process that resulted in the decision being </w:t>
      </w:r>
      <w:r w:rsidRPr="00C24EFC">
        <w:t>made</w:t>
      </w:r>
      <w:r>
        <w:t>.</w:t>
      </w:r>
      <w:r w:rsidR="000347C8">
        <w:t xml:space="preserve">  </w:t>
      </w:r>
      <w:r w:rsidR="00E56A2B">
        <w:t xml:space="preserve">As there were no </w:t>
      </w:r>
      <w:r w:rsidR="009E3189">
        <w:t>objections</w:t>
      </w:r>
      <w:r w:rsidR="00E56A2B">
        <w:t xml:space="preserve"> or submissions opposing the </w:t>
      </w:r>
      <w:r w:rsidR="009E3189">
        <w:t>applications</w:t>
      </w:r>
      <w:r w:rsidR="00E56A2B">
        <w:t xml:space="preserve"> in </w:t>
      </w:r>
      <w:r w:rsidR="009E3189">
        <w:t>this</w:t>
      </w:r>
      <w:r w:rsidR="00E56A2B">
        <w:t xml:space="preserve"> instance affected person is the Applicant.</w:t>
      </w:r>
    </w:p>
    <w:p w:rsidR="00DD72D2" w:rsidRPr="001E6FF6" w:rsidRDefault="00131B61" w:rsidP="001E6FF6">
      <w:pPr>
        <w:spacing w:before="1600" w:after="0"/>
        <w:rPr>
          <w:b/>
        </w:rPr>
      </w:pPr>
      <w:r>
        <w:rPr>
          <w:b/>
        </w:rPr>
        <w:t>Philip Timney</w:t>
      </w:r>
    </w:p>
    <w:p w:rsidR="00DD72D2" w:rsidRPr="00E30632" w:rsidRDefault="00131B61" w:rsidP="00DD72D2">
      <w:pPr>
        <w:spacing w:after="240"/>
      </w:pPr>
      <w:r>
        <w:t xml:space="preserve">Delegate of the </w:t>
      </w:r>
      <w:r w:rsidR="00F879FA">
        <w:t>Deputy Director-General (Operations)</w:t>
      </w:r>
    </w:p>
    <w:p w:rsidR="00DD72D2" w:rsidRPr="00DD72D2" w:rsidRDefault="00E56A2B" w:rsidP="00DD72D2">
      <w:pPr>
        <w:spacing w:after="240"/>
      </w:pPr>
      <w:r>
        <w:t>1 August</w:t>
      </w:r>
      <w:r w:rsidR="00F879FA">
        <w:t xml:space="preserve"> 2017</w:t>
      </w:r>
    </w:p>
    <w:sectPr w:rsidR="00DD72D2" w:rsidRPr="00DD72D2" w:rsidSect="00F75669">
      <w:headerReference w:type="default" r:id="rId11"/>
      <w:footerReference w:type="default" r:id="rId12"/>
      <w:headerReference w:type="first" r:id="rId13"/>
      <w:footerReference w:type="first" r:id="rId14"/>
      <w:pgSz w:w="11906" w:h="16838"/>
      <w:pgMar w:top="2127" w:right="1134" w:bottom="1440" w:left="1134" w:header="709" w:footer="4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B3C" w:rsidRDefault="00E97B3C" w:rsidP="003E58C0">
      <w:pPr>
        <w:spacing w:after="0"/>
      </w:pPr>
      <w:r>
        <w:separator/>
      </w:r>
    </w:p>
  </w:endnote>
  <w:endnote w:type="continuationSeparator" w:id="0">
    <w:p w:rsidR="00E97B3C" w:rsidRDefault="00E97B3C" w:rsidP="003E58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o">
    <w:altName w:val="Minion Pr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996" w:rsidRPr="00825D0D" w:rsidRDefault="00A36996" w:rsidP="00A36996">
    <w:pPr>
      <w:pBdr>
        <w:top w:val="single" w:sz="4" w:space="1" w:color="auto"/>
      </w:pBdr>
      <w:tabs>
        <w:tab w:val="right" w:pos="9638"/>
      </w:tabs>
      <w:spacing w:after="0"/>
      <w:rPr>
        <w:sz w:val="18"/>
        <w:szCs w:val="18"/>
      </w:rPr>
    </w:pPr>
    <w:r w:rsidRPr="00825D0D">
      <w:rPr>
        <w:sz w:val="18"/>
        <w:szCs w:val="18"/>
      </w:rPr>
      <w:t xml:space="preserve">Decision for </w:t>
    </w:r>
    <w:proofErr w:type="spellStart"/>
    <w:r>
      <w:rPr>
        <w:sz w:val="18"/>
        <w:szCs w:val="18"/>
      </w:rPr>
      <w:t>SKYCITY</w:t>
    </w:r>
    <w:proofErr w:type="spellEnd"/>
    <w:r>
      <w:rPr>
        <w:sz w:val="18"/>
        <w:szCs w:val="18"/>
      </w:rPr>
      <w:t xml:space="preserve"> Darwin Pty Ltd</w:t>
    </w:r>
    <w:r>
      <w:rPr>
        <w:sz w:val="18"/>
        <w:szCs w:val="18"/>
      </w:rPr>
      <w:tab/>
      <w:t>Date of Decision:</w:t>
    </w:r>
    <w:bookmarkStart w:id="1" w:name="_GoBack"/>
    <w:bookmarkEnd w:id="1"/>
    <w:r>
      <w:rPr>
        <w:sz w:val="18"/>
        <w:szCs w:val="18"/>
      </w:rPr>
      <w:t xml:space="preserve"> </w:t>
    </w:r>
    <w:r w:rsidR="00E56A2B">
      <w:rPr>
        <w:sz w:val="18"/>
        <w:szCs w:val="18"/>
      </w:rPr>
      <w:t>1 August</w:t>
    </w:r>
    <w:r>
      <w:rPr>
        <w:sz w:val="18"/>
        <w:szCs w:val="18"/>
      </w:rPr>
      <w:t xml:space="preserve"> 2017</w:t>
    </w:r>
  </w:p>
  <w:p w:rsidR="00A66342" w:rsidRPr="00E163AD" w:rsidRDefault="00A36996" w:rsidP="00A36996">
    <w:pPr>
      <w:pBdr>
        <w:top w:val="single" w:sz="4" w:space="1" w:color="auto"/>
      </w:pBdr>
      <w:tabs>
        <w:tab w:val="right" w:pos="9638"/>
      </w:tabs>
      <w:spacing w:after="0"/>
      <w:rPr>
        <w:sz w:val="18"/>
        <w:szCs w:val="18"/>
      </w:rPr>
    </w:pPr>
    <w:r>
      <w:rPr>
        <w:sz w:val="18"/>
        <w:szCs w:val="18"/>
      </w:rPr>
      <w:t xml:space="preserve">Ref# </w:t>
    </w:r>
    <w:proofErr w:type="spellStart"/>
    <w:r>
      <w:rPr>
        <w:sz w:val="18"/>
        <w:szCs w:val="18"/>
      </w:rPr>
      <w:t>DOB2014</w:t>
    </w:r>
    <w:proofErr w:type="spellEnd"/>
    <w:r>
      <w:rPr>
        <w:sz w:val="18"/>
        <w:szCs w:val="18"/>
      </w:rPr>
      <w:t>/4004</w:t>
    </w:r>
    <w:r w:rsidR="00825D0D" w:rsidRPr="005322BD">
      <w:rPr>
        <w:sz w:val="18"/>
        <w:szCs w:val="18"/>
      </w:rPr>
      <w:tab/>
    </w:r>
    <w:r w:rsidR="00825D0D" w:rsidRPr="005322BD">
      <w:rPr>
        <w:sz w:val="18"/>
        <w:szCs w:val="18"/>
      </w:rPr>
      <w:fldChar w:fldCharType="begin"/>
    </w:r>
    <w:r w:rsidR="00825D0D" w:rsidRPr="005322BD">
      <w:rPr>
        <w:sz w:val="18"/>
        <w:szCs w:val="18"/>
      </w:rPr>
      <w:instrText xml:space="preserve"> PAGE   \* MERGEFORMAT </w:instrText>
    </w:r>
    <w:r w:rsidR="00825D0D" w:rsidRPr="005322BD">
      <w:rPr>
        <w:sz w:val="18"/>
        <w:szCs w:val="18"/>
      </w:rPr>
      <w:fldChar w:fldCharType="separate"/>
    </w:r>
    <w:r w:rsidR="0071567B">
      <w:rPr>
        <w:noProof/>
        <w:sz w:val="18"/>
        <w:szCs w:val="18"/>
      </w:rPr>
      <w:t>2</w:t>
    </w:r>
    <w:r w:rsidR="00825D0D" w:rsidRPr="005322BD">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D0D" w:rsidRPr="00825D0D" w:rsidRDefault="00825D0D" w:rsidP="00825D0D">
    <w:pPr>
      <w:pBdr>
        <w:top w:val="single" w:sz="4" w:space="1" w:color="auto"/>
      </w:pBdr>
      <w:tabs>
        <w:tab w:val="right" w:pos="9638"/>
      </w:tabs>
      <w:spacing w:after="0"/>
      <w:rPr>
        <w:sz w:val="18"/>
        <w:szCs w:val="18"/>
      </w:rPr>
    </w:pPr>
    <w:r w:rsidRPr="00825D0D">
      <w:rPr>
        <w:sz w:val="18"/>
        <w:szCs w:val="18"/>
      </w:rPr>
      <w:t xml:space="preserve">Decision for </w:t>
    </w:r>
    <w:proofErr w:type="spellStart"/>
    <w:r w:rsidR="00A36996">
      <w:rPr>
        <w:sz w:val="18"/>
        <w:szCs w:val="18"/>
      </w:rPr>
      <w:t>SKYCITY</w:t>
    </w:r>
    <w:proofErr w:type="spellEnd"/>
    <w:r w:rsidR="00A36996">
      <w:rPr>
        <w:sz w:val="18"/>
        <w:szCs w:val="18"/>
      </w:rPr>
      <w:t xml:space="preserve"> Darwin Pty Ltd</w:t>
    </w:r>
    <w:r w:rsidR="00F879FA">
      <w:rPr>
        <w:sz w:val="18"/>
        <w:szCs w:val="18"/>
      </w:rPr>
      <w:tab/>
      <w:t xml:space="preserve">Date of Decision:  </w:t>
    </w:r>
    <w:r w:rsidR="00E56A2B">
      <w:rPr>
        <w:sz w:val="18"/>
        <w:szCs w:val="18"/>
      </w:rPr>
      <w:t>1 August</w:t>
    </w:r>
    <w:r w:rsidR="009A5E80">
      <w:rPr>
        <w:sz w:val="18"/>
        <w:szCs w:val="18"/>
      </w:rPr>
      <w:t xml:space="preserve"> </w:t>
    </w:r>
    <w:r w:rsidR="00F879FA">
      <w:rPr>
        <w:sz w:val="18"/>
        <w:szCs w:val="18"/>
      </w:rPr>
      <w:t>2017</w:t>
    </w:r>
  </w:p>
  <w:p w:rsidR="00A66342" w:rsidRPr="00E163AD" w:rsidRDefault="00F879FA" w:rsidP="00E163AD">
    <w:pPr>
      <w:tabs>
        <w:tab w:val="right" w:pos="9638"/>
      </w:tabs>
      <w:rPr>
        <w:sz w:val="18"/>
        <w:szCs w:val="18"/>
      </w:rPr>
    </w:pPr>
    <w:r>
      <w:rPr>
        <w:sz w:val="18"/>
        <w:szCs w:val="18"/>
      </w:rPr>
      <w:t xml:space="preserve">Ref# </w:t>
    </w:r>
    <w:proofErr w:type="spellStart"/>
    <w:r w:rsidR="00A36996">
      <w:rPr>
        <w:sz w:val="18"/>
        <w:szCs w:val="18"/>
      </w:rPr>
      <w:t>DOB2014</w:t>
    </w:r>
    <w:proofErr w:type="spellEnd"/>
    <w:r w:rsidR="00A36996">
      <w:rPr>
        <w:sz w:val="18"/>
        <w:szCs w:val="18"/>
      </w:rPr>
      <w:t>/4004</w:t>
    </w:r>
    <w:r w:rsidR="00825D0D" w:rsidRPr="00825D0D">
      <w:rPr>
        <w:sz w:val="18"/>
        <w:szCs w:val="18"/>
      </w:rPr>
      <w:tab/>
    </w:r>
    <w:r w:rsidR="00825D0D" w:rsidRPr="00825D0D">
      <w:rPr>
        <w:sz w:val="18"/>
        <w:szCs w:val="18"/>
      </w:rPr>
      <w:fldChar w:fldCharType="begin"/>
    </w:r>
    <w:r w:rsidR="00825D0D" w:rsidRPr="00825D0D">
      <w:rPr>
        <w:sz w:val="18"/>
        <w:szCs w:val="18"/>
      </w:rPr>
      <w:instrText xml:space="preserve"> PAGE   \* MERGEFORMAT </w:instrText>
    </w:r>
    <w:r w:rsidR="00825D0D" w:rsidRPr="00825D0D">
      <w:rPr>
        <w:sz w:val="18"/>
        <w:szCs w:val="18"/>
      </w:rPr>
      <w:fldChar w:fldCharType="separate"/>
    </w:r>
    <w:r w:rsidR="0071567B">
      <w:rPr>
        <w:noProof/>
        <w:sz w:val="18"/>
        <w:szCs w:val="18"/>
      </w:rPr>
      <w:t>1</w:t>
    </w:r>
    <w:r w:rsidR="00825D0D" w:rsidRPr="00825D0D">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B3C" w:rsidRDefault="00E97B3C" w:rsidP="003E58C0">
      <w:pPr>
        <w:spacing w:after="0"/>
      </w:pPr>
      <w:r>
        <w:separator/>
      </w:r>
    </w:p>
  </w:footnote>
  <w:footnote w:type="continuationSeparator" w:id="0">
    <w:p w:rsidR="00E97B3C" w:rsidRDefault="00E97B3C" w:rsidP="003E58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3F0" w:rsidRDefault="008C03F0" w:rsidP="008C03F0">
    <w:pPr>
      <w:pStyle w:val="Header"/>
      <w:tabs>
        <w:tab w:val="clear" w:pos="4513"/>
        <w:tab w:val="clear"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57E" w:rsidRDefault="00ED557E" w:rsidP="00ED557E">
    <w:pPr>
      <w:pStyle w:val="Header"/>
    </w:pPr>
    <w:r>
      <w:rPr>
        <w:noProof/>
        <w:lang w:eastAsia="en-AU"/>
      </w:rPr>
      <w:drawing>
        <wp:inline distT="0" distB="0" distL="0" distR="0" wp14:anchorId="42E33A3D" wp14:editId="79D9AEF8">
          <wp:extent cx="1880870" cy="664210"/>
          <wp:effectExtent l="0" t="0" r="508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870" cy="664210"/>
                  </a:xfrm>
                  <a:prstGeom prst="rect">
                    <a:avLst/>
                  </a:prstGeom>
                  <a:noFill/>
                  <a:ln>
                    <a:noFill/>
                  </a:ln>
                </pic:spPr>
              </pic:pic>
            </a:graphicData>
          </a:graphic>
        </wp:inline>
      </w:drawing>
    </w:r>
  </w:p>
  <w:p w:rsidR="00A66342" w:rsidRPr="00ED557E" w:rsidRDefault="00A66342" w:rsidP="00ED55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967B9"/>
    <w:multiLevelType w:val="hybridMultilevel"/>
    <w:tmpl w:val="8CB80B72"/>
    <w:lvl w:ilvl="0" w:tplc="53289BD8">
      <w:start w:val="1"/>
      <w:numFmt w:val="decimal"/>
      <w:lvlText w:val="%1."/>
      <w:lvlJc w:val="left"/>
      <w:pPr>
        <w:ind w:left="720" w:hanging="360"/>
      </w:pPr>
    </w:lvl>
    <w:lvl w:ilvl="1" w:tplc="63704204">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A05999"/>
    <w:multiLevelType w:val="hybridMultilevel"/>
    <w:tmpl w:val="1786B85C"/>
    <w:lvl w:ilvl="0" w:tplc="EB5CADBE">
      <w:start w:val="1"/>
      <w:numFmt w:val="lowerRoman"/>
      <w:lvlText w:val="(%1)"/>
      <w:lvlJc w:val="left"/>
      <w:pPr>
        <w:ind w:left="1713"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 w15:restartNumberingAfterBreak="0">
    <w:nsid w:val="2B3C691C"/>
    <w:multiLevelType w:val="hybridMultilevel"/>
    <w:tmpl w:val="59D4A55A"/>
    <w:lvl w:ilvl="0" w:tplc="CAFEEA62">
      <w:start w:val="1"/>
      <w:numFmt w:val="decimal"/>
      <w:lvlText w:val="%1."/>
      <w:lvlJc w:val="left"/>
      <w:pPr>
        <w:tabs>
          <w:tab w:val="num" w:pos="900"/>
        </w:tabs>
        <w:ind w:left="900" w:hanging="5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53B51E68"/>
    <w:multiLevelType w:val="hybridMultilevel"/>
    <w:tmpl w:val="61E4D54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54575E9A"/>
    <w:multiLevelType w:val="hybridMultilevel"/>
    <w:tmpl w:val="3532432E"/>
    <w:lvl w:ilvl="0" w:tplc="6B366FB8">
      <w:start w:val="1"/>
      <w:numFmt w:val="decimal"/>
      <w:lvlText w:val="%1."/>
      <w:lvlJc w:val="left"/>
      <w:pPr>
        <w:ind w:left="1069" w:hanging="360"/>
      </w:pPr>
      <w:rPr>
        <w:b w:val="0"/>
        <w:i w:val="0"/>
      </w:rPr>
    </w:lvl>
    <w:lvl w:ilvl="1" w:tplc="0C090019">
      <w:start w:val="1"/>
      <w:numFmt w:val="lowerLetter"/>
      <w:lvlText w:val="%2."/>
      <w:lvlJc w:val="left"/>
      <w:pPr>
        <w:ind w:left="1582" w:hanging="360"/>
      </w:pPr>
    </w:lvl>
    <w:lvl w:ilvl="2" w:tplc="0C09001B">
      <w:start w:val="1"/>
      <w:numFmt w:val="lowerRoman"/>
      <w:lvlText w:val="%3."/>
      <w:lvlJc w:val="right"/>
      <w:pPr>
        <w:ind w:left="2302" w:hanging="180"/>
      </w:pPr>
    </w:lvl>
    <w:lvl w:ilvl="3" w:tplc="0C09000F">
      <w:start w:val="1"/>
      <w:numFmt w:val="decimal"/>
      <w:lvlText w:val="%4."/>
      <w:lvlJc w:val="left"/>
      <w:pPr>
        <w:ind w:left="3022" w:hanging="360"/>
      </w:pPr>
    </w:lvl>
    <w:lvl w:ilvl="4" w:tplc="0C090019">
      <w:start w:val="1"/>
      <w:numFmt w:val="lowerLetter"/>
      <w:lvlText w:val="%5."/>
      <w:lvlJc w:val="left"/>
      <w:pPr>
        <w:ind w:left="3742" w:hanging="360"/>
      </w:pPr>
    </w:lvl>
    <w:lvl w:ilvl="5" w:tplc="0C09001B">
      <w:start w:val="1"/>
      <w:numFmt w:val="lowerRoman"/>
      <w:lvlText w:val="%6."/>
      <w:lvlJc w:val="right"/>
      <w:pPr>
        <w:ind w:left="4462" w:hanging="180"/>
      </w:pPr>
    </w:lvl>
    <w:lvl w:ilvl="6" w:tplc="0C09000F">
      <w:start w:val="1"/>
      <w:numFmt w:val="decimal"/>
      <w:lvlText w:val="%7."/>
      <w:lvlJc w:val="left"/>
      <w:pPr>
        <w:ind w:left="5182" w:hanging="360"/>
      </w:pPr>
    </w:lvl>
    <w:lvl w:ilvl="7" w:tplc="0C090019">
      <w:start w:val="1"/>
      <w:numFmt w:val="lowerLetter"/>
      <w:lvlText w:val="%8."/>
      <w:lvlJc w:val="left"/>
      <w:pPr>
        <w:ind w:left="5902" w:hanging="360"/>
      </w:pPr>
    </w:lvl>
    <w:lvl w:ilvl="8" w:tplc="0C09001B">
      <w:start w:val="1"/>
      <w:numFmt w:val="lowerRoman"/>
      <w:lvlText w:val="%9."/>
      <w:lvlJc w:val="right"/>
      <w:pPr>
        <w:ind w:left="6622" w:hanging="180"/>
      </w:pPr>
    </w:lvl>
  </w:abstractNum>
  <w:abstractNum w:abstractNumId="5" w15:restartNumberingAfterBreak="0">
    <w:nsid w:val="64136C62"/>
    <w:multiLevelType w:val="hybridMultilevel"/>
    <w:tmpl w:val="511E4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FF13C54"/>
    <w:multiLevelType w:val="hybridMultilevel"/>
    <w:tmpl w:val="DC0A1C8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705D77E3"/>
    <w:multiLevelType w:val="hybridMultilevel"/>
    <w:tmpl w:val="B468A808"/>
    <w:lvl w:ilvl="0" w:tplc="D87A65E8">
      <w:start w:val="1"/>
      <w:numFmt w:val="decimal"/>
      <w:pStyle w:val="NoSpacing"/>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BB65501"/>
    <w:multiLevelType w:val="hybridMultilevel"/>
    <w:tmpl w:val="BD723A5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2"/>
  </w:num>
  <w:num w:numId="2">
    <w:abstractNumId w:val="6"/>
  </w:num>
  <w:num w:numId="3">
    <w:abstractNumId w:val="8"/>
  </w:num>
  <w:num w:numId="4">
    <w:abstractNumId w:val="0"/>
  </w:num>
  <w:num w:numId="5">
    <w:abstractNumId w:val="0"/>
  </w:num>
  <w:num w:numId="6">
    <w:abstractNumId w:val="4"/>
  </w:num>
  <w:num w:numId="7">
    <w:abstractNumId w:val="5"/>
  </w:num>
  <w:num w:numId="8">
    <w:abstractNumId w:val="1"/>
  </w:num>
  <w:num w:numId="9">
    <w:abstractNumId w:val="3"/>
  </w:num>
  <w:num w:numId="10">
    <w:abstractNumId w:val="9"/>
  </w:num>
  <w:num w:numId="11">
    <w:abstractNumId w:val="7"/>
  </w:num>
  <w:num w:numId="1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602"/>
    <w:rsid w:val="000347C8"/>
    <w:rsid w:val="000438DD"/>
    <w:rsid w:val="00046F68"/>
    <w:rsid w:val="000A4BC3"/>
    <w:rsid w:val="000B2CD0"/>
    <w:rsid w:val="00125FE3"/>
    <w:rsid w:val="00131B61"/>
    <w:rsid w:val="00154B6F"/>
    <w:rsid w:val="001606E6"/>
    <w:rsid w:val="001E6FF6"/>
    <w:rsid w:val="0027504F"/>
    <w:rsid w:val="002A2638"/>
    <w:rsid w:val="002C0009"/>
    <w:rsid w:val="002D2C9C"/>
    <w:rsid w:val="00302EA5"/>
    <w:rsid w:val="00355F21"/>
    <w:rsid w:val="003656E6"/>
    <w:rsid w:val="003B249D"/>
    <w:rsid w:val="003E309D"/>
    <w:rsid w:val="003E58C0"/>
    <w:rsid w:val="00411D61"/>
    <w:rsid w:val="00424BE1"/>
    <w:rsid w:val="00425FC0"/>
    <w:rsid w:val="004500C5"/>
    <w:rsid w:val="00451602"/>
    <w:rsid w:val="004619B1"/>
    <w:rsid w:val="004827C5"/>
    <w:rsid w:val="00516B5B"/>
    <w:rsid w:val="005322BD"/>
    <w:rsid w:val="00555569"/>
    <w:rsid w:val="00582F7D"/>
    <w:rsid w:val="00594BDA"/>
    <w:rsid w:val="00596B14"/>
    <w:rsid w:val="005A0B41"/>
    <w:rsid w:val="005B76A8"/>
    <w:rsid w:val="00611615"/>
    <w:rsid w:val="0063134A"/>
    <w:rsid w:val="00641618"/>
    <w:rsid w:val="006506E0"/>
    <w:rsid w:val="006764AB"/>
    <w:rsid w:val="00690008"/>
    <w:rsid w:val="006906B5"/>
    <w:rsid w:val="006A0B9A"/>
    <w:rsid w:val="006A69B6"/>
    <w:rsid w:val="006C0B9E"/>
    <w:rsid w:val="006D2F91"/>
    <w:rsid w:val="006F6099"/>
    <w:rsid w:val="0071567B"/>
    <w:rsid w:val="00731CC0"/>
    <w:rsid w:val="0073515A"/>
    <w:rsid w:val="007419A2"/>
    <w:rsid w:val="00753D30"/>
    <w:rsid w:val="0078053C"/>
    <w:rsid w:val="00825534"/>
    <w:rsid w:val="00825D0D"/>
    <w:rsid w:val="00831A77"/>
    <w:rsid w:val="00843814"/>
    <w:rsid w:val="0086664D"/>
    <w:rsid w:val="008C03F0"/>
    <w:rsid w:val="008E1EBA"/>
    <w:rsid w:val="008F46CD"/>
    <w:rsid w:val="00902F2C"/>
    <w:rsid w:val="009519BE"/>
    <w:rsid w:val="00961C2A"/>
    <w:rsid w:val="009A5E80"/>
    <w:rsid w:val="009B3098"/>
    <w:rsid w:val="009B409E"/>
    <w:rsid w:val="009B44E0"/>
    <w:rsid w:val="009C5D09"/>
    <w:rsid w:val="009E3189"/>
    <w:rsid w:val="00A02122"/>
    <w:rsid w:val="00A36996"/>
    <w:rsid w:val="00A66342"/>
    <w:rsid w:val="00AB6F1B"/>
    <w:rsid w:val="00AC5014"/>
    <w:rsid w:val="00AE0456"/>
    <w:rsid w:val="00B33B7B"/>
    <w:rsid w:val="00B33E34"/>
    <w:rsid w:val="00B35447"/>
    <w:rsid w:val="00B44FDB"/>
    <w:rsid w:val="00B83B43"/>
    <w:rsid w:val="00BA2142"/>
    <w:rsid w:val="00BE3014"/>
    <w:rsid w:val="00C90259"/>
    <w:rsid w:val="00C9103C"/>
    <w:rsid w:val="00D20A63"/>
    <w:rsid w:val="00D31BF0"/>
    <w:rsid w:val="00D402F0"/>
    <w:rsid w:val="00D72204"/>
    <w:rsid w:val="00D7349E"/>
    <w:rsid w:val="00DB5506"/>
    <w:rsid w:val="00DD72D2"/>
    <w:rsid w:val="00E163AD"/>
    <w:rsid w:val="00E21396"/>
    <w:rsid w:val="00E2721E"/>
    <w:rsid w:val="00E30632"/>
    <w:rsid w:val="00E56A2B"/>
    <w:rsid w:val="00E91362"/>
    <w:rsid w:val="00E97B3C"/>
    <w:rsid w:val="00ED557E"/>
    <w:rsid w:val="00F108C4"/>
    <w:rsid w:val="00F161FF"/>
    <w:rsid w:val="00F16FF5"/>
    <w:rsid w:val="00F17F0D"/>
    <w:rsid w:val="00F75669"/>
    <w:rsid w:val="00F86B64"/>
    <w:rsid w:val="00F879FA"/>
    <w:rsid w:val="00FE5A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70BFB5D-BBD2-4F22-9E15-C68126E0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autoRedefine/>
    <w:uiPriority w:val="9"/>
    <w:unhideWhenUsed/>
    <w:qFormat/>
    <w:rsid w:val="002A2638"/>
    <w:pPr>
      <w:keepNext/>
      <w:keepLines/>
      <w:spacing w:before="240" w:after="240"/>
      <w:outlineLvl w:val="1"/>
    </w:pPr>
    <w:rPr>
      <w:rFonts w:eastAsia="Times New Roman"/>
      <w:b/>
      <w:bCs/>
      <w:color w:val="606060"/>
      <w:sz w:val="28"/>
      <w:szCs w:val="26"/>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2A2638"/>
    <w:rPr>
      <w:rFonts w:ascii="Lato" w:eastAsia="Times New Roman" w:hAnsi="Lato"/>
      <w:b/>
      <w:bCs/>
      <w:color w:val="606060"/>
      <w:sz w:val="28"/>
      <w:szCs w:val="26"/>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aliases w:val="Numbered - normal"/>
    <w:autoRedefine/>
    <w:uiPriority w:val="1"/>
    <w:qFormat/>
    <w:rsid w:val="000347C8"/>
    <w:pPr>
      <w:numPr>
        <w:numId w:val="11"/>
      </w:numPr>
      <w:spacing w:after="120"/>
      <w:jc w:val="both"/>
    </w:pPr>
    <w:rPr>
      <w:rFonts w:ascii="Lato" w:eastAsia="Times New Roman" w:hAnsi="Lato" w:cs="Arial"/>
      <w:bCs/>
      <w:kern w:val="32"/>
      <w:sz w:val="22"/>
      <w:szCs w:val="22"/>
    </w:rPr>
  </w:style>
  <w:style w:type="paragraph" w:styleId="BalloonText">
    <w:name w:val="Balloon Text"/>
    <w:basedOn w:val="Normal"/>
    <w:link w:val="BalloonTextChar"/>
    <w:uiPriority w:val="99"/>
    <w:semiHidden/>
    <w:unhideWhenUsed/>
    <w:rsid w:val="00ED557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7E"/>
    <w:rPr>
      <w:rFonts w:ascii="Tahoma" w:hAnsi="Tahoma" w:cs="Tahoma"/>
      <w:sz w:val="16"/>
      <w:szCs w:val="16"/>
      <w:lang w:eastAsia="en-US"/>
    </w:rPr>
  </w:style>
  <w:style w:type="paragraph" w:customStyle="1" w:styleId="NewSectionHeading">
    <w:name w:val="New Section Heading"/>
    <w:basedOn w:val="Normal"/>
    <w:next w:val="Normal"/>
    <w:link w:val="NewSectionHeadingChar"/>
    <w:rsid w:val="00411D61"/>
    <w:pPr>
      <w:keepNext/>
      <w:keepLines/>
      <w:widowControl w:val="0"/>
      <w:spacing w:after="240"/>
      <w:ind w:left="1100" w:hanging="1100"/>
      <w:outlineLvl w:val="4"/>
    </w:pPr>
    <w:rPr>
      <w:rFonts w:ascii="Helvetica" w:eastAsia="Times New Roman" w:hAnsi="Helvetica"/>
      <w:b/>
      <w:sz w:val="24"/>
      <w:szCs w:val="24"/>
      <w:lang w:eastAsia="en-AU"/>
    </w:rPr>
  </w:style>
  <w:style w:type="character" w:customStyle="1" w:styleId="NewSectionHeadingChar">
    <w:name w:val="New Section Heading Char"/>
    <w:link w:val="NewSectionHeading"/>
    <w:rsid w:val="00411D61"/>
    <w:rPr>
      <w:rFonts w:ascii="Helvetica" w:eastAsia="Times New Roman" w:hAnsi="Helvetica"/>
      <w:b/>
      <w:sz w:val="24"/>
      <w:szCs w:val="24"/>
    </w:rPr>
  </w:style>
  <w:style w:type="paragraph" w:styleId="NormalWeb">
    <w:name w:val="Normal (Web)"/>
    <w:basedOn w:val="Normal"/>
    <w:uiPriority w:val="99"/>
    <w:semiHidden/>
    <w:unhideWhenUsed/>
    <w:rsid w:val="00843814"/>
    <w:pPr>
      <w:spacing w:before="100" w:beforeAutospacing="1" w:after="100" w:afterAutospacing="1"/>
    </w:pPr>
    <w:rPr>
      <w:rFonts w:ascii="Times New Roman" w:eastAsia="Times New Roman" w:hAnsi="Times New Roman"/>
      <w:sz w:val="24"/>
      <w:szCs w:val="24"/>
      <w:lang w:eastAsia="en-AU"/>
    </w:rPr>
  </w:style>
  <w:style w:type="paragraph" w:customStyle="1" w:styleId="Paragraph">
    <w:name w:val="Paragraph"/>
    <w:basedOn w:val="Normal"/>
    <w:link w:val="ParagraphChar"/>
    <w:rsid w:val="00BA2142"/>
    <w:pPr>
      <w:widowControl w:val="0"/>
      <w:spacing w:after="240"/>
      <w:ind w:left="1667" w:hanging="567"/>
      <w:jc w:val="both"/>
    </w:pPr>
    <w:rPr>
      <w:rFonts w:ascii="Helvetica" w:eastAsia="Times New Roman" w:hAnsi="Helvetica"/>
      <w:sz w:val="24"/>
      <w:szCs w:val="24"/>
      <w:lang w:eastAsia="en-AU"/>
    </w:rPr>
  </w:style>
  <w:style w:type="character" w:customStyle="1" w:styleId="ParagraphChar">
    <w:name w:val="Paragraph Char"/>
    <w:link w:val="Paragraph"/>
    <w:rsid w:val="00BA2142"/>
    <w:rPr>
      <w:rFonts w:ascii="Helvetica" w:eastAsia="Times New Roman" w:hAnsi="Helvetic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3723">
      <w:bodyDiv w:val="1"/>
      <w:marLeft w:val="0"/>
      <w:marRight w:val="0"/>
      <w:marTop w:val="0"/>
      <w:marBottom w:val="0"/>
      <w:divBdr>
        <w:top w:val="none" w:sz="0" w:space="0" w:color="auto"/>
        <w:left w:val="none" w:sz="0" w:space="0" w:color="auto"/>
        <w:bottom w:val="none" w:sz="0" w:space="0" w:color="auto"/>
        <w:right w:val="none" w:sz="0" w:space="0" w:color="auto"/>
      </w:divBdr>
    </w:div>
    <w:div w:id="177239900">
      <w:bodyDiv w:val="1"/>
      <w:marLeft w:val="0"/>
      <w:marRight w:val="0"/>
      <w:marTop w:val="0"/>
      <w:marBottom w:val="0"/>
      <w:divBdr>
        <w:top w:val="none" w:sz="0" w:space="0" w:color="auto"/>
        <w:left w:val="none" w:sz="0" w:space="0" w:color="auto"/>
        <w:bottom w:val="none" w:sz="0" w:space="0" w:color="auto"/>
        <w:right w:val="none" w:sz="0" w:space="0" w:color="auto"/>
      </w:divBdr>
    </w:div>
    <w:div w:id="831532453">
      <w:bodyDiv w:val="1"/>
      <w:marLeft w:val="0"/>
      <w:marRight w:val="0"/>
      <w:marTop w:val="0"/>
      <w:marBottom w:val="0"/>
      <w:divBdr>
        <w:top w:val="none" w:sz="0" w:space="0" w:color="auto"/>
        <w:left w:val="none" w:sz="0" w:space="0" w:color="auto"/>
        <w:bottom w:val="none" w:sz="0" w:space="0" w:color="auto"/>
        <w:right w:val="none" w:sz="0" w:space="0" w:color="auto"/>
      </w:divBdr>
    </w:div>
    <w:div w:id="190737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w1\Desktop\Ashley\20170517%20-%20Decision%20Notice%20-%20BG%20Hotels%20(Darwin)%20Pty%20Ltd%20-%20DoubleTree%20by%20Hilton%20on%20the%20Esplanade%20Darwin%20-%20s32%20variation.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E6968-EFB7-4DAC-B5AD-1ECB5F39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4066F-EEF1-4CBA-AF3C-B1DB09BB52EF}">
  <ds:schemaRefs>
    <ds:schemaRef ds:uri="http://schemas.microsoft.com/sharepoint/v3/contenttype/forms"/>
  </ds:schemaRefs>
</ds:datastoreItem>
</file>

<file path=customXml/itemProps3.xml><?xml version="1.0" encoding="utf-8"?>
<ds:datastoreItem xmlns:ds="http://schemas.openxmlformats.org/officeDocument/2006/customXml" ds:itemID="{E1294DCD-E20B-418B-B402-80B3B470B33B}">
  <ds:schemaRefs>
    <ds:schemaRef ds:uri="3f1acef0-744d-4246-9640-1b1641e99d0a"/>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9EFE6F05-2CE6-4E99-9E49-1D65DE7EB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20170517 - Decision Notice - BG Hotels (Darwin) Pty Ltd - DoubleTree by Hilton on the Esplanade Darwin - s32 variation.docx</Template>
  <TotalTime>117</TotalTime>
  <Pages>3</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Delegate of the Director-General Decision Notice Template</vt:lpstr>
    </vt:vector>
  </TitlesOfParts>
  <Company>NTG</Company>
  <LinksUpToDate>false</LinksUpToDate>
  <CharactersWithSpaces>7692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Delegate of the Director-General Decision Notice Template</dc:title>
  <dc:creator>Ashley Grant Brown</dc:creator>
  <cp:lastModifiedBy>Judith Boiteau</cp:lastModifiedBy>
  <cp:revision>7</cp:revision>
  <cp:lastPrinted>2017-08-01T05:04:00Z</cp:lastPrinted>
  <dcterms:created xsi:type="dcterms:W3CDTF">2017-08-01T03:12:00Z</dcterms:created>
  <dcterms:modified xsi:type="dcterms:W3CDTF">2017-08-02T06:38:00Z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Link">
    <vt:lpwstr>http://sharepoint.agd.nt.gov.au/_layouts/WordViewer.aspx?id=/FormServerTemplates/Media%20and%20Communications%20Hub/Executive%20Memorandum%20Template.dotx&amp;OpenIn=browser, http://sharepoint.agd.nt.gov.au/_layouts/WordViewer.aspx?id=/FormServerTemplates/Med</vt:lpwstr>
  </property>
  <property fmtid="{D5CDD505-2E9C-101B-9397-08002B2CF9AE}" pid="3" name="WorkflowChangePath">
    <vt:lpwstr>ef0a4210-0e89-4481-821e-e417017bc26d,6;ef0a4210-0e89-4481-821e-e417017bc26d,10;</vt:lpwstr>
  </property>
  <property fmtid="{D5CDD505-2E9C-101B-9397-08002B2CF9AE}" pid="4" name="ContentTypeId">
    <vt:lpwstr>0x01010088580A8767A4CA49A3747FBE42D6EA6A</vt:lpwstr>
  </property>
</Properties>
</file>