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1B6E9" w14:textId="77777777" w:rsidR="004F0CB9" w:rsidRPr="00655618" w:rsidRDefault="004F0CB9" w:rsidP="004F0CB9">
      <w:pPr>
        <w:pStyle w:val="Heading1"/>
        <w:spacing w:before="0"/>
        <w:rPr>
          <w:rFonts w:cs="Arial"/>
        </w:rPr>
      </w:pPr>
      <w:r w:rsidRPr="00655618">
        <w:rPr>
          <w:rFonts w:cs="Arial"/>
        </w:rPr>
        <w:t>Decision Notice</w:t>
      </w:r>
    </w:p>
    <w:p w14:paraId="497F237A" w14:textId="69207EFE" w:rsidR="006770F2" w:rsidRPr="006770F2" w:rsidRDefault="006770F2" w:rsidP="001620E9">
      <w:pPr>
        <w:pStyle w:val="Tabformatting"/>
      </w:pPr>
      <w:r>
        <w:rPr>
          <w:b/>
        </w:rPr>
        <w:t>Matter:</w:t>
      </w:r>
      <w:r>
        <w:tab/>
      </w:r>
      <w:bookmarkStart w:id="0" w:name="_GoBack"/>
      <w:r w:rsidR="004F0CB9">
        <w:t>Review of D</w:t>
      </w:r>
      <w:r w:rsidR="005647E3">
        <w:t>ecision of Delegate of Director-General of Licensing</w:t>
      </w:r>
      <w:bookmarkEnd w:id="0"/>
    </w:p>
    <w:p w14:paraId="30A11537" w14:textId="223DB519" w:rsidR="000E302B" w:rsidRDefault="006770F2" w:rsidP="005647E3">
      <w:pPr>
        <w:pStyle w:val="Tabformatting"/>
        <w:spacing w:after="0"/>
      </w:pPr>
      <w:r>
        <w:rPr>
          <w:b/>
        </w:rPr>
        <w:t xml:space="preserve">Proposed </w:t>
      </w:r>
      <w:r w:rsidR="00CC3330" w:rsidRPr="001620E9">
        <w:rPr>
          <w:b/>
        </w:rPr>
        <w:t>Premises</w:t>
      </w:r>
      <w:r w:rsidR="00CC3330" w:rsidRPr="00A144E7">
        <w:rPr>
          <w:b/>
        </w:rPr>
        <w:t>:</w:t>
      </w:r>
      <w:r w:rsidR="00CC3330" w:rsidRPr="001620E9">
        <w:tab/>
      </w:r>
      <w:r w:rsidR="005647E3">
        <w:t>Flynn Tavern</w:t>
      </w:r>
    </w:p>
    <w:p w14:paraId="732D0C4C" w14:textId="400BADAB" w:rsidR="005647E3" w:rsidRDefault="005647E3" w:rsidP="005647E3">
      <w:pPr>
        <w:pStyle w:val="Tabformatting"/>
        <w:spacing w:after="0"/>
      </w:pPr>
      <w:r>
        <w:rPr>
          <w:b/>
        </w:rPr>
        <w:tab/>
      </w:r>
      <w:r>
        <w:t>127 Flynn Circuit</w:t>
      </w:r>
    </w:p>
    <w:p w14:paraId="61C790D2" w14:textId="5BA4C9E3" w:rsidR="005647E3" w:rsidRDefault="005647E3" w:rsidP="004F0CB9">
      <w:pPr>
        <w:pStyle w:val="Tabformatting"/>
      </w:pPr>
      <w:r>
        <w:tab/>
      </w:r>
      <w:r w:rsidR="00C46975">
        <w:t>Bellamack NT</w:t>
      </w:r>
      <w:r w:rsidR="00C85266">
        <w:t xml:space="preserve"> 0832</w:t>
      </w:r>
    </w:p>
    <w:p w14:paraId="497F237C" w14:textId="430C5458" w:rsidR="00CC3330" w:rsidRPr="001620E9" w:rsidRDefault="00CC3330" w:rsidP="001620E9">
      <w:pPr>
        <w:pStyle w:val="Tabformatting"/>
      </w:pPr>
      <w:r w:rsidRPr="001620E9">
        <w:rPr>
          <w:b/>
        </w:rPr>
        <w:t>Applican</w:t>
      </w:r>
      <w:r w:rsidRPr="00A144E7">
        <w:rPr>
          <w:b/>
        </w:rPr>
        <w:t>t:</w:t>
      </w:r>
      <w:r w:rsidRPr="001620E9">
        <w:tab/>
      </w:r>
      <w:r w:rsidR="000E302B">
        <w:t>A</w:t>
      </w:r>
      <w:r w:rsidR="005647E3">
        <w:t>rmada Hotels and Leisure Pty Ltd</w:t>
      </w:r>
    </w:p>
    <w:p w14:paraId="497F237D" w14:textId="69E880AB" w:rsidR="00CC3330" w:rsidRPr="001620E9" w:rsidRDefault="006770F2" w:rsidP="001620E9">
      <w:pPr>
        <w:pStyle w:val="Tabformatting"/>
      </w:pPr>
      <w:r>
        <w:rPr>
          <w:b/>
        </w:rPr>
        <w:t>Proposed</w:t>
      </w:r>
      <w:r w:rsidR="00CC3330" w:rsidRPr="001620E9">
        <w:rPr>
          <w:b/>
        </w:rPr>
        <w:t xml:space="preserve"> Nominee</w:t>
      </w:r>
      <w:r w:rsidR="00CC3330" w:rsidRPr="00A144E7">
        <w:rPr>
          <w:b/>
        </w:rPr>
        <w:t>:</w:t>
      </w:r>
      <w:r w:rsidR="00CC3330" w:rsidRPr="001620E9">
        <w:tab/>
      </w:r>
      <w:r w:rsidR="000E302B">
        <w:t>M</w:t>
      </w:r>
      <w:r w:rsidR="005647E3">
        <w:t>r David Anthony</w:t>
      </w:r>
    </w:p>
    <w:p w14:paraId="497F237E" w14:textId="250CC8ED" w:rsidR="00CC3330" w:rsidRPr="001620E9" w:rsidRDefault="005647E3" w:rsidP="001620E9">
      <w:pPr>
        <w:pStyle w:val="Tabformatting"/>
      </w:pPr>
      <w:r>
        <w:rPr>
          <w:b/>
        </w:rPr>
        <w:t>Applicant for Review:</w:t>
      </w:r>
      <w:r>
        <w:rPr>
          <w:b/>
        </w:rPr>
        <w:tab/>
      </w:r>
      <w:r w:rsidR="00B40F76">
        <w:t>Mrs</w:t>
      </w:r>
      <w:r>
        <w:t xml:space="preserve"> Joanna Taylor</w:t>
      </w:r>
    </w:p>
    <w:p w14:paraId="497F237F" w14:textId="202C1214" w:rsidR="00CC3330" w:rsidRPr="000E302B" w:rsidRDefault="00CC3330" w:rsidP="001620E9">
      <w:pPr>
        <w:pStyle w:val="Tabformatting"/>
        <w:rPr>
          <w:i/>
        </w:rPr>
      </w:pPr>
      <w:r w:rsidRPr="001620E9">
        <w:rPr>
          <w:b/>
        </w:rPr>
        <w:t>Legislation</w:t>
      </w:r>
      <w:r w:rsidRPr="00A144E7">
        <w:rPr>
          <w:b/>
        </w:rPr>
        <w:t>:</w:t>
      </w:r>
      <w:r w:rsidRPr="001620E9">
        <w:tab/>
      </w:r>
      <w:r w:rsidR="005647E3">
        <w:t>Section 11</w:t>
      </w:r>
      <w:r w:rsidR="000E302B">
        <w:t xml:space="preserve"> of the </w:t>
      </w:r>
      <w:r w:rsidR="000E302B">
        <w:rPr>
          <w:i/>
        </w:rPr>
        <w:t>L</w:t>
      </w:r>
      <w:r w:rsidR="005647E3">
        <w:rPr>
          <w:i/>
        </w:rPr>
        <w:t>icensing (Director-General) Act</w:t>
      </w:r>
    </w:p>
    <w:p w14:paraId="497F2380" w14:textId="77777777" w:rsidR="00CC3330" w:rsidRPr="001620E9" w:rsidRDefault="00CC3330" w:rsidP="001620E9">
      <w:pPr>
        <w:pStyle w:val="Tabformatting"/>
      </w:pPr>
      <w:r w:rsidRPr="001620E9">
        <w:rPr>
          <w:b/>
        </w:rPr>
        <w:t>Decision of</w:t>
      </w:r>
      <w:r w:rsidRPr="00A144E7">
        <w:rPr>
          <w:b/>
        </w:rPr>
        <w:t>:</w:t>
      </w:r>
      <w:r w:rsidRPr="001620E9">
        <w:tab/>
      </w:r>
      <w:r w:rsidR="006770F2">
        <w:t>Director-General of Licensing</w:t>
      </w:r>
    </w:p>
    <w:p w14:paraId="497F2381" w14:textId="77838FC5" w:rsidR="00CC3330" w:rsidRPr="001620E9" w:rsidRDefault="00CC3330" w:rsidP="001620E9">
      <w:pPr>
        <w:pStyle w:val="Tabformatting"/>
      </w:pPr>
      <w:r w:rsidRPr="001620E9">
        <w:rPr>
          <w:b/>
        </w:rPr>
        <w:t>Date of Decision</w:t>
      </w:r>
      <w:r w:rsidRPr="00A144E7">
        <w:rPr>
          <w:b/>
        </w:rPr>
        <w:t>:</w:t>
      </w:r>
      <w:r w:rsidRPr="001620E9">
        <w:tab/>
      </w:r>
      <w:r w:rsidR="00725445">
        <w:t xml:space="preserve">14 </w:t>
      </w:r>
      <w:r w:rsidR="005647E3">
        <w:t>January 201</w:t>
      </w:r>
      <w:r w:rsidR="00133B2D">
        <w:t>6</w:t>
      </w:r>
    </w:p>
    <w:p w14:paraId="497F2382" w14:textId="77777777" w:rsidR="001620E9" w:rsidRDefault="001620E9" w:rsidP="001620E9">
      <w:pPr>
        <w:pStyle w:val="BottomLine"/>
      </w:pPr>
    </w:p>
    <w:p w14:paraId="497F2383" w14:textId="77777777" w:rsidR="00CC3330" w:rsidRPr="00A144E7" w:rsidRDefault="006C668D" w:rsidP="00A144E7">
      <w:pPr>
        <w:pStyle w:val="Heading2"/>
        <w:spacing w:before="0"/>
        <w:rPr>
          <w:rFonts w:cs="Arial"/>
        </w:rPr>
      </w:pPr>
      <w:r w:rsidRPr="00A144E7">
        <w:rPr>
          <w:rFonts w:cs="Arial"/>
        </w:rPr>
        <w:t>Background</w:t>
      </w:r>
    </w:p>
    <w:p w14:paraId="07D3C34E" w14:textId="379C0421" w:rsidR="00C13EA5" w:rsidRDefault="000E302B" w:rsidP="001A7244">
      <w:pPr>
        <w:pStyle w:val="ListParagraph"/>
        <w:numPr>
          <w:ilvl w:val="0"/>
          <w:numId w:val="10"/>
        </w:numPr>
        <w:ind w:left="567" w:hanging="425"/>
        <w:jc w:val="both"/>
        <w:rPr>
          <w:rFonts w:cs="Arial"/>
          <w:szCs w:val="24"/>
        </w:rPr>
      </w:pPr>
      <w:r>
        <w:rPr>
          <w:rFonts w:cs="Arial"/>
          <w:szCs w:val="24"/>
        </w:rPr>
        <w:t xml:space="preserve">By application dated </w:t>
      </w:r>
      <w:r w:rsidR="005647E3">
        <w:rPr>
          <w:rFonts w:cs="Arial"/>
          <w:szCs w:val="24"/>
        </w:rPr>
        <w:t>11 May 2015</w:t>
      </w:r>
      <w:r w:rsidR="00C13EA5">
        <w:rPr>
          <w:rFonts w:cs="Arial"/>
          <w:szCs w:val="24"/>
        </w:rPr>
        <w:t xml:space="preserve"> Armada Hotels and Leis</w:t>
      </w:r>
      <w:r w:rsidR="005647E3">
        <w:rPr>
          <w:rFonts w:cs="Arial"/>
          <w:szCs w:val="24"/>
        </w:rPr>
        <w:t xml:space="preserve">ure Pty Ltd applied for a tavern liquor licence for premises </w:t>
      </w:r>
      <w:r w:rsidR="00725445">
        <w:rPr>
          <w:rFonts w:cs="Arial"/>
          <w:szCs w:val="24"/>
        </w:rPr>
        <w:t xml:space="preserve">to be known as the Flynn Tavern </w:t>
      </w:r>
      <w:r w:rsidR="005647E3">
        <w:rPr>
          <w:rFonts w:cs="Arial"/>
          <w:szCs w:val="24"/>
        </w:rPr>
        <w:t>to be constructed at 127 Flynn Circuit, Bellamack</w:t>
      </w:r>
      <w:proofErr w:type="gramStart"/>
      <w:r w:rsidR="00C13EA5">
        <w:rPr>
          <w:rFonts w:cs="Arial"/>
          <w:szCs w:val="24"/>
        </w:rPr>
        <w:t xml:space="preserve">. </w:t>
      </w:r>
      <w:r w:rsidR="00A144E7">
        <w:rPr>
          <w:rFonts w:cs="Arial"/>
          <w:szCs w:val="24"/>
        </w:rPr>
        <w:t xml:space="preserve"> </w:t>
      </w:r>
      <w:proofErr w:type="gramEnd"/>
      <w:r w:rsidR="00C13EA5">
        <w:rPr>
          <w:rFonts w:cs="Arial"/>
          <w:szCs w:val="24"/>
        </w:rPr>
        <w:t>The application was advertised in the NT News on 12 and 14 August 201</w:t>
      </w:r>
      <w:r w:rsidR="00BF7457">
        <w:rPr>
          <w:rFonts w:cs="Arial"/>
          <w:szCs w:val="24"/>
        </w:rPr>
        <w:t>5</w:t>
      </w:r>
      <w:proofErr w:type="gramStart"/>
      <w:r w:rsidR="00BF4697">
        <w:rPr>
          <w:rFonts w:cs="Arial"/>
          <w:szCs w:val="24"/>
        </w:rPr>
        <w:t xml:space="preserve">.  </w:t>
      </w:r>
      <w:proofErr w:type="gramEnd"/>
      <w:r w:rsidR="00BF4697">
        <w:rPr>
          <w:rFonts w:cs="Arial"/>
          <w:szCs w:val="24"/>
        </w:rPr>
        <w:t>Seven objections were lodged within the objection period opposing the grant of the liquor licence.</w:t>
      </w:r>
    </w:p>
    <w:p w14:paraId="255002D8" w14:textId="33DBDF85" w:rsidR="00BF4697" w:rsidRDefault="00BF4697" w:rsidP="00BF4697">
      <w:pPr>
        <w:pStyle w:val="ListParagraph"/>
        <w:numPr>
          <w:ilvl w:val="0"/>
          <w:numId w:val="10"/>
        </w:numPr>
        <w:ind w:left="567" w:hanging="425"/>
        <w:jc w:val="both"/>
        <w:rPr>
          <w:rFonts w:cs="Arial"/>
          <w:szCs w:val="24"/>
        </w:rPr>
      </w:pPr>
      <w:r>
        <w:rPr>
          <w:rFonts w:cs="Arial"/>
          <w:szCs w:val="24"/>
        </w:rPr>
        <w:t>A Delegate of the Director-Gene</w:t>
      </w:r>
      <w:r w:rsidR="00C37482">
        <w:rPr>
          <w:rFonts w:cs="Arial"/>
          <w:szCs w:val="24"/>
        </w:rPr>
        <w:t>ral of Licensing (</w:t>
      </w:r>
      <w:r w:rsidR="00C96C13">
        <w:rPr>
          <w:rFonts w:cs="Arial"/>
          <w:szCs w:val="24"/>
        </w:rPr>
        <w:t>“</w:t>
      </w:r>
      <w:r w:rsidR="00C37482">
        <w:rPr>
          <w:rFonts w:cs="Arial"/>
          <w:szCs w:val="24"/>
        </w:rPr>
        <w:t>the Delegate</w:t>
      </w:r>
      <w:r w:rsidR="00C96C13">
        <w:rPr>
          <w:rFonts w:cs="Arial"/>
          <w:szCs w:val="24"/>
        </w:rPr>
        <w:t>”</w:t>
      </w:r>
      <w:r w:rsidR="00C37482">
        <w:rPr>
          <w:rFonts w:cs="Arial"/>
          <w:szCs w:val="24"/>
        </w:rPr>
        <w:t xml:space="preserve">) </w:t>
      </w:r>
      <w:r>
        <w:rPr>
          <w:rFonts w:cs="Arial"/>
          <w:szCs w:val="24"/>
        </w:rPr>
        <w:t xml:space="preserve">assessed the objections for compliance with section 47F of the </w:t>
      </w:r>
      <w:r w:rsidRPr="00C37482">
        <w:rPr>
          <w:rFonts w:cs="Arial"/>
          <w:i/>
          <w:szCs w:val="24"/>
        </w:rPr>
        <w:t>Liquor Act</w:t>
      </w:r>
      <w:r>
        <w:rPr>
          <w:rFonts w:cs="Arial"/>
          <w:szCs w:val="24"/>
        </w:rPr>
        <w:t xml:space="preserve"> (the Act).  </w:t>
      </w:r>
    </w:p>
    <w:p w14:paraId="18508DA5" w14:textId="67B4C032" w:rsidR="00725445" w:rsidRPr="00725445" w:rsidRDefault="00B37A67" w:rsidP="00BF4697">
      <w:pPr>
        <w:pStyle w:val="ListParagraph"/>
        <w:numPr>
          <w:ilvl w:val="0"/>
          <w:numId w:val="10"/>
        </w:numPr>
        <w:ind w:left="567" w:hanging="425"/>
        <w:jc w:val="both"/>
        <w:rPr>
          <w:rFonts w:cs="Arial"/>
          <w:szCs w:val="24"/>
        </w:rPr>
      </w:pPr>
      <w:r w:rsidRPr="00725445">
        <w:rPr>
          <w:rFonts w:cs="Arial"/>
          <w:szCs w:val="24"/>
        </w:rPr>
        <w:t>Relevant to this review, the D</w:t>
      </w:r>
      <w:r w:rsidR="00BF4697" w:rsidRPr="00725445">
        <w:rPr>
          <w:rFonts w:cs="Arial"/>
          <w:szCs w:val="24"/>
        </w:rPr>
        <w:t xml:space="preserve">elegate determined </w:t>
      </w:r>
      <w:r w:rsidR="00C85266">
        <w:t xml:space="preserve">that the objection lodged by </w:t>
      </w:r>
      <w:r w:rsidR="00B40F76">
        <w:rPr>
          <w:rFonts w:cs="Arial"/>
          <w:szCs w:val="24"/>
        </w:rPr>
        <w:t>Mrs</w:t>
      </w:r>
      <w:r w:rsidR="00BF4697" w:rsidRPr="00725445">
        <w:rPr>
          <w:rFonts w:cs="Arial"/>
          <w:szCs w:val="24"/>
        </w:rPr>
        <w:t xml:space="preserve"> Joanna Taylor was invalid as it </w:t>
      </w:r>
      <w:r w:rsidR="00725445">
        <w:rPr>
          <w:rFonts w:cs="Arial"/>
          <w:szCs w:val="24"/>
        </w:rPr>
        <w:t xml:space="preserve">was not </w:t>
      </w:r>
      <w:r w:rsidR="00BF4697" w:rsidRPr="00725445">
        <w:rPr>
          <w:rFonts w:cs="Arial"/>
          <w:color w:val="000000"/>
          <w:szCs w:val="24"/>
        </w:rPr>
        <w:t xml:space="preserve">lodged on behalf of </w:t>
      </w:r>
      <w:r w:rsidRPr="00725445">
        <w:rPr>
          <w:rFonts w:cs="Arial"/>
          <w:color w:val="000000"/>
          <w:szCs w:val="24"/>
        </w:rPr>
        <w:t xml:space="preserve">a community based organisation nor was it a person for the purposes of the “resident test”.  </w:t>
      </w:r>
    </w:p>
    <w:p w14:paraId="4411215E" w14:textId="48AF4504" w:rsidR="000E302B" w:rsidRPr="00A144E7" w:rsidRDefault="000E302B" w:rsidP="00A144E7">
      <w:pPr>
        <w:pStyle w:val="Heading2"/>
        <w:spacing w:before="0"/>
        <w:rPr>
          <w:rFonts w:cs="Arial"/>
        </w:rPr>
      </w:pPr>
      <w:r w:rsidRPr="00A144E7">
        <w:rPr>
          <w:rFonts w:cs="Arial"/>
        </w:rPr>
        <w:t>Current Situation</w:t>
      </w:r>
    </w:p>
    <w:p w14:paraId="57623CED" w14:textId="16A15F3A" w:rsidR="00941CAD" w:rsidRPr="00941CAD" w:rsidRDefault="00DC1DB4" w:rsidP="000E302B">
      <w:pPr>
        <w:pStyle w:val="ListParagraph"/>
        <w:numPr>
          <w:ilvl w:val="0"/>
          <w:numId w:val="10"/>
        </w:numPr>
        <w:ind w:left="567" w:hanging="425"/>
        <w:jc w:val="both"/>
        <w:rPr>
          <w:szCs w:val="22"/>
        </w:rPr>
      </w:pPr>
      <w:r>
        <w:rPr>
          <w:rFonts w:cs="Arial"/>
          <w:szCs w:val="22"/>
        </w:rPr>
        <w:t>S</w:t>
      </w:r>
      <w:r w:rsidR="00941CAD">
        <w:rPr>
          <w:rFonts w:cs="Arial"/>
          <w:szCs w:val="22"/>
        </w:rPr>
        <w:t xml:space="preserve">ection 11 of the </w:t>
      </w:r>
      <w:r w:rsidR="00941CAD" w:rsidRPr="00941CAD">
        <w:rPr>
          <w:rFonts w:cs="Arial"/>
          <w:i/>
          <w:szCs w:val="22"/>
        </w:rPr>
        <w:t>Licensing (Director-General) Act</w:t>
      </w:r>
      <w:r>
        <w:rPr>
          <w:rFonts w:cs="Arial"/>
          <w:szCs w:val="22"/>
        </w:rPr>
        <w:t xml:space="preserve"> provides that an affected person aggrieved by a decision of a Delegate may apply to the </w:t>
      </w:r>
      <w:r w:rsidR="00A144E7">
        <w:rPr>
          <w:rFonts w:cs="Arial"/>
          <w:szCs w:val="22"/>
        </w:rPr>
        <w:t>Director-General of Licensing (“the Director-General”)</w:t>
      </w:r>
      <w:r w:rsidR="00E369D3">
        <w:rPr>
          <w:rFonts w:cs="Arial"/>
          <w:szCs w:val="22"/>
        </w:rPr>
        <w:t xml:space="preserve"> for a re</w:t>
      </w:r>
      <w:r>
        <w:rPr>
          <w:rFonts w:cs="Arial"/>
          <w:szCs w:val="22"/>
        </w:rPr>
        <w:t>view of the Delegate’s decision</w:t>
      </w:r>
      <w:proofErr w:type="gramStart"/>
      <w:r>
        <w:rPr>
          <w:rFonts w:cs="Arial"/>
          <w:szCs w:val="22"/>
        </w:rPr>
        <w:t xml:space="preserve">. </w:t>
      </w:r>
      <w:r w:rsidR="00941CAD">
        <w:rPr>
          <w:rFonts w:cs="Arial"/>
          <w:szCs w:val="22"/>
        </w:rPr>
        <w:t xml:space="preserve"> </w:t>
      </w:r>
      <w:proofErr w:type="gramEnd"/>
      <w:r w:rsidR="00B40F76">
        <w:rPr>
          <w:rFonts w:cs="Arial"/>
          <w:szCs w:val="22"/>
        </w:rPr>
        <w:t>Mrs</w:t>
      </w:r>
      <w:r w:rsidR="00C37482">
        <w:rPr>
          <w:rFonts w:cs="Arial"/>
          <w:szCs w:val="22"/>
        </w:rPr>
        <w:t xml:space="preserve"> Tayl</w:t>
      </w:r>
      <w:r w:rsidR="00941CAD">
        <w:rPr>
          <w:rFonts w:cs="Arial"/>
          <w:szCs w:val="22"/>
        </w:rPr>
        <w:t xml:space="preserve">or </w:t>
      </w:r>
      <w:r w:rsidR="00725445">
        <w:rPr>
          <w:rFonts w:cs="Arial"/>
          <w:szCs w:val="22"/>
        </w:rPr>
        <w:t xml:space="preserve">has </w:t>
      </w:r>
      <w:r w:rsidR="00C37482">
        <w:rPr>
          <w:rFonts w:cs="Arial"/>
          <w:szCs w:val="22"/>
        </w:rPr>
        <w:t>sought a review by the Director-General of the Delegate</w:t>
      </w:r>
      <w:r>
        <w:rPr>
          <w:rFonts w:cs="Arial"/>
          <w:szCs w:val="22"/>
        </w:rPr>
        <w:t>’</w:t>
      </w:r>
      <w:r w:rsidR="00C37482">
        <w:rPr>
          <w:rFonts w:cs="Arial"/>
          <w:szCs w:val="22"/>
        </w:rPr>
        <w:t xml:space="preserve">s decision determining that </w:t>
      </w:r>
      <w:r w:rsidR="00725445">
        <w:rPr>
          <w:rFonts w:cs="Arial"/>
          <w:szCs w:val="22"/>
        </w:rPr>
        <w:t>her</w:t>
      </w:r>
      <w:r w:rsidR="00C37482">
        <w:rPr>
          <w:rFonts w:cs="Arial"/>
          <w:szCs w:val="22"/>
        </w:rPr>
        <w:t xml:space="preserve"> objection</w:t>
      </w:r>
      <w:r w:rsidR="00725445">
        <w:rPr>
          <w:rFonts w:cs="Arial"/>
          <w:szCs w:val="22"/>
        </w:rPr>
        <w:t xml:space="preserve"> i</w:t>
      </w:r>
      <w:r w:rsidR="00C37482">
        <w:rPr>
          <w:rFonts w:cs="Arial"/>
          <w:szCs w:val="22"/>
        </w:rPr>
        <w:t>s invalid.</w:t>
      </w:r>
    </w:p>
    <w:p w14:paraId="04086184" w14:textId="7214E3C4" w:rsidR="00941CAD" w:rsidRDefault="00E369D3" w:rsidP="000E302B">
      <w:pPr>
        <w:pStyle w:val="ListParagraph"/>
        <w:numPr>
          <w:ilvl w:val="0"/>
          <w:numId w:val="10"/>
        </w:numPr>
        <w:ind w:left="567" w:hanging="425"/>
        <w:jc w:val="both"/>
        <w:rPr>
          <w:szCs w:val="22"/>
        </w:rPr>
      </w:pPr>
      <w:r>
        <w:rPr>
          <w:szCs w:val="22"/>
        </w:rPr>
        <w:t xml:space="preserve">In support of her request for a review </w:t>
      </w:r>
      <w:r w:rsidR="00B40F76">
        <w:rPr>
          <w:szCs w:val="22"/>
        </w:rPr>
        <w:t>Mrs</w:t>
      </w:r>
      <w:r>
        <w:rPr>
          <w:szCs w:val="22"/>
        </w:rPr>
        <w:t xml:space="preserve"> Taylor has lodged submissions that may be summarised as follows</w:t>
      </w:r>
      <w:proofErr w:type="gramStart"/>
      <w:r>
        <w:rPr>
          <w:szCs w:val="22"/>
        </w:rPr>
        <w:t xml:space="preserve">.  </w:t>
      </w:r>
      <w:proofErr w:type="gramEnd"/>
      <w:r w:rsidR="00B40F76">
        <w:rPr>
          <w:szCs w:val="22"/>
        </w:rPr>
        <w:t>Mrs</w:t>
      </w:r>
      <w:r>
        <w:rPr>
          <w:szCs w:val="22"/>
        </w:rPr>
        <w:t xml:space="preserve"> Taylor</w:t>
      </w:r>
      <w:r w:rsidR="00B245A7">
        <w:rPr>
          <w:szCs w:val="22"/>
        </w:rPr>
        <w:t>’s</w:t>
      </w:r>
      <w:r>
        <w:rPr>
          <w:szCs w:val="22"/>
        </w:rPr>
        <w:t xml:space="preserve"> original objection was lodged on behalf of herself and 31 named residents who all oppose the grant of a liquor licence to the Flynn Tavern</w:t>
      </w:r>
      <w:proofErr w:type="gramStart"/>
      <w:r>
        <w:rPr>
          <w:szCs w:val="22"/>
        </w:rPr>
        <w:t xml:space="preserve">.  </w:t>
      </w:r>
      <w:proofErr w:type="gramEnd"/>
      <w:r>
        <w:rPr>
          <w:szCs w:val="22"/>
        </w:rPr>
        <w:t>The majority of</w:t>
      </w:r>
      <w:r w:rsidR="00341C26">
        <w:rPr>
          <w:szCs w:val="22"/>
        </w:rPr>
        <w:t xml:space="preserve"> </w:t>
      </w:r>
      <w:r>
        <w:rPr>
          <w:szCs w:val="22"/>
        </w:rPr>
        <w:t>persons identified in the objection reside in the suburb of Rosebery</w:t>
      </w:r>
      <w:r w:rsidR="00341C26">
        <w:rPr>
          <w:szCs w:val="22"/>
        </w:rPr>
        <w:t xml:space="preserve"> with two of those persons residing in nearby suburbs of Palmerston</w:t>
      </w:r>
      <w:proofErr w:type="gramStart"/>
      <w:r w:rsidR="00341C26">
        <w:rPr>
          <w:szCs w:val="22"/>
        </w:rPr>
        <w:t xml:space="preserve">. </w:t>
      </w:r>
      <w:r>
        <w:rPr>
          <w:szCs w:val="22"/>
        </w:rPr>
        <w:t xml:space="preserve"> </w:t>
      </w:r>
      <w:proofErr w:type="gramEnd"/>
      <w:r>
        <w:rPr>
          <w:szCs w:val="22"/>
        </w:rPr>
        <w:t>The objection was lodged in good faith and the method used was based on advice from Licensing NT</w:t>
      </w:r>
      <w:proofErr w:type="gramStart"/>
      <w:r>
        <w:rPr>
          <w:szCs w:val="22"/>
        </w:rPr>
        <w:t>.</w:t>
      </w:r>
      <w:r w:rsidR="00B245A7">
        <w:rPr>
          <w:szCs w:val="22"/>
        </w:rPr>
        <w:t xml:space="preserve">  </w:t>
      </w:r>
      <w:proofErr w:type="gramEnd"/>
      <w:r w:rsidR="00B245A7">
        <w:rPr>
          <w:szCs w:val="22"/>
        </w:rPr>
        <w:t>She submits that t</w:t>
      </w:r>
      <w:r w:rsidR="00341C26">
        <w:rPr>
          <w:szCs w:val="22"/>
        </w:rPr>
        <w:t xml:space="preserve">he group of objectors qualify as a “community based group” in the form of a local action group, as prescribed by section </w:t>
      </w:r>
      <w:proofErr w:type="gramStart"/>
      <w:r w:rsidR="00341C26">
        <w:rPr>
          <w:szCs w:val="22"/>
        </w:rPr>
        <w:t>47F(</w:t>
      </w:r>
      <w:proofErr w:type="gramEnd"/>
      <w:r w:rsidR="00341C26">
        <w:rPr>
          <w:szCs w:val="22"/>
        </w:rPr>
        <w:t>3)(f) of the Act.</w:t>
      </w:r>
    </w:p>
    <w:p w14:paraId="5DBE483F" w14:textId="1BE64492" w:rsidR="00002184" w:rsidRDefault="00B40F76" w:rsidP="00002184">
      <w:pPr>
        <w:pStyle w:val="ListParagraph"/>
        <w:numPr>
          <w:ilvl w:val="0"/>
          <w:numId w:val="10"/>
        </w:numPr>
        <w:ind w:left="567" w:hanging="425"/>
        <w:jc w:val="both"/>
        <w:rPr>
          <w:szCs w:val="22"/>
        </w:rPr>
      </w:pPr>
      <w:r>
        <w:rPr>
          <w:szCs w:val="22"/>
        </w:rPr>
        <w:lastRenderedPageBreak/>
        <w:t>Mrs</w:t>
      </w:r>
      <w:r w:rsidR="00B245A7">
        <w:rPr>
          <w:szCs w:val="22"/>
        </w:rPr>
        <w:t xml:space="preserve"> Taylor states that t</w:t>
      </w:r>
      <w:r w:rsidR="00341C26">
        <w:rPr>
          <w:szCs w:val="22"/>
        </w:rPr>
        <w:t>he group decided to lodge a joint objection so as to have a stronger voice</w:t>
      </w:r>
      <w:proofErr w:type="gramStart"/>
      <w:r w:rsidR="00341C26">
        <w:rPr>
          <w:szCs w:val="22"/>
        </w:rPr>
        <w:t xml:space="preserve">. </w:t>
      </w:r>
      <w:r w:rsidR="00A144E7">
        <w:rPr>
          <w:szCs w:val="22"/>
        </w:rPr>
        <w:t xml:space="preserve"> </w:t>
      </w:r>
      <w:proofErr w:type="gramEnd"/>
      <w:r w:rsidR="00341C26">
        <w:rPr>
          <w:szCs w:val="22"/>
        </w:rPr>
        <w:t>The co-ordinators of the group engaged in a number of community consultations and provided residents of Rosebery with email updates of their activities with the final objection taking account of the research conducted and the resident feedback.</w:t>
      </w:r>
    </w:p>
    <w:p w14:paraId="6E235129" w14:textId="3C5FE4DC" w:rsidR="00002184" w:rsidRPr="00191372" w:rsidRDefault="00341C26" w:rsidP="00002184">
      <w:pPr>
        <w:pStyle w:val="ListParagraph"/>
        <w:numPr>
          <w:ilvl w:val="0"/>
          <w:numId w:val="10"/>
        </w:numPr>
        <w:ind w:left="567" w:hanging="425"/>
        <w:jc w:val="both"/>
        <w:rPr>
          <w:szCs w:val="22"/>
        </w:rPr>
      </w:pPr>
      <w:r w:rsidRPr="00002184">
        <w:rPr>
          <w:szCs w:val="22"/>
        </w:rPr>
        <w:t xml:space="preserve">The submission refers to the definition of “community” set out in the Act which provides: </w:t>
      </w:r>
      <w:r w:rsidR="00B245A7" w:rsidRPr="00B245A7">
        <w:rPr>
          <w:i/>
          <w:szCs w:val="22"/>
        </w:rPr>
        <w:t>“</w:t>
      </w:r>
      <w:r w:rsidR="00002184" w:rsidRPr="00B245A7">
        <w:rPr>
          <w:b/>
          <w:i/>
        </w:rPr>
        <w:t>community</w:t>
      </w:r>
      <w:r w:rsidR="00002184" w:rsidRPr="00B245A7">
        <w:rPr>
          <w:i/>
        </w:rPr>
        <w:t xml:space="preserve"> includes an individual member and a group of members of a community</w:t>
      </w:r>
      <w:r w:rsidR="00B245A7" w:rsidRPr="00B245A7">
        <w:rPr>
          <w:i/>
        </w:rPr>
        <w:t>”</w:t>
      </w:r>
      <w:r w:rsidR="00B245A7">
        <w:t xml:space="preserve"> and submits that the</w:t>
      </w:r>
      <w:r w:rsidR="00002184">
        <w:t xml:space="preserve"> large number of people residing in a community</w:t>
      </w:r>
      <w:r w:rsidR="00B245A7">
        <w:t xml:space="preserve"> who wish to object to the application</w:t>
      </w:r>
      <w:r w:rsidR="00002184">
        <w:t xml:space="preserve"> should be sufficient to view the objectors</w:t>
      </w:r>
      <w:r w:rsidR="00B245A7">
        <w:t xml:space="preserve"> as a community action group</w:t>
      </w:r>
      <w:proofErr w:type="gramStart"/>
      <w:r w:rsidR="00B245A7">
        <w:t xml:space="preserve">.  </w:t>
      </w:r>
      <w:proofErr w:type="gramEnd"/>
      <w:r w:rsidR="00B40F76">
        <w:t>Mrs</w:t>
      </w:r>
      <w:r w:rsidR="00BF7457">
        <w:t> </w:t>
      </w:r>
      <w:r w:rsidR="00226742">
        <w:t>T</w:t>
      </w:r>
      <w:r w:rsidR="00B245A7">
        <w:t>aylor also confirmed that a</w:t>
      </w:r>
      <w:r w:rsidR="00002184">
        <w:t xml:space="preserve">ll objectors within the group have provided written authority for their </w:t>
      </w:r>
      <w:r w:rsidR="00226742">
        <w:t>names</w:t>
      </w:r>
      <w:r w:rsidR="00002184">
        <w:t xml:space="preserve"> to be provided to Licensing NT if r</w:t>
      </w:r>
      <w:r w:rsidR="00191372">
        <w:t>equir</w:t>
      </w:r>
      <w:r w:rsidR="00002184">
        <w:t>ed</w:t>
      </w:r>
      <w:proofErr w:type="gramStart"/>
      <w:r w:rsidR="00002184" w:rsidRPr="00242395">
        <w:t>.</w:t>
      </w:r>
      <w:r w:rsidR="00226742">
        <w:t xml:space="preserve">  </w:t>
      </w:r>
      <w:proofErr w:type="gramEnd"/>
      <w:r w:rsidR="00226742">
        <w:t>A number of the group did however request that their personal details not be provided to the applicant.</w:t>
      </w:r>
    </w:p>
    <w:p w14:paraId="229F3DFA" w14:textId="1495D0FC" w:rsidR="00191372" w:rsidRPr="00191372" w:rsidRDefault="00B40F76" w:rsidP="00002184">
      <w:pPr>
        <w:pStyle w:val="ListParagraph"/>
        <w:numPr>
          <w:ilvl w:val="0"/>
          <w:numId w:val="10"/>
        </w:numPr>
        <w:ind w:left="567" w:hanging="425"/>
        <w:jc w:val="both"/>
        <w:rPr>
          <w:szCs w:val="22"/>
        </w:rPr>
      </w:pPr>
      <w:r>
        <w:t>Mrs</w:t>
      </w:r>
      <w:r w:rsidR="00191372">
        <w:t xml:space="preserve"> Taylor also made submissions in respect of being advised that </w:t>
      </w:r>
      <w:r w:rsidR="00191372" w:rsidRPr="00226742">
        <w:rPr>
          <w:i/>
        </w:rPr>
        <w:t>“there was no evidence that the residents had provided consent or authority for you to lodge on their behalf”</w:t>
      </w:r>
      <w:proofErr w:type="gramStart"/>
      <w:r w:rsidR="00191372">
        <w:t xml:space="preserve">.  </w:t>
      </w:r>
      <w:proofErr w:type="gramEnd"/>
      <w:r w:rsidR="00191372">
        <w:t xml:space="preserve">Those submissions need not be set out in full as consent or authority of the </w:t>
      </w:r>
      <w:r w:rsidR="00226742">
        <w:t xml:space="preserve">members of the </w:t>
      </w:r>
      <w:r w:rsidR="00CF1753">
        <w:t>gro</w:t>
      </w:r>
      <w:r w:rsidR="00226742">
        <w:t>up</w:t>
      </w:r>
      <w:r w:rsidR="00191372">
        <w:t xml:space="preserve"> was not a ground on which the Delegate f</w:t>
      </w:r>
      <w:r w:rsidR="00CF1753">
        <w:t>ound the objection to be invali</w:t>
      </w:r>
      <w:r w:rsidR="00191372">
        <w:t>d.</w:t>
      </w:r>
    </w:p>
    <w:p w14:paraId="41BA6970" w14:textId="12AA3C24" w:rsidR="00191372" w:rsidRPr="00191372" w:rsidRDefault="00191372" w:rsidP="000E302B">
      <w:pPr>
        <w:pStyle w:val="ListParagraph"/>
        <w:numPr>
          <w:ilvl w:val="0"/>
          <w:numId w:val="10"/>
        </w:numPr>
        <w:ind w:left="567" w:hanging="425"/>
        <w:jc w:val="both"/>
        <w:rPr>
          <w:szCs w:val="22"/>
        </w:rPr>
      </w:pPr>
      <w:r>
        <w:t xml:space="preserve">Similarly, </w:t>
      </w:r>
      <w:r w:rsidR="00B40F76">
        <w:t>Mrs</w:t>
      </w:r>
      <w:r>
        <w:t xml:space="preserve"> Taylor has made submissions in respect to</w:t>
      </w:r>
      <w:r w:rsidR="00CF1753">
        <w:t xml:space="preserve"> </w:t>
      </w:r>
      <w:r>
        <w:t>the lodgement of the objection via email</w:t>
      </w:r>
      <w:r w:rsidR="00C62833">
        <w:t xml:space="preserve"> and it not being signed in the traditional sense</w:t>
      </w:r>
      <w:proofErr w:type="gramStart"/>
      <w:r>
        <w:t xml:space="preserve">.  </w:t>
      </w:r>
      <w:proofErr w:type="gramEnd"/>
      <w:r w:rsidR="00CF1753">
        <w:t>T</w:t>
      </w:r>
      <w:r>
        <w:t xml:space="preserve">he lodgement of </w:t>
      </w:r>
      <w:r w:rsidR="00C62833">
        <w:t xml:space="preserve">unsigned </w:t>
      </w:r>
      <w:r>
        <w:t xml:space="preserve">objections via email has been the subject of </w:t>
      </w:r>
      <w:r w:rsidR="00226742">
        <w:t xml:space="preserve">recent </w:t>
      </w:r>
      <w:r>
        <w:t xml:space="preserve">consideration </w:t>
      </w:r>
      <w:r w:rsidR="00CF1753">
        <w:t>by the Director-General</w:t>
      </w:r>
      <w:r w:rsidR="00FC5C1D">
        <w:t>, however i</w:t>
      </w:r>
      <w:r>
        <w:t xml:space="preserve">t was not a ground on which the Delegate found the group objection </w:t>
      </w:r>
      <w:r w:rsidR="00CF1753">
        <w:t xml:space="preserve">lodged by </w:t>
      </w:r>
      <w:r w:rsidR="00B40F76">
        <w:t>Mrs</w:t>
      </w:r>
      <w:r w:rsidR="00CF1753">
        <w:t xml:space="preserve"> Taylor </w:t>
      </w:r>
      <w:r>
        <w:t>to be invalid</w:t>
      </w:r>
      <w:r w:rsidR="00226742">
        <w:t xml:space="preserve"> </w:t>
      </w:r>
      <w:r w:rsidR="00FC5C1D">
        <w:t xml:space="preserve">and as such </w:t>
      </w:r>
      <w:r w:rsidR="007F397D">
        <w:t>need not be considered for the purpose of this review</w:t>
      </w:r>
      <w:r>
        <w:t>.</w:t>
      </w:r>
    </w:p>
    <w:p w14:paraId="67EED0A4" w14:textId="57854D57" w:rsidR="00341C26" w:rsidRDefault="00B40F76" w:rsidP="000E302B">
      <w:pPr>
        <w:pStyle w:val="ListParagraph"/>
        <w:numPr>
          <w:ilvl w:val="0"/>
          <w:numId w:val="10"/>
        </w:numPr>
        <w:ind w:left="567" w:hanging="425"/>
        <w:jc w:val="both"/>
        <w:rPr>
          <w:szCs w:val="22"/>
        </w:rPr>
      </w:pPr>
      <w:r>
        <w:rPr>
          <w:szCs w:val="22"/>
        </w:rPr>
        <w:t>Mrs</w:t>
      </w:r>
      <w:r w:rsidR="00710FC7">
        <w:rPr>
          <w:szCs w:val="22"/>
        </w:rPr>
        <w:t xml:space="preserve"> Taylor also submits that the Delegate’s decision advised that she was not a “person” for the purpose of the “resident” test as the objection was made as a “group objection on behalf of the residents”</w:t>
      </w:r>
      <w:proofErr w:type="gramStart"/>
      <w:r w:rsidR="00710FC7">
        <w:rPr>
          <w:szCs w:val="22"/>
        </w:rPr>
        <w:t xml:space="preserve">.  </w:t>
      </w:r>
      <w:proofErr w:type="gramEnd"/>
      <w:r>
        <w:rPr>
          <w:szCs w:val="22"/>
        </w:rPr>
        <w:t>Mrs</w:t>
      </w:r>
      <w:r w:rsidR="00710FC7">
        <w:rPr>
          <w:szCs w:val="22"/>
        </w:rPr>
        <w:t xml:space="preserve"> Taylor confirms that she is a resident of Bellamack, the </w:t>
      </w:r>
      <w:r w:rsidR="004D6465">
        <w:rPr>
          <w:szCs w:val="22"/>
        </w:rPr>
        <w:t>s</w:t>
      </w:r>
      <w:r w:rsidR="00226742">
        <w:rPr>
          <w:szCs w:val="22"/>
        </w:rPr>
        <w:t>uburb where the Flynn T</w:t>
      </w:r>
      <w:r w:rsidR="00710FC7">
        <w:rPr>
          <w:szCs w:val="22"/>
        </w:rPr>
        <w:t>avern i</w:t>
      </w:r>
      <w:r w:rsidR="00BF7457">
        <w:rPr>
          <w:szCs w:val="22"/>
        </w:rPr>
        <w:t>s</w:t>
      </w:r>
      <w:r w:rsidR="00710FC7">
        <w:rPr>
          <w:szCs w:val="22"/>
        </w:rPr>
        <w:t xml:space="preserve"> proposed to be built</w:t>
      </w:r>
      <w:proofErr w:type="gramStart"/>
      <w:r w:rsidR="00710FC7">
        <w:rPr>
          <w:szCs w:val="22"/>
        </w:rPr>
        <w:t xml:space="preserve">.  </w:t>
      </w:r>
      <w:proofErr w:type="gramEnd"/>
      <w:r w:rsidR="00710FC7">
        <w:rPr>
          <w:szCs w:val="22"/>
        </w:rPr>
        <w:t xml:space="preserve">She submits that, if the group objection is rejected then </w:t>
      </w:r>
      <w:r w:rsidR="00B37A67">
        <w:rPr>
          <w:szCs w:val="22"/>
        </w:rPr>
        <w:t>the</w:t>
      </w:r>
      <w:r w:rsidR="00710FC7">
        <w:rPr>
          <w:szCs w:val="22"/>
        </w:rPr>
        <w:t xml:space="preserve"> objection should stand as being made by her individually on the basis she is a person residing in the neighbourhood.</w:t>
      </w:r>
    </w:p>
    <w:p w14:paraId="17EEC703" w14:textId="77777777" w:rsidR="009F5691" w:rsidRPr="00A144E7" w:rsidRDefault="000E302B" w:rsidP="00A144E7">
      <w:pPr>
        <w:pStyle w:val="Heading2"/>
        <w:spacing w:before="0"/>
        <w:rPr>
          <w:rFonts w:cs="Arial"/>
        </w:rPr>
      </w:pPr>
      <w:r w:rsidRPr="00A144E7">
        <w:rPr>
          <w:rFonts w:cs="Arial"/>
        </w:rPr>
        <w:t>Consideration of the Issues</w:t>
      </w:r>
    </w:p>
    <w:p w14:paraId="78FAC1DD" w14:textId="62299705" w:rsidR="005E3BEE" w:rsidRPr="00C67951" w:rsidRDefault="00637234" w:rsidP="000E302B">
      <w:pPr>
        <w:pStyle w:val="ListParagraph"/>
        <w:numPr>
          <w:ilvl w:val="0"/>
          <w:numId w:val="10"/>
        </w:numPr>
        <w:ind w:left="567" w:hanging="425"/>
        <w:jc w:val="both"/>
        <w:rPr>
          <w:b/>
          <w:szCs w:val="22"/>
        </w:rPr>
      </w:pPr>
      <w:r>
        <w:rPr>
          <w:szCs w:val="22"/>
        </w:rPr>
        <w:t>T</w:t>
      </w:r>
      <w:r w:rsidR="005E3BEE">
        <w:rPr>
          <w:szCs w:val="22"/>
        </w:rPr>
        <w:t xml:space="preserve">he Delegate found </w:t>
      </w:r>
      <w:r w:rsidR="00B40F76">
        <w:rPr>
          <w:szCs w:val="22"/>
        </w:rPr>
        <w:t>Mrs</w:t>
      </w:r>
      <w:r w:rsidR="005E3BEE">
        <w:rPr>
          <w:szCs w:val="22"/>
        </w:rPr>
        <w:t xml:space="preserve"> Taylor’s objection to be invalid on the grounds the group of resident objectors referred to in the objection was not a community based organisation and that </w:t>
      </w:r>
      <w:r w:rsidR="00C67951">
        <w:rPr>
          <w:szCs w:val="22"/>
        </w:rPr>
        <w:t>group was not a “person” for the purpose of the “resident” test.</w:t>
      </w:r>
    </w:p>
    <w:p w14:paraId="35E182B4" w14:textId="0CD0C922" w:rsidR="00C67951" w:rsidRPr="00C67951" w:rsidRDefault="00C67951" w:rsidP="00BF7457">
      <w:pPr>
        <w:pStyle w:val="ListParagraph"/>
        <w:numPr>
          <w:ilvl w:val="0"/>
          <w:numId w:val="10"/>
        </w:numPr>
        <w:spacing w:after="120"/>
        <w:ind w:left="567" w:hanging="425"/>
        <w:jc w:val="both"/>
        <w:rPr>
          <w:b/>
          <w:szCs w:val="22"/>
        </w:rPr>
      </w:pPr>
      <w:r>
        <w:rPr>
          <w:szCs w:val="22"/>
        </w:rPr>
        <w:t>The relevant provision in respect of who can lodge an objection to a liquor licence application is section 47F(3)(f) of the Act which provides:</w:t>
      </w:r>
    </w:p>
    <w:p w14:paraId="4BEA7CE5" w14:textId="43AB16E4" w:rsidR="00C67951" w:rsidRPr="00C67951" w:rsidRDefault="00C67951" w:rsidP="00C96C13">
      <w:pPr>
        <w:pStyle w:val="Subsection"/>
        <w:keepNext/>
        <w:keepLines/>
        <w:tabs>
          <w:tab w:val="clear" w:pos="902"/>
        </w:tabs>
        <w:spacing w:after="120"/>
        <w:ind w:left="1418" w:right="566" w:hanging="567"/>
        <w:rPr>
          <w:i/>
          <w:sz w:val="22"/>
          <w:szCs w:val="22"/>
        </w:rPr>
      </w:pPr>
      <w:r w:rsidRPr="00C67951">
        <w:rPr>
          <w:i/>
          <w:sz w:val="22"/>
          <w:szCs w:val="22"/>
        </w:rPr>
        <w:t>(3)</w:t>
      </w:r>
      <w:r w:rsidRPr="00C67951">
        <w:rPr>
          <w:i/>
          <w:sz w:val="22"/>
          <w:szCs w:val="22"/>
        </w:rPr>
        <w:tab/>
        <w:t>Only the following persons, organisations or groups may make an objection under subsection (1):</w:t>
      </w:r>
    </w:p>
    <w:p w14:paraId="7DC62BF0" w14:textId="77777777" w:rsidR="00C67951" w:rsidRPr="00C67951" w:rsidRDefault="00C67951" w:rsidP="00BF7457">
      <w:pPr>
        <w:pStyle w:val="Paragraph"/>
        <w:ind w:left="1985" w:right="566"/>
        <w:rPr>
          <w:i/>
          <w:sz w:val="22"/>
          <w:szCs w:val="22"/>
        </w:rPr>
      </w:pPr>
      <w:r w:rsidRPr="00C67951">
        <w:rPr>
          <w:i/>
          <w:sz w:val="22"/>
          <w:szCs w:val="22"/>
        </w:rPr>
        <w:t>(f)</w:t>
      </w:r>
      <w:r w:rsidRPr="00C67951">
        <w:rPr>
          <w:i/>
          <w:sz w:val="22"/>
          <w:szCs w:val="22"/>
        </w:rPr>
        <w:tab/>
      </w:r>
      <w:proofErr w:type="gramStart"/>
      <w:r w:rsidRPr="00C67951">
        <w:rPr>
          <w:i/>
          <w:sz w:val="22"/>
          <w:szCs w:val="22"/>
        </w:rPr>
        <w:t>a</w:t>
      </w:r>
      <w:proofErr w:type="gramEnd"/>
      <w:r w:rsidRPr="00C67951">
        <w:rPr>
          <w:i/>
          <w:sz w:val="22"/>
          <w:szCs w:val="22"/>
        </w:rPr>
        <w:t xml:space="preserve"> community-based organisation or group (for example, a local action group or a charity).</w:t>
      </w:r>
    </w:p>
    <w:p w14:paraId="37D54BFC" w14:textId="77A35545" w:rsidR="00C67951" w:rsidRDefault="00C67951" w:rsidP="000E302B">
      <w:pPr>
        <w:pStyle w:val="ListParagraph"/>
        <w:numPr>
          <w:ilvl w:val="0"/>
          <w:numId w:val="10"/>
        </w:numPr>
        <w:ind w:left="567" w:hanging="425"/>
        <w:jc w:val="both"/>
        <w:rPr>
          <w:szCs w:val="22"/>
        </w:rPr>
      </w:pPr>
      <w:r w:rsidRPr="00C67951">
        <w:rPr>
          <w:szCs w:val="22"/>
        </w:rPr>
        <w:t xml:space="preserve">In her request for review </w:t>
      </w:r>
      <w:r w:rsidR="00B40F76">
        <w:rPr>
          <w:szCs w:val="22"/>
        </w:rPr>
        <w:t>Mrs</w:t>
      </w:r>
      <w:r w:rsidRPr="00C67951">
        <w:rPr>
          <w:szCs w:val="22"/>
        </w:rPr>
        <w:t xml:space="preserve"> Taylor </w:t>
      </w:r>
      <w:r w:rsidR="007A74F9">
        <w:rPr>
          <w:szCs w:val="22"/>
        </w:rPr>
        <w:t>states</w:t>
      </w:r>
      <w:r w:rsidRPr="00C67951">
        <w:rPr>
          <w:szCs w:val="22"/>
        </w:rPr>
        <w:t xml:space="preserve"> that </w:t>
      </w:r>
      <w:r>
        <w:rPr>
          <w:szCs w:val="22"/>
        </w:rPr>
        <w:t>the vast majority of</w:t>
      </w:r>
      <w:r w:rsidRPr="00C67951">
        <w:rPr>
          <w:szCs w:val="22"/>
        </w:rPr>
        <w:t xml:space="preserve"> names listed within the objection were people </w:t>
      </w:r>
      <w:r>
        <w:rPr>
          <w:szCs w:val="22"/>
        </w:rPr>
        <w:t xml:space="preserve">residing in </w:t>
      </w:r>
      <w:r w:rsidR="00C46975">
        <w:rPr>
          <w:szCs w:val="22"/>
        </w:rPr>
        <w:t>Bellamack</w:t>
      </w:r>
      <w:r w:rsidR="007A74F9">
        <w:rPr>
          <w:szCs w:val="22"/>
        </w:rPr>
        <w:t>,</w:t>
      </w:r>
      <w:r>
        <w:rPr>
          <w:szCs w:val="22"/>
        </w:rPr>
        <w:t xml:space="preserve"> with </w:t>
      </w:r>
      <w:r w:rsidR="007A74F9">
        <w:rPr>
          <w:szCs w:val="22"/>
        </w:rPr>
        <w:t xml:space="preserve">only </w:t>
      </w:r>
      <w:r>
        <w:rPr>
          <w:szCs w:val="22"/>
        </w:rPr>
        <w:t>two of the named persons residing in other Palmerston suburbs</w:t>
      </w:r>
      <w:proofErr w:type="gramStart"/>
      <w:r>
        <w:rPr>
          <w:szCs w:val="22"/>
        </w:rPr>
        <w:t xml:space="preserve">. </w:t>
      </w:r>
      <w:r w:rsidR="007A74F9">
        <w:rPr>
          <w:szCs w:val="22"/>
        </w:rPr>
        <w:t xml:space="preserve"> </w:t>
      </w:r>
      <w:proofErr w:type="gramEnd"/>
      <w:r w:rsidR="007A74F9">
        <w:rPr>
          <w:szCs w:val="22"/>
        </w:rPr>
        <w:t>She submits that the group qualifies as a valid objector under section 47F(3)(f) on the grounds it is a “community based group”</w:t>
      </w:r>
      <w:proofErr w:type="gramStart"/>
      <w:r w:rsidR="00777B84">
        <w:rPr>
          <w:szCs w:val="22"/>
        </w:rPr>
        <w:t xml:space="preserve">.  </w:t>
      </w:r>
      <w:proofErr w:type="gramEnd"/>
      <w:r w:rsidR="00B40F76">
        <w:rPr>
          <w:szCs w:val="22"/>
        </w:rPr>
        <w:t>Mrs</w:t>
      </w:r>
      <w:r w:rsidR="00777B84">
        <w:rPr>
          <w:szCs w:val="22"/>
        </w:rPr>
        <w:t xml:space="preserve"> T</w:t>
      </w:r>
      <w:r w:rsidR="007A74F9">
        <w:rPr>
          <w:szCs w:val="22"/>
        </w:rPr>
        <w:t>aylor stat</w:t>
      </w:r>
      <w:r w:rsidR="005E45F2">
        <w:rPr>
          <w:szCs w:val="22"/>
        </w:rPr>
        <w:t>e</w:t>
      </w:r>
      <w:r w:rsidR="007A74F9">
        <w:rPr>
          <w:szCs w:val="22"/>
        </w:rPr>
        <w:t xml:space="preserve">s further that the group felt the residents would have a stronger voice if they joined together to raise </w:t>
      </w:r>
      <w:r w:rsidR="005E45F2">
        <w:rPr>
          <w:szCs w:val="22"/>
        </w:rPr>
        <w:t xml:space="preserve">their collective </w:t>
      </w:r>
      <w:r w:rsidR="007A74F9">
        <w:rPr>
          <w:szCs w:val="22"/>
        </w:rPr>
        <w:t>concerns</w:t>
      </w:r>
      <w:proofErr w:type="gramStart"/>
      <w:r w:rsidR="007A74F9">
        <w:rPr>
          <w:szCs w:val="22"/>
        </w:rPr>
        <w:t xml:space="preserve">.  </w:t>
      </w:r>
      <w:proofErr w:type="gramEnd"/>
      <w:r w:rsidR="00B40F76">
        <w:rPr>
          <w:szCs w:val="22"/>
        </w:rPr>
        <w:t>Mrs</w:t>
      </w:r>
      <w:r w:rsidR="007A74F9">
        <w:rPr>
          <w:szCs w:val="22"/>
        </w:rPr>
        <w:t xml:space="preserve"> Taylor’s submission also contains a summary of the types of activities the group engaged in and the input that formulated the basis of the objection.</w:t>
      </w:r>
    </w:p>
    <w:p w14:paraId="6BF4B655" w14:textId="16C94492" w:rsidR="00C62833" w:rsidRDefault="00B40F76" w:rsidP="00BF7457">
      <w:pPr>
        <w:pStyle w:val="ListParagraph"/>
        <w:keepLines/>
        <w:numPr>
          <w:ilvl w:val="0"/>
          <w:numId w:val="10"/>
        </w:numPr>
        <w:ind w:left="567" w:hanging="425"/>
        <w:jc w:val="both"/>
        <w:rPr>
          <w:szCs w:val="22"/>
        </w:rPr>
      </w:pPr>
      <w:r>
        <w:rPr>
          <w:szCs w:val="22"/>
        </w:rPr>
        <w:lastRenderedPageBreak/>
        <w:t>Mrs</w:t>
      </w:r>
      <w:r w:rsidR="00053BE2">
        <w:rPr>
          <w:szCs w:val="22"/>
        </w:rPr>
        <w:t xml:space="preserve"> Tayl</w:t>
      </w:r>
      <w:r w:rsidR="007A74F9">
        <w:rPr>
          <w:szCs w:val="22"/>
        </w:rPr>
        <w:t>or notes that the group has not registered as a charity or officially named group with any organisation</w:t>
      </w:r>
      <w:proofErr w:type="gramStart"/>
      <w:r w:rsidR="007A74F9">
        <w:rPr>
          <w:szCs w:val="22"/>
        </w:rPr>
        <w:t xml:space="preserve">.  </w:t>
      </w:r>
      <w:proofErr w:type="gramEnd"/>
      <w:r w:rsidR="007A74F9">
        <w:rPr>
          <w:szCs w:val="22"/>
        </w:rPr>
        <w:t xml:space="preserve">Whilst there is no committee structure in place </w:t>
      </w:r>
      <w:r>
        <w:rPr>
          <w:szCs w:val="22"/>
        </w:rPr>
        <w:t>Mrs</w:t>
      </w:r>
      <w:r w:rsidR="007A74F9">
        <w:rPr>
          <w:szCs w:val="22"/>
        </w:rPr>
        <w:t xml:space="preserve"> Taylor submits that a reasonable person would classify the group as a “community action group” based on the number of residents involved and the activities undertaken</w:t>
      </w:r>
      <w:proofErr w:type="gramStart"/>
      <w:r w:rsidR="007A74F9">
        <w:rPr>
          <w:szCs w:val="22"/>
        </w:rPr>
        <w:t xml:space="preserve">.  </w:t>
      </w:r>
      <w:proofErr w:type="gramEnd"/>
      <w:r>
        <w:rPr>
          <w:szCs w:val="22"/>
        </w:rPr>
        <w:t>Mrs</w:t>
      </w:r>
      <w:r w:rsidR="007A74F9">
        <w:rPr>
          <w:szCs w:val="22"/>
        </w:rPr>
        <w:t xml:space="preserve"> Taylor also refers to the definition </w:t>
      </w:r>
      <w:r w:rsidR="00053BE2">
        <w:rPr>
          <w:szCs w:val="22"/>
        </w:rPr>
        <w:t xml:space="preserve">of “community” in the Act namely; </w:t>
      </w:r>
      <w:r w:rsidR="00053BE2" w:rsidRPr="005E45F2">
        <w:rPr>
          <w:i/>
          <w:szCs w:val="22"/>
        </w:rPr>
        <w:t>“community” includes an individual member and a group of members residing within the community</w:t>
      </w:r>
      <w:r w:rsidR="00053BE2">
        <w:rPr>
          <w:szCs w:val="22"/>
        </w:rPr>
        <w:t xml:space="preserve">.  </w:t>
      </w:r>
    </w:p>
    <w:p w14:paraId="577C0564" w14:textId="52E7FED6" w:rsidR="007A74F9" w:rsidRPr="00BF7457" w:rsidRDefault="00053BE2" w:rsidP="000E302B">
      <w:pPr>
        <w:pStyle w:val="ListParagraph"/>
        <w:numPr>
          <w:ilvl w:val="0"/>
          <w:numId w:val="10"/>
        </w:numPr>
        <w:ind w:left="567" w:hanging="425"/>
        <w:jc w:val="both"/>
        <w:rPr>
          <w:szCs w:val="22"/>
        </w:rPr>
      </w:pPr>
      <w:r w:rsidRPr="00BF7457">
        <w:rPr>
          <w:szCs w:val="22"/>
        </w:rPr>
        <w:t xml:space="preserve">In my view that definition </w:t>
      </w:r>
      <w:r w:rsidR="005E45F2" w:rsidRPr="00BF7457">
        <w:rPr>
          <w:szCs w:val="22"/>
        </w:rPr>
        <w:t xml:space="preserve">simply defines community and </w:t>
      </w:r>
      <w:r w:rsidRPr="00BF7457">
        <w:rPr>
          <w:szCs w:val="22"/>
        </w:rPr>
        <w:t>does not su</w:t>
      </w:r>
      <w:r w:rsidR="005E45F2" w:rsidRPr="00BF7457">
        <w:rPr>
          <w:szCs w:val="22"/>
        </w:rPr>
        <w:t xml:space="preserve">pport </w:t>
      </w:r>
      <w:r w:rsidR="00B40F76">
        <w:rPr>
          <w:szCs w:val="22"/>
        </w:rPr>
        <w:t>Mrs</w:t>
      </w:r>
      <w:r w:rsidR="005E45F2" w:rsidRPr="00BF7457">
        <w:rPr>
          <w:szCs w:val="22"/>
        </w:rPr>
        <w:t xml:space="preserve"> Taylor’s submission nor</w:t>
      </w:r>
      <w:r w:rsidRPr="00BF7457">
        <w:rPr>
          <w:szCs w:val="22"/>
        </w:rPr>
        <w:t xml:space="preserve"> does</w:t>
      </w:r>
      <w:r w:rsidR="005E45F2" w:rsidRPr="00BF7457">
        <w:rPr>
          <w:szCs w:val="22"/>
        </w:rPr>
        <w:t xml:space="preserve"> it</w:t>
      </w:r>
      <w:r w:rsidRPr="00BF7457">
        <w:rPr>
          <w:szCs w:val="22"/>
        </w:rPr>
        <w:t xml:space="preserve"> advance the question of whether this group of residents qualifies as a community-based organisation or group in the sense contemplated by section 47F(3)(f).</w:t>
      </w:r>
    </w:p>
    <w:p w14:paraId="6D02C463" w14:textId="09A64AB9" w:rsidR="00DA33B2" w:rsidRPr="00DA33B2" w:rsidRDefault="00777B84" w:rsidP="00DA33B2">
      <w:pPr>
        <w:pStyle w:val="ListParagraph"/>
        <w:numPr>
          <w:ilvl w:val="0"/>
          <w:numId w:val="10"/>
        </w:numPr>
        <w:ind w:left="567" w:hanging="425"/>
        <w:jc w:val="both"/>
        <w:rPr>
          <w:b/>
          <w:szCs w:val="22"/>
        </w:rPr>
      </w:pPr>
      <w:r w:rsidRPr="00DA33B2">
        <w:rPr>
          <w:szCs w:val="22"/>
        </w:rPr>
        <w:t xml:space="preserve">What needs to be determined is whether this group of people, some of whom may not individually qualify to lodge an objection against the grant of a liquor licence in the suburb of </w:t>
      </w:r>
      <w:r w:rsidR="00BF7457">
        <w:rPr>
          <w:szCs w:val="22"/>
        </w:rPr>
        <w:t>Bellamack</w:t>
      </w:r>
      <w:r w:rsidRPr="00DA33B2">
        <w:rPr>
          <w:szCs w:val="22"/>
        </w:rPr>
        <w:t>, is a community based organisation or a community based group</w:t>
      </w:r>
      <w:proofErr w:type="gramStart"/>
      <w:r w:rsidRPr="00DA33B2">
        <w:rPr>
          <w:szCs w:val="22"/>
        </w:rPr>
        <w:t xml:space="preserve">.  </w:t>
      </w:r>
      <w:proofErr w:type="gramEnd"/>
      <w:r w:rsidR="00DA33B2" w:rsidRPr="00DA33B2">
        <w:rPr>
          <w:rFonts w:cs="Arial"/>
          <w:color w:val="000000" w:themeColor="text1"/>
          <w:szCs w:val="22"/>
        </w:rPr>
        <w:t xml:space="preserve">Community organisations are formal or informal groups of people based in or around a “community” </w:t>
      </w:r>
      <w:r w:rsidR="006E3FF1">
        <w:rPr>
          <w:rFonts w:cs="Arial"/>
          <w:color w:val="000000" w:themeColor="text1"/>
          <w:szCs w:val="22"/>
        </w:rPr>
        <w:t xml:space="preserve">with a local area presence that </w:t>
      </w:r>
      <w:r w:rsidR="00DA33B2" w:rsidRPr="00DA33B2">
        <w:rPr>
          <w:rFonts w:cs="Arial"/>
          <w:color w:val="000000" w:themeColor="text1"/>
          <w:szCs w:val="22"/>
        </w:rPr>
        <w:t>are organised in some way, usually having some structure, rules</w:t>
      </w:r>
      <w:r w:rsidR="006E3FF1">
        <w:rPr>
          <w:rFonts w:cs="Arial"/>
          <w:color w:val="000000" w:themeColor="text1"/>
          <w:szCs w:val="22"/>
        </w:rPr>
        <w:t xml:space="preserve"> or systems of ways or working</w:t>
      </w:r>
      <w:r w:rsidR="00DA33B2" w:rsidRPr="00DA33B2">
        <w:rPr>
          <w:rFonts w:cs="Arial"/>
          <w:color w:val="000000" w:themeColor="text1"/>
          <w:szCs w:val="22"/>
        </w:rPr>
        <w:t>.</w:t>
      </w:r>
      <w:r w:rsidR="00DA33B2">
        <w:rPr>
          <w:rFonts w:cs="Arial"/>
          <w:color w:val="000000" w:themeColor="text1"/>
          <w:szCs w:val="22"/>
        </w:rPr>
        <w:t xml:space="preserve">  </w:t>
      </w:r>
    </w:p>
    <w:p w14:paraId="0FA27670" w14:textId="7F845509" w:rsidR="00DA33B2" w:rsidRPr="00B40F76" w:rsidRDefault="00DA33B2" w:rsidP="00DA33B2">
      <w:pPr>
        <w:pStyle w:val="ListParagraph"/>
        <w:numPr>
          <w:ilvl w:val="0"/>
          <w:numId w:val="10"/>
        </w:numPr>
        <w:ind w:left="567" w:hanging="425"/>
        <w:jc w:val="both"/>
        <w:rPr>
          <w:b/>
          <w:szCs w:val="22"/>
        </w:rPr>
      </w:pPr>
      <w:r w:rsidRPr="00B40F76">
        <w:rPr>
          <w:rFonts w:cs="Arial"/>
          <w:color w:val="000000" w:themeColor="text1"/>
          <w:szCs w:val="22"/>
        </w:rPr>
        <w:t xml:space="preserve">None of those conditions are satisfied in terms of the group of people named in the objection lodged by </w:t>
      </w:r>
      <w:r w:rsidR="00B40F76">
        <w:rPr>
          <w:rFonts w:cs="Arial"/>
          <w:color w:val="000000" w:themeColor="text1"/>
          <w:szCs w:val="22"/>
        </w:rPr>
        <w:t>Mrs</w:t>
      </w:r>
      <w:r w:rsidRPr="00B40F76">
        <w:rPr>
          <w:rFonts w:cs="Arial"/>
          <w:color w:val="000000" w:themeColor="text1"/>
          <w:szCs w:val="22"/>
        </w:rPr>
        <w:t xml:space="preserve"> Taylor</w:t>
      </w:r>
      <w:proofErr w:type="gramStart"/>
      <w:r w:rsidRPr="00B40F76">
        <w:rPr>
          <w:rFonts w:cs="Arial"/>
          <w:color w:val="000000" w:themeColor="text1"/>
          <w:szCs w:val="22"/>
        </w:rPr>
        <w:t xml:space="preserve">.  </w:t>
      </w:r>
      <w:proofErr w:type="gramEnd"/>
      <w:r w:rsidRPr="00B40F76">
        <w:rPr>
          <w:rFonts w:cs="Arial"/>
          <w:color w:val="000000" w:themeColor="text1"/>
          <w:szCs w:val="22"/>
        </w:rPr>
        <w:t xml:space="preserve">Of significance in that regard is the fact, as conceded by </w:t>
      </w:r>
      <w:r w:rsidR="00B40F76">
        <w:rPr>
          <w:rFonts w:cs="Arial"/>
          <w:color w:val="000000" w:themeColor="text1"/>
          <w:szCs w:val="22"/>
        </w:rPr>
        <w:t>Mrs</w:t>
      </w:r>
      <w:r w:rsidRPr="00B40F76">
        <w:rPr>
          <w:rFonts w:cs="Arial"/>
          <w:color w:val="000000" w:themeColor="text1"/>
          <w:szCs w:val="22"/>
        </w:rPr>
        <w:t xml:space="preserve"> Taylor, that at least some of the persons named in the objection do not reside or work in the suburb (community) of </w:t>
      </w:r>
      <w:r w:rsidR="00BF7457" w:rsidRPr="00B40F76">
        <w:rPr>
          <w:rFonts w:cs="Arial"/>
          <w:color w:val="000000" w:themeColor="text1"/>
          <w:szCs w:val="22"/>
        </w:rPr>
        <w:t>Bellamack</w:t>
      </w:r>
      <w:proofErr w:type="gramStart"/>
      <w:r w:rsidRPr="00B40F76">
        <w:rPr>
          <w:rFonts w:cs="Arial"/>
          <w:color w:val="000000" w:themeColor="text1"/>
          <w:szCs w:val="22"/>
        </w:rPr>
        <w:t xml:space="preserve">.  </w:t>
      </w:r>
      <w:proofErr w:type="gramEnd"/>
      <w:r w:rsidRPr="00B40F76">
        <w:rPr>
          <w:rFonts w:cs="Arial"/>
          <w:color w:val="000000" w:themeColor="text1"/>
          <w:szCs w:val="22"/>
        </w:rPr>
        <w:t>As a result, those persons would not be entitled to lodge an objection in their own right as they would not have standing to do so under the Act</w:t>
      </w:r>
      <w:proofErr w:type="gramStart"/>
      <w:r w:rsidRPr="00B40F76">
        <w:rPr>
          <w:rFonts w:cs="Arial"/>
          <w:color w:val="000000" w:themeColor="text1"/>
          <w:szCs w:val="22"/>
        </w:rPr>
        <w:t xml:space="preserve">. </w:t>
      </w:r>
      <w:r w:rsidR="00B40F76" w:rsidRPr="00B40F76">
        <w:rPr>
          <w:rFonts w:cs="Arial"/>
          <w:color w:val="000000" w:themeColor="text1"/>
          <w:szCs w:val="22"/>
        </w:rPr>
        <w:t xml:space="preserve"> </w:t>
      </w:r>
      <w:proofErr w:type="gramEnd"/>
      <w:r w:rsidRPr="00B40F76">
        <w:rPr>
          <w:rFonts w:cs="Arial"/>
          <w:color w:val="000000" w:themeColor="text1"/>
          <w:szCs w:val="22"/>
        </w:rPr>
        <w:t xml:space="preserve">As such I do not agree that those people should be able to somehow engage in the objection process by simply joining forces with a group of residents of the community.  </w:t>
      </w:r>
    </w:p>
    <w:p w14:paraId="2A2136D1" w14:textId="0BC79C55" w:rsidR="00DA33B2" w:rsidRPr="00AC7BAC" w:rsidRDefault="00DA33B2" w:rsidP="00DA33B2">
      <w:pPr>
        <w:pStyle w:val="ListParagraph"/>
        <w:numPr>
          <w:ilvl w:val="0"/>
          <w:numId w:val="10"/>
        </w:numPr>
        <w:ind w:left="567" w:hanging="425"/>
        <w:jc w:val="both"/>
        <w:rPr>
          <w:b/>
          <w:szCs w:val="22"/>
        </w:rPr>
      </w:pPr>
      <w:r>
        <w:rPr>
          <w:rFonts w:cs="Arial"/>
          <w:color w:val="000000" w:themeColor="text1"/>
          <w:szCs w:val="22"/>
        </w:rPr>
        <w:t>For those reasons</w:t>
      </w:r>
      <w:r w:rsidR="00637234">
        <w:rPr>
          <w:rFonts w:cs="Arial"/>
          <w:color w:val="000000" w:themeColor="text1"/>
          <w:szCs w:val="22"/>
        </w:rPr>
        <w:t>,</w:t>
      </w:r>
      <w:r>
        <w:rPr>
          <w:rFonts w:cs="Arial"/>
          <w:color w:val="000000" w:themeColor="text1"/>
          <w:szCs w:val="22"/>
        </w:rPr>
        <w:t xml:space="preserve"> I agree with and confirm the decision of the Delegate that the group of people named in the objection do</w:t>
      </w:r>
      <w:r w:rsidR="005E45F2">
        <w:rPr>
          <w:rFonts w:cs="Arial"/>
          <w:color w:val="000000" w:themeColor="text1"/>
          <w:szCs w:val="22"/>
        </w:rPr>
        <w:t>es</w:t>
      </w:r>
      <w:r>
        <w:rPr>
          <w:rFonts w:cs="Arial"/>
          <w:color w:val="000000" w:themeColor="text1"/>
          <w:szCs w:val="22"/>
        </w:rPr>
        <w:t xml:space="preserve"> not satisfy the requirements for a community based organisation </w:t>
      </w:r>
      <w:r w:rsidR="00AC7BAC">
        <w:rPr>
          <w:rFonts w:cs="Arial"/>
          <w:color w:val="000000" w:themeColor="text1"/>
          <w:szCs w:val="22"/>
        </w:rPr>
        <w:t xml:space="preserve">or group and </w:t>
      </w:r>
      <w:r>
        <w:rPr>
          <w:rFonts w:cs="Arial"/>
          <w:color w:val="000000" w:themeColor="text1"/>
          <w:szCs w:val="22"/>
        </w:rPr>
        <w:t>so do</w:t>
      </w:r>
      <w:r w:rsidR="005E45F2">
        <w:rPr>
          <w:rFonts w:cs="Arial"/>
          <w:color w:val="000000" w:themeColor="text1"/>
          <w:szCs w:val="22"/>
        </w:rPr>
        <w:t>es</w:t>
      </w:r>
      <w:r>
        <w:rPr>
          <w:rFonts w:cs="Arial"/>
          <w:color w:val="000000" w:themeColor="text1"/>
          <w:szCs w:val="22"/>
        </w:rPr>
        <w:t xml:space="preserve"> no</w:t>
      </w:r>
      <w:r w:rsidR="00B40F76">
        <w:rPr>
          <w:rFonts w:cs="Arial"/>
          <w:color w:val="000000" w:themeColor="text1"/>
          <w:szCs w:val="22"/>
        </w:rPr>
        <w:t>t</w:t>
      </w:r>
      <w:r>
        <w:rPr>
          <w:rFonts w:cs="Arial"/>
          <w:color w:val="000000" w:themeColor="text1"/>
          <w:szCs w:val="22"/>
        </w:rPr>
        <w:t xml:space="preserve"> fall within the scope of section 47F(3)(f) of the Act.</w:t>
      </w:r>
    </w:p>
    <w:p w14:paraId="38200CF4" w14:textId="4F0A707E" w:rsidR="00AC7BAC" w:rsidRPr="00AC7BAC" w:rsidRDefault="00AC7BAC" w:rsidP="00DA33B2">
      <w:pPr>
        <w:pStyle w:val="ListParagraph"/>
        <w:numPr>
          <w:ilvl w:val="0"/>
          <w:numId w:val="10"/>
        </w:numPr>
        <w:ind w:left="567" w:hanging="425"/>
        <w:jc w:val="both"/>
        <w:rPr>
          <w:b/>
          <w:szCs w:val="22"/>
        </w:rPr>
      </w:pPr>
      <w:r>
        <w:rPr>
          <w:rFonts w:cs="Arial"/>
          <w:color w:val="000000" w:themeColor="text1"/>
          <w:szCs w:val="22"/>
        </w:rPr>
        <w:t xml:space="preserve">In her request for review </w:t>
      </w:r>
      <w:r w:rsidR="00B40F76">
        <w:rPr>
          <w:rFonts w:cs="Arial"/>
          <w:color w:val="000000" w:themeColor="text1"/>
          <w:szCs w:val="22"/>
        </w:rPr>
        <w:t>Mrs</w:t>
      </w:r>
      <w:r>
        <w:rPr>
          <w:rFonts w:cs="Arial"/>
          <w:color w:val="000000" w:themeColor="text1"/>
          <w:szCs w:val="22"/>
        </w:rPr>
        <w:t xml:space="preserve"> Taylor also takes issue with the Delegate’s decision that she was not a “person” for the purpose of the “residents t</w:t>
      </w:r>
      <w:r w:rsidR="005E45F2">
        <w:rPr>
          <w:rFonts w:cs="Arial"/>
          <w:color w:val="000000" w:themeColor="text1"/>
          <w:szCs w:val="22"/>
        </w:rPr>
        <w:t>est” as her objection was styled</w:t>
      </w:r>
      <w:r>
        <w:rPr>
          <w:rFonts w:cs="Arial"/>
          <w:color w:val="000000" w:themeColor="text1"/>
          <w:szCs w:val="22"/>
        </w:rPr>
        <w:t xml:space="preserve"> as a group objection</w:t>
      </w:r>
      <w:proofErr w:type="gramStart"/>
      <w:r>
        <w:rPr>
          <w:rFonts w:cs="Arial"/>
          <w:color w:val="000000" w:themeColor="text1"/>
          <w:szCs w:val="22"/>
        </w:rPr>
        <w:t xml:space="preserve">.  </w:t>
      </w:r>
      <w:proofErr w:type="gramEnd"/>
      <w:r>
        <w:rPr>
          <w:rFonts w:cs="Arial"/>
          <w:color w:val="000000" w:themeColor="text1"/>
          <w:szCs w:val="22"/>
        </w:rPr>
        <w:t>She submits that she personally is a resident of Bellamack and that if the group objection is assessed as invalid then her individual objection should continue to be considered as valid.</w:t>
      </w:r>
    </w:p>
    <w:p w14:paraId="7FD161A9" w14:textId="18BD2230" w:rsidR="00754E2A" w:rsidRPr="00754E2A" w:rsidRDefault="00AC7BAC" w:rsidP="00754E2A">
      <w:pPr>
        <w:pStyle w:val="ListParagraph"/>
        <w:numPr>
          <w:ilvl w:val="0"/>
          <w:numId w:val="10"/>
        </w:numPr>
        <w:ind w:left="567" w:hanging="425"/>
        <w:jc w:val="both"/>
        <w:rPr>
          <w:b/>
          <w:szCs w:val="22"/>
        </w:rPr>
      </w:pPr>
      <w:r>
        <w:rPr>
          <w:rFonts w:cs="Arial"/>
          <w:color w:val="000000" w:themeColor="text1"/>
          <w:szCs w:val="22"/>
        </w:rPr>
        <w:t>In my view, that submission has merit</w:t>
      </w:r>
      <w:proofErr w:type="gramStart"/>
      <w:r>
        <w:rPr>
          <w:rFonts w:cs="Arial"/>
          <w:color w:val="000000" w:themeColor="text1"/>
          <w:szCs w:val="22"/>
        </w:rPr>
        <w:t xml:space="preserve">.  </w:t>
      </w:r>
      <w:proofErr w:type="gramEnd"/>
      <w:r w:rsidR="00637234">
        <w:rPr>
          <w:rFonts w:cs="Arial"/>
          <w:color w:val="000000" w:themeColor="text1"/>
          <w:szCs w:val="22"/>
        </w:rPr>
        <w:t>T</w:t>
      </w:r>
      <w:r>
        <w:rPr>
          <w:rFonts w:cs="Arial"/>
          <w:color w:val="000000" w:themeColor="text1"/>
          <w:szCs w:val="22"/>
        </w:rPr>
        <w:t xml:space="preserve">here is no doubt </w:t>
      </w:r>
      <w:r w:rsidR="00B40F76">
        <w:rPr>
          <w:rFonts w:cs="Arial"/>
          <w:color w:val="000000" w:themeColor="text1"/>
          <w:szCs w:val="22"/>
        </w:rPr>
        <w:t>Mrs</w:t>
      </w:r>
      <w:r>
        <w:rPr>
          <w:rFonts w:cs="Arial"/>
          <w:color w:val="000000" w:themeColor="text1"/>
          <w:szCs w:val="22"/>
        </w:rPr>
        <w:t xml:space="preserve"> Taylor </w:t>
      </w:r>
      <w:r w:rsidR="00754E2A">
        <w:rPr>
          <w:rFonts w:cs="Arial"/>
          <w:color w:val="000000" w:themeColor="text1"/>
          <w:szCs w:val="22"/>
        </w:rPr>
        <w:t xml:space="preserve">personally </w:t>
      </w:r>
      <w:r>
        <w:rPr>
          <w:rFonts w:cs="Arial"/>
          <w:color w:val="000000" w:themeColor="text1"/>
          <w:szCs w:val="22"/>
        </w:rPr>
        <w:t>has standing as an objector being a person residing in the neighbourhood to which the Flynn Tavern application relates</w:t>
      </w:r>
      <w:proofErr w:type="gramStart"/>
      <w:r>
        <w:rPr>
          <w:rFonts w:cs="Arial"/>
          <w:color w:val="000000" w:themeColor="text1"/>
          <w:szCs w:val="22"/>
        </w:rPr>
        <w:t>.</w:t>
      </w:r>
      <w:r w:rsidR="00754E2A">
        <w:rPr>
          <w:rFonts w:cs="Arial"/>
          <w:color w:val="000000" w:themeColor="text1"/>
          <w:szCs w:val="22"/>
        </w:rPr>
        <w:t xml:space="preserve">  </w:t>
      </w:r>
      <w:proofErr w:type="gramEnd"/>
      <w:r w:rsidR="00754E2A">
        <w:rPr>
          <w:rFonts w:cs="Arial"/>
          <w:color w:val="000000" w:themeColor="text1"/>
          <w:szCs w:val="22"/>
        </w:rPr>
        <w:t xml:space="preserve">The preferable course would have been for the Delegate to contact </w:t>
      </w:r>
      <w:r w:rsidR="00B40F76">
        <w:rPr>
          <w:rFonts w:cs="Arial"/>
          <w:color w:val="000000" w:themeColor="text1"/>
          <w:szCs w:val="22"/>
        </w:rPr>
        <w:t>Mrs </w:t>
      </w:r>
      <w:r w:rsidR="00754E2A">
        <w:rPr>
          <w:rFonts w:cs="Arial"/>
          <w:color w:val="000000" w:themeColor="text1"/>
          <w:szCs w:val="22"/>
        </w:rPr>
        <w:t>Taylor on noticing the issue with the group objection and inviting her to lodge an individual objection</w:t>
      </w:r>
      <w:proofErr w:type="gramStart"/>
      <w:r w:rsidR="00754E2A">
        <w:rPr>
          <w:rFonts w:cs="Arial"/>
          <w:color w:val="000000" w:themeColor="text1"/>
          <w:szCs w:val="22"/>
        </w:rPr>
        <w:t xml:space="preserve">.  </w:t>
      </w:r>
      <w:proofErr w:type="gramEnd"/>
      <w:r w:rsidR="00754E2A">
        <w:rPr>
          <w:rFonts w:cs="Arial"/>
          <w:color w:val="000000" w:themeColor="text1"/>
          <w:szCs w:val="22"/>
        </w:rPr>
        <w:t xml:space="preserve">Clearly that did not occur and the first time </w:t>
      </w:r>
      <w:r w:rsidR="00B40F76">
        <w:rPr>
          <w:rFonts w:cs="Arial"/>
          <w:color w:val="000000" w:themeColor="text1"/>
          <w:szCs w:val="22"/>
        </w:rPr>
        <w:t>Mrs</w:t>
      </w:r>
      <w:r w:rsidR="00754E2A">
        <w:rPr>
          <w:rFonts w:cs="Arial"/>
          <w:color w:val="000000" w:themeColor="text1"/>
          <w:szCs w:val="22"/>
        </w:rPr>
        <w:t xml:space="preserve"> Taylor heard of the rejection of her objection was on receipt of the Delegate’s decision</w:t>
      </w:r>
      <w:proofErr w:type="gramStart"/>
      <w:r w:rsidR="00754E2A">
        <w:rPr>
          <w:rFonts w:cs="Arial"/>
          <w:color w:val="000000" w:themeColor="text1"/>
          <w:szCs w:val="22"/>
        </w:rPr>
        <w:t xml:space="preserve">.  </w:t>
      </w:r>
      <w:proofErr w:type="gramEnd"/>
      <w:r w:rsidR="00754E2A">
        <w:rPr>
          <w:rFonts w:cs="Arial"/>
          <w:color w:val="000000" w:themeColor="text1"/>
          <w:szCs w:val="22"/>
        </w:rPr>
        <w:t>By that stage the objection period had closed.</w:t>
      </w:r>
    </w:p>
    <w:p w14:paraId="1F713941" w14:textId="68B4C963" w:rsidR="00754E2A" w:rsidRDefault="00754E2A" w:rsidP="00754E2A">
      <w:pPr>
        <w:pStyle w:val="ListParagraph"/>
        <w:numPr>
          <w:ilvl w:val="0"/>
          <w:numId w:val="10"/>
        </w:numPr>
        <w:ind w:left="567" w:hanging="425"/>
        <w:jc w:val="both"/>
      </w:pPr>
      <w:r>
        <w:t>One of t</w:t>
      </w:r>
      <w:r w:rsidRPr="00242395">
        <w:t>he primary object</w:t>
      </w:r>
      <w:r>
        <w:t>s of the</w:t>
      </w:r>
      <w:r w:rsidRPr="00242395">
        <w:t xml:space="preserve"> Act</w:t>
      </w:r>
      <w:r>
        <w:t>, as set out in section 3,</w:t>
      </w:r>
      <w:r w:rsidRPr="00242395">
        <w:t xml:space="preserve"> is to regulate the sale, provision, promotion and consumption of liquor</w:t>
      </w:r>
      <w:r>
        <w:t xml:space="preserve"> </w:t>
      </w:r>
      <w:r w:rsidRPr="00242395">
        <w:t>in a way that takes into account the public interest</w:t>
      </w:r>
      <w:proofErr w:type="gramStart"/>
      <w:r w:rsidRPr="00242395">
        <w:t>.</w:t>
      </w:r>
      <w:r>
        <w:t xml:space="preserve">  </w:t>
      </w:r>
      <w:proofErr w:type="gramEnd"/>
      <w:r>
        <w:t xml:space="preserve">The most effective means of determining the public interest in respect of a </w:t>
      </w:r>
      <w:r w:rsidR="005E45F2">
        <w:t xml:space="preserve">particular </w:t>
      </w:r>
      <w:r>
        <w:t>liquor licence application is to canvass and take into account the views of residents, businesses and members of the public who reside or work in the community to which the application relates.</w:t>
      </w:r>
    </w:p>
    <w:p w14:paraId="0BBD73E5" w14:textId="03C6F463" w:rsidR="0001035F" w:rsidRPr="00242395" w:rsidRDefault="0001035F" w:rsidP="00754E2A">
      <w:pPr>
        <w:pStyle w:val="ListParagraph"/>
        <w:numPr>
          <w:ilvl w:val="0"/>
          <w:numId w:val="10"/>
        </w:numPr>
        <w:ind w:left="567" w:hanging="425"/>
        <w:jc w:val="both"/>
      </w:pPr>
      <w:r>
        <w:t xml:space="preserve">Applying the public interest test, I am of the view that the objection lodged by </w:t>
      </w:r>
      <w:r w:rsidR="00B40F76">
        <w:t>Mrs</w:t>
      </w:r>
      <w:r>
        <w:t xml:space="preserve"> Taylor should be assessed as an individual objection and one that she had standing to lodge as a resident of the relevant neighbourhood</w:t>
      </w:r>
      <w:proofErr w:type="gramStart"/>
      <w:r>
        <w:t xml:space="preserve">.  </w:t>
      </w:r>
      <w:proofErr w:type="gramEnd"/>
      <w:r>
        <w:t xml:space="preserve">I have determined to revoke the component of the Delegate’s decision in which it was determined that </w:t>
      </w:r>
      <w:r w:rsidR="00B40F76">
        <w:t>Mrs</w:t>
      </w:r>
      <w:r>
        <w:t xml:space="preserve"> Taylor did not pass the resident test</w:t>
      </w:r>
      <w:proofErr w:type="gramStart"/>
      <w:r>
        <w:t xml:space="preserve">.  </w:t>
      </w:r>
      <w:proofErr w:type="gramEnd"/>
      <w:r>
        <w:t>Clearly she does pass that test and it is in the public interest that the matters raised in her objection should be taken into account in the substantive decision relating to the grant or refusal of the application for a liquor licence.</w:t>
      </w:r>
    </w:p>
    <w:p w14:paraId="7DD0CC7C" w14:textId="4BE1AD0E" w:rsidR="0001035F" w:rsidRDefault="0001035F" w:rsidP="00DA33B2">
      <w:pPr>
        <w:pStyle w:val="ListParagraph"/>
        <w:numPr>
          <w:ilvl w:val="0"/>
          <w:numId w:val="10"/>
        </w:numPr>
        <w:ind w:left="567" w:hanging="425"/>
        <w:jc w:val="both"/>
        <w:rPr>
          <w:szCs w:val="22"/>
        </w:rPr>
      </w:pPr>
      <w:r w:rsidRPr="0001035F">
        <w:rPr>
          <w:szCs w:val="22"/>
        </w:rPr>
        <w:lastRenderedPageBreak/>
        <w:t>It must be noted that this review did not involve</w:t>
      </w:r>
      <w:r w:rsidR="00637234">
        <w:rPr>
          <w:szCs w:val="22"/>
        </w:rPr>
        <w:t xml:space="preserve"> me </w:t>
      </w:r>
      <w:r>
        <w:rPr>
          <w:szCs w:val="22"/>
        </w:rPr>
        <w:t xml:space="preserve">considering the substance or merits of </w:t>
      </w:r>
      <w:r w:rsidR="00637234">
        <w:rPr>
          <w:szCs w:val="22"/>
        </w:rPr>
        <w:t>the</w:t>
      </w:r>
      <w:r>
        <w:rPr>
          <w:szCs w:val="22"/>
        </w:rPr>
        <w:t xml:space="preserve"> objection subject to this review</w:t>
      </w:r>
      <w:proofErr w:type="gramStart"/>
      <w:r>
        <w:rPr>
          <w:szCs w:val="22"/>
        </w:rPr>
        <w:t xml:space="preserve">.  </w:t>
      </w:r>
      <w:proofErr w:type="gramEnd"/>
      <w:r>
        <w:rPr>
          <w:szCs w:val="22"/>
        </w:rPr>
        <w:t xml:space="preserve">Those matters are clearly considerations that will </w:t>
      </w:r>
      <w:r w:rsidR="005E45F2">
        <w:rPr>
          <w:szCs w:val="22"/>
        </w:rPr>
        <w:t xml:space="preserve">now </w:t>
      </w:r>
      <w:r>
        <w:rPr>
          <w:szCs w:val="22"/>
        </w:rPr>
        <w:t>be taken into account in the context of the substantive decision that will follow this review.</w:t>
      </w:r>
    </w:p>
    <w:p w14:paraId="7979A223" w14:textId="4E419B12" w:rsidR="000E302B" w:rsidRPr="00A144E7" w:rsidRDefault="000E302B" w:rsidP="00A144E7">
      <w:pPr>
        <w:pStyle w:val="Heading2"/>
        <w:spacing w:before="0"/>
        <w:rPr>
          <w:rFonts w:cs="Arial"/>
        </w:rPr>
      </w:pPr>
      <w:r w:rsidRPr="00637234">
        <w:rPr>
          <w:rFonts w:cs="Arial"/>
        </w:rPr>
        <w:t xml:space="preserve">The </w:t>
      </w:r>
      <w:r w:rsidRPr="00A144E7">
        <w:rPr>
          <w:rFonts w:cs="Arial"/>
        </w:rPr>
        <w:t>Decision</w:t>
      </w:r>
    </w:p>
    <w:p w14:paraId="22CFA12F" w14:textId="6F8BFCB2" w:rsidR="00637234" w:rsidRPr="00637234" w:rsidRDefault="0001035F" w:rsidP="00DA33B2">
      <w:pPr>
        <w:pStyle w:val="ListParagraph"/>
        <w:numPr>
          <w:ilvl w:val="0"/>
          <w:numId w:val="10"/>
        </w:numPr>
        <w:ind w:left="567" w:hanging="425"/>
        <w:jc w:val="both"/>
        <w:rPr>
          <w:szCs w:val="22"/>
        </w:rPr>
      </w:pPr>
      <w:r w:rsidRPr="00637234">
        <w:rPr>
          <w:rFonts w:cs="Arial"/>
          <w:bCs/>
          <w:szCs w:val="22"/>
        </w:rPr>
        <w:t>For the reasons set out above</w:t>
      </w:r>
      <w:r w:rsidR="005E45F2" w:rsidRPr="00637234">
        <w:rPr>
          <w:rFonts w:cs="Arial"/>
          <w:bCs/>
          <w:szCs w:val="22"/>
        </w:rPr>
        <w:t>,</w:t>
      </w:r>
      <w:r w:rsidRPr="00637234">
        <w:rPr>
          <w:rFonts w:cs="Arial"/>
          <w:bCs/>
          <w:szCs w:val="22"/>
        </w:rPr>
        <w:t xml:space="preserve"> I have determined to </w:t>
      </w:r>
      <w:r w:rsidR="00637234">
        <w:rPr>
          <w:rFonts w:cs="Arial"/>
          <w:bCs/>
          <w:szCs w:val="22"/>
        </w:rPr>
        <w:t>confirm the decision of the D</w:t>
      </w:r>
      <w:r w:rsidRPr="00637234">
        <w:rPr>
          <w:rFonts w:cs="Arial"/>
          <w:bCs/>
          <w:szCs w:val="22"/>
        </w:rPr>
        <w:t xml:space="preserve">elegate that the objection lodged by </w:t>
      </w:r>
      <w:r w:rsidR="00B40F76">
        <w:rPr>
          <w:rFonts w:cs="Arial"/>
          <w:bCs/>
          <w:szCs w:val="22"/>
        </w:rPr>
        <w:t>Mrs</w:t>
      </w:r>
      <w:r w:rsidRPr="00637234">
        <w:rPr>
          <w:rFonts w:cs="Arial"/>
          <w:bCs/>
          <w:szCs w:val="22"/>
        </w:rPr>
        <w:t xml:space="preserve"> Taylor was not a group objection falling within the ambit of section 47F(3)(f).  </w:t>
      </w:r>
    </w:p>
    <w:p w14:paraId="1D906CD7" w14:textId="14033765" w:rsidR="0001035F" w:rsidRPr="00CF3B79" w:rsidRDefault="00637234" w:rsidP="00DA33B2">
      <w:pPr>
        <w:pStyle w:val="ListParagraph"/>
        <w:numPr>
          <w:ilvl w:val="0"/>
          <w:numId w:val="10"/>
        </w:numPr>
        <w:ind w:left="567" w:hanging="425"/>
        <w:jc w:val="both"/>
        <w:rPr>
          <w:szCs w:val="22"/>
        </w:rPr>
      </w:pPr>
      <w:r>
        <w:rPr>
          <w:rFonts w:cs="Arial"/>
          <w:bCs/>
          <w:szCs w:val="22"/>
        </w:rPr>
        <w:t xml:space="preserve">However, </w:t>
      </w:r>
      <w:r w:rsidR="0001035F" w:rsidRPr="00637234">
        <w:rPr>
          <w:rFonts w:cs="Arial"/>
          <w:bCs/>
          <w:szCs w:val="22"/>
        </w:rPr>
        <w:t xml:space="preserve">I have determined however that </w:t>
      </w:r>
      <w:r w:rsidR="00B40F76">
        <w:rPr>
          <w:rFonts w:cs="Arial"/>
          <w:bCs/>
          <w:szCs w:val="22"/>
        </w:rPr>
        <w:t>Mrs</w:t>
      </w:r>
      <w:r w:rsidR="0001035F" w:rsidRPr="00637234">
        <w:rPr>
          <w:rFonts w:cs="Arial"/>
          <w:bCs/>
          <w:szCs w:val="22"/>
        </w:rPr>
        <w:t xml:space="preserve"> Taylor has standing as an objector in respect of the </w:t>
      </w:r>
      <w:r w:rsidR="00ED4E2C" w:rsidRPr="00637234">
        <w:rPr>
          <w:rFonts w:cs="Arial"/>
          <w:bCs/>
          <w:szCs w:val="22"/>
        </w:rPr>
        <w:t>application for a liquor licence for the proposed Flynn Tavern</w:t>
      </w:r>
      <w:proofErr w:type="gramStart"/>
      <w:r w:rsidR="00ED4E2C" w:rsidRPr="00637234">
        <w:rPr>
          <w:rFonts w:cs="Arial"/>
          <w:bCs/>
          <w:szCs w:val="22"/>
        </w:rPr>
        <w:t xml:space="preserve">.  </w:t>
      </w:r>
      <w:proofErr w:type="gramEnd"/>
      <w:r w:rsidR="00B40F76">
        <w:rPr>
          <w:rFonts w:cs="Arial"/>
          <w:bCs/>
          <w:szCs w:val="22"/>
        </w:rPr>
        <w:t>Mrs</w:t>
      </w:r>
      <w:r w:rsidR="00ED4E2C" w:rsidRPr="00637234">
        <w:rPr>
          <w:rFonts w:cs="Arial"/>
          <w:bCs/>
          <w:szCs w:val="22"/>
        </w:rPr>
        <w:t xml:space="preserve"> Taylor’s objection is assessed as a valid objection lodged by her in her individual capacity</w:t>
      </w:r>
      <w:r>
        <w:rPr>
          <w:rFonts w:cs="Arial"/>
          <w:bCs/>
          <w:szCs w:val="22"/>
        </w:rPr>
        <w:t xml:space="preserve"> and as such, that </w:t>
      </w:r>
      <w:r w:rsidR="00ED4E2C" w:rsidRPr="00637234">
        <w:rPr>
          <w:rFonts w:cs="Arial"/>
          <w:bCs/>
          <w:szCs w:val="22"/>
        </w:rPr>
        <w:t xml:space="preserve">objection is </w:t>
      </w:r>
      <w:r>
        <w:rPr>
          <w:rFonts w:cs="Arial"/>
          <w:bCs/>
          <w:szCs w:val="22"/>
        </w:rPr>
        <w:t>now to be taken into account in the consideration of the application for the grant of a liquor licen</w:t>
      </w:r>
      <w:r w:rsidR="00B40F76">
        <w:rPr>
          <w:rFonts w:cs="Arial"/>
          <w:bCs/>
          <w:szCs w:val="22"/>
        </w:rPr>
        <w:t>c</w:t>
      </w:r>
      <w:r>
        <w:rPr>
          <w:rFonts w:cs="Arial"/>
          <w:bCs/>
          <w:szCs w:val="22"/>
        </w:rPr>
        <w:t>e to the proposed Flynn Tavern.</w:t>
      </w:r>
    </w:p>
    <w:p w14:paraId="22F4CC1E" w14:textId="4826BCB0" w:rsidR="00CF3B79" w:rsidRPr="00D21472" w:rsidRDefault="00CF3B79" w:rsidP="00CF3B79">
      <w:pPr>
        <w:pStyle w:val="ListParagraph"/>
        <w:numPr>
          <w:ilvl w:val="0"/>
          <w:numId w:val="10"/>
        </w:numPr>
        <w:ind w:left="567" w:hanging="425"/>
        <w:jc w:val="both"/>
        <w:rPr>
          <w:szCs w:val="22"/>
        </w:rPr>
      </w:pPr>
      <w:r w:rsidRPr="00D21472">
        <w:rPr>
          <w:rFonts w:cs="Arial"/>
          <w:bCs/>
          <w:szCs w:val="22"/>
        </w:rPr>
        <w:t>Section 47G of the Act requires that where objections are lodged with the Director-General the applicant must be informed of the substance of the objection and provided with an opportunity to provide a written reply</w:t>
      </w:r>
      <w:proofErr w:type="gramStart"/>
      <w:r w:rsidRPr="00D21472">
        <w:rPr>
          <w:rFonts w:cs="Arial"/>
          <w:bCs/>
          <w:szCs w:val="22"/>
        </w:rPr>
        <w:t xml:space="preserve">.  </w:t>
      </w:r>
      <w:proofErr w:type="gramEnd"/>
      <w:r w:rsidRPr="00D21472">
        <w:rPr>
          <w:rFonts w:cs="Arial"/>
          <w:bCs/>
          <w:szCs w:val="22"/>
        </w:rPr>
        <w:t>In this case that requirement has been met as M</w:t>
      </w:r>
      <w:r>
        <w:rPr>
          <w:rFonts w:cs="Arial"/>
          <w:bCs/>
          <w:szCs w:val="22"/>
        </w:rPr>
        <w:t>r</w:t>
      </w:r>
      <w:r w:rsidRPr="00D21472">
        <w:rPr>
          <w:rFonts w:cs="Arial"/>
          <w:bCs/>
          <w:szCs w:val="22"/>
        </w:rPr>
        <w:t>s</w:t>
      </w:r>
      <w:r>
        <w:rPr>
          <w:rFonts w:cs="Arial"/>
          <w:bCs/>
          <w:szCs w:val="22"/>
        </w:rPr>
        <w:t> </w:t>
      </w:r>
      <w:r w:rsidRPr="00D21472">
        <w:rPr>
          <w:rFonts w:cs="Arial"/>
          <w:bCs/>
          <w:szCs w:val="22"/>
        </w:rPr>
        <w:t>Taylor's objection was in fact provided to the Applicant prior to the Delegate determining it to be invalid</w:t>
      </w:r>
      <w:proofErr w:type="gramStart"/>
      <w:r w:rsidRPr="00D21472">
        <w:rPr>
          <w:rFonts w:cs="Arial"/>
          <w:bCs/>
          <w:szCs w:val="22"/>
        </w:rPr>
        <w:t>.</w:t>
      </w:r>
      <w:r>
        <w:rPr>
          <w:rFonts w:cs="Arial"/>
          <w:bCs/>
          <w:szCs w:val="22"/>
        </w:rPr>
        <w:t xml:space="preserve"> </w:t>
      </w:r>
      <w:r w:rsidRPr="00D21472">
        <w:rPr>
          <w:rFonts w:cs="Arial"/>
          <w:bCs/>
          <w:szCs w:val="22"/>
        </w:rPr>
        <w:t xml:space="preserve"> </w:t>
      </w:r>
      <w:proofErr w:type="gramEnd"/>
      <w:r w:rsidRPr="00D21472">
        <w:rPr>
          <w:rFonts w:cs="Arial"/>
          <w:bCs/>
          <w:szCs w:val="22"/>
        </w:rPr>
        <w:t>The Applicant, through its legal representative has provided a response to the substance of the objection</w:t>
      </w:r>
      <w:proofErr w:type="gramStart"/>
      <w:r w:rsidRPr="00D21472">
        <w:rPr>
          <w:rFonts w:cs="Arial"/>
          <w:bCs/>
          <w:szCs w:val="22"/>
        </w:rPr>
        <w:t xml:space="preserve">.  </w:t>
      </w:r>
      <w:proofErr w:type="gramEnd"/>
      <w:r w:rsidRPr="00D21472">
        <w:rPr>
          <w:rFonts w:cs="Arial"/>
          <w:bCs/>
          <w:szCs w:val="22"/>
        </w:rPr>
        <w:t>The response fr</w:t>
      </w:r>
      <w:r w:rsidR="00DE3C0E">
        <w:rPr>
          <w:rFonts w:cs="Arial"/>
          <w:bCs/>
          <w:szCs w:val="22"/>
        </w:rPr>
        <w:t>o</w:t>
      </w:r>
      <w:r w:rsidRPr="00D21472">
        <w:rPr>
          <w:rFonts w:cs="Arial"/>
          <w:bCs/>
          <w:szCs w:val="22"/>
        </w:rPr>
        <w:t>m the Applicant will be taken into account in the substantive decision as to whether or not a liquor licence should be granted for the Flynn Tavern.</w:t>
      </w:r>
    </w:p>
    <w:p w14:paraId="38545338" w14:textId="43F2357E" w:rsidR="000E302B" w:rsidRPr="00A144E7" w:rsidRDefault="000E302B" w:rsidP="00A144E7">
      <w:pPr>
        <w:pStyle w:val="Heading2"/>
        <w:spacing w:before="0"/>
        <w:rPr>
          <w:rFonts w:cs="Arial"/>
        </w:rPr>
      </w:pPr>
      <w:r w:rsidRPr="00A144E7">
        <w:rPr>
          <w:rFonts w:cs="Arial"/>
        </w:rPr>
        <w:t>Review of Decision</w:t>
      </w:r>
    </w:p>
    <w:p w14:paraId="16096B68" w14:textId="2DB651C3" w:rsidR="000E302B" w:rsidRPr="001A7244" w:rsidRDefault="000E302B" w:rsidP="001A7244">
      <w:pPr>
        <w:pStyle w:val="ListParagraph"/>
        <w:numPr>
          <w:ilvl w:val="0"/>
          <w:numId w:val="10"/>
        </w:numPr>
        <w:ind w:left="567" w:hanging="425"/>
        <w:jc w:val="both"/>
      </w:pPr>
      <w:r w:rsidRPr="00DA0E6B">
        <w:rPr>
          <w:rFonts w:cs="Arial"/>
        </w:rPr>
        <w:t xml:space="preserve">Section 120ZA of the Act provides that a decision of the Director-General, as specified in the </w:t>
      </w:r>
      <w:r w:rsidRPr="001A7244">
        <w:t>Schedule</w:t>
      </w:r>
      <w:r w:rsidRPr="001A7244">
        <w:rPr>
          <w:rFonts w:cs="Arial"/>
        </w:rPr>
        <w:t xml:space="preserve"> to the Act, is a reviewable decision</w:t>
      </w:r>
      <w:proofErr w:type="gramStart"/>
      <w:r w:rsidRPr="001A7244">
        <w:rPr>
          <w:rFonts w:cs="Arial"/>
        </w:rPr>
        <w:t xml:space="preserve">.  </w:t>
      </w:r>
      <w:proofErr w:type="gramEnd"/>
      <w:r w:rsidRPr="001A7244">
        <w:rPr>
          <w:rFonts w:cs="Arial"/>
        </w:rPr>
        <w:t xml:space="preserve">A decision </w:t>
      </w:r>
      <w:r w:rsidR="00B245A7">
        <w:rPr>
          <w:rFonts w:cs="Arial"/>
        </w:rPr>
        <w:t xml:space="preserve">by the Director-General </w:t>
      </w:r>
      <w:r w:rsidRPr="001A7244">
        <w:rPr>
          <w:rFonts w:cs="Arial"/>
        </w:rPr>
        <w:t xml:space="preserve">to </w:t>
      </w:r>
      <w:r w:rsidR="00B245A7">
        <w:rPr>
          <w:rFonts w:cs="Arial"/>
        </w:rPr>
        <w:t xml:space="preserve">declare an objection to the grant of a liquor licence as being valid or invalid in accordance with the requirements of section 47F of the Act </w:t>
      </w:r>
      <w:r w:rsidRPr="001A7244">
        <w:rPr>
          <w:rFonts w:cs="Arial"/>
        </w:rPr>
        <w:t xml:space="preserve">is </w:t>
      </w:r>
      <w:r w:rsidR="00B245A7">
        <w:rPr>
          <w:rFonts w:cs="Arial"/>
        </w:rPr>
        <w:t xml:space="preserve">not </w:t>
      </w:r>
      <w:r w:rsidRPr="001A7244">
        <w:rPr>
          <w:rFonts w:cs="Arial"/>
        </w:rPr>
        <w:t xml:space="preserve">specified in the Schedule and is </w:t>
      </w:r>
      <w:r w:rsidR="00B245A7">
        <w:rPr>
          <w:rFonts w:cs="Arial"/>
        </w:rPr>
        <w:t xml:space="preserve">therefore not </w:t>
      </w:r>
      <w:r w:rsidRPr="001A7244">
        <w:rPr>
          <w:rFonts w:cs="Arial"/>
        </w:rPr>
        <w:t>a reviewable decision</w:t>
      </w:r>
      <w:proofErr w:type="gramStart"/>
      <w:r w:rsidRPr="001A7244">
        <w:rPr>
          <w:rFonts w:cs="Arial"/>
        </w:rPr>
        <w:t xml:space="preserve">.  </w:t>
      </w:r>
      <w:proofErr w:type="gramEnd"/>
      <w:r w:rsidR="00B245A7">
        <w:rPr>
          <w:rFonts w:cs="Arial"/>
        </w:rPr>
        <w:t>As a consequence there can be no</w:t>
      </w:r>
      <w:r w:rsidRPr="001A7244">
        <w:rPr>
          <w:rFonts w:cs="Arial"/>
        </w:rPr>
        <w:t xml:space="preserve"> person</w:t>
      </w:r>
      <w:r w:rsidR="00B245A7">
        <w:rPr>
          <w:rFonts w:cs="Arial"/>
        </w:rPr>
        <w:t>s</w:t>
      </w:r>
      <w:r w:rsidRPr="001A7244">
        <w:rPr>
          <w:rFonts w:cs="Arial"/>
        </w:rPr>
        <w:t xml:space="preserve"> affected by this decision </w:t>
      </w:r>
      <w:r w:rsidR="00B245A7">
        <w:rPr>
          <w:rFonts w:cs="Arial"/>
        </w:rPr>
        <w:t>who may</w:t>
      </w:r>
      <w:r w:rsidRPr="001A7244">
        <w:rPr>
          <w:rFonts w:cs="Arial"/>
        </w:rPr>
        <w:t xml:space="preserve"> seek a review before the </w:t>
      </w:r>
      <w:proofErr w:type="spellStart"/>
      <w:r w:rsidRPr="001A7244">
        <w:t>N</w:t>
      </w:r>
      <w:r w:rsidR="005E45F2">
        <w:t>T</w:t>
      </w:r>
      <w:r w:rsidRPr="001A7244">
        <w:t>C</w:t>
      </w:r>
      <w:r w:rsidR="00B245A7">
        <w:t>AT</w:t>
      </w:r>
      <w:proofErr w:type="spellEnd"/>
      <w:proofErr w:type="gramStart"/>
      <w:r w:rsidR="00B245A7">
        <w:t xml:space="preserve">.  </w:t>
      </w:r>
      <w:proofErr w:type="gramEnd"/>
      <w:r w:rsidR="00B245A7">
        <w:t xml:space="preserve">The opportunity for an affected person to seek a review before </w:t>
      </w:r>
      <w:proofErr w:type="spellStart"/>
      <w:r w:rsidR="00B245A7">
        <w:t>NTCAT</w:t>
      </w:r>
      <w:proofErr w:type="spellEnd"/>
      <w:r w:rsidR="00B245A7">
        <w:t xml:space="preserve"> will not arise until such time as the substantive decision relating to the grant or refusal of the liquor licence </w:t>
      </w:r>
      <w:r w:rsidR="005E45F2">
        <w:t xml:space="preserve">pursuant to section 29 of the Act </w:t>
      </w:r>
      <w:r w:rsidR="00B245A7">
        <w:t>is published.</w:t>
      </w:r>
    </w:p>
    <w:p w14:paraId="497F2398" w14:textId="77777777" w:rsidR="00107C87" w:rsidRDefault="00D42C89" w:rsidP="001A7244">
      <w:pPr>
        <w:pStyle w:val="Signature"/>
        <w:spacing w:before="1320" w:after="0"/>
      </w:pPr>
      <w:r>
        <w:t>Cindy Bravos</w:t>
      </w:r>
    </w:p>
    <w:p w14:paraId="497F2399" w14:textId="77777777" w:rsidR="00D42C89" w:rsidRDefault="00D42C89" w:rsidP="00107C87">
      <w:pPr>
        <w:pStyle w:val="Signature"/>
        <w:spacing w:before="0"/>
      </w:pPr>
      <w:r>
        <w:t>Director-General of Licensing</w:t>
      </w:r>
    </w:p>
    <w:p w14:paraId="42FE863B" w14:textId="26ECD323" w:rsidR="00CF3B79" w:rsidRPr="00CF3B79" w:rsidRDefault="00CF3B79" w:rsidP="00107C87">
      <w:pPr>
        <w:pStyle w:val="Signature"/>
        <w:spacing w:before="0"/>
        <w:rPr>
          <w:b w:val="0"/>
        </w:rPr>
      </w:pPr>
      <w:r w:rsidRPr="00CF3B79">
        <w:rPr>
          <w:b w:val="0"/>
        </w:rPr>
        <w:t>14 January 2016</w:t>
      </w:r>
    </w:p>
    <w:sectPr w:rsidR="00CF3B79" w:rsidRPr="00CF3B79" w:rsidSect="002E6443">
      <w:headerReference w:type="default" r:id="rId13"/>
      <w:footerReference w:type="default" r:id="rId14"/>
      <w:headerReference w:type="first" r:id="rId15"/>
      <w:footerReference w:type="first" r:id="rId16"/>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C6D8C" w14:textId="77777777" w:rsidR="003E0354" w:rsidRDefault="003E0354" w:rsidP="00293A72">
      <w:r>
        <w:separator/>
      </w:r>
    </w:p>
  </w:endnote>
  <w:endnote w:type="continuationSeparator" w:id="0">
    <w:p w14:paraId="77805AAA" w14:textId="77777777" w:rsidR="003E0354" w:rsidRDefault="003E0354"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23A1" w14:textId="77777777" w:rsidR="006770F2" w:rsidRDefault="006770F2" w:rsidP="006770F2">
    <w:pPr>
      <w:pStyle w:val="Footer"/>
      <w:pBdr>
        <w:top w:val="single" w:sz="4" w:space="1" w:color="auto"/>
      </w:pBdr>
      <w:tabs>
        <w:tab w:val="clear" w:pos="9639"/>
        <w:tab w:val="right" w:pos="9923"/>
      </w:tabs>
      <w:ind w:right="-285"/>
    </w:pPr>
  </w:p>
  <w:p w14:paraId="34781337" w14:textId="1EF00161" w:rsidR="00341C26" w:rsidRDefault="00341C26" w:rsidP="00341C26">
    <w:pPr>
      <w:pStyle w:val="Footer"/>
      <w:tabs>
        <w:tab w:val="clear" w:pos="9639"/>
        <w:tab w:val="right" w:pos="9923"/>
      </w:tabs>
      <w:ind w:right="-285"/>
      <w:rPr>
        <w:color w:val="A6A6A6" w:themeColor="background1" w:themeShade="A6"/>
        <w:sz w:val="16"/>
        <w:szCs w:val="20"/>
      </w:rPr>
    </w:pPr>
    <w:r w:rsidRPr="00B40F76">
      <w:rPr>
        <w:color w:val="A6A6A6" w:themeColor="background1" w:themeShade="A6"/>
        <w:sz w:val="16"/>
        <w:szCs w:val="20"/>
      </w:rPr>
      <w:t>Review of Delegate Decision – Flynn Tavern</w:t>
    </w:r>
    <w:r w:rsidR="00B40F76" w:rsidRPr="00B40F76">
      <w:rPr>
        <w:color w:val="A6A6A6" w:themeColor="background1" w:themeShade="A6"/>
        <w:sz w:val="16"/>
        <w:szCs w:val="20"/>
      </w:rPr>
      <w:t xml:space="preserve"> – </w:t>
    </w:r>
    <w:r w:rsidR="00B40F76">
      <w:rPr>
        <w:color w:val="A6A6A6" w:themeColor="background1" w:themeShade="A6"/>
        <w:sz w:val="16"/>
        <w:szCs w:val="20"/>
      </w:rPr>
      <w:t>Mrs</w:t>
    </w:r>
    <w:r w:rsidR="00B40F76" w:rsidRPr="00B40F76">
      <w:rPr>
        <w:color w:val="A6A6A6" w:themeColor="background1" w:themeShade="A6"/>
        <w:sz w:val="16"/>
        <w:szCs w:val="20"/>
      </w:rPr>
      <w:t xml:space="preserve"> Joann</w:t>
    </w:r>
    <w:r w:rsidR="00B40F76">
      <w:rPr>
        <w:color w:val="A6A6A6" w:themeColor="background1" w:themeShade="A6"/>
        <w:sz w:val="16"/>
        <w:szCs w:val="20"/>
      </w:rPr>
      <w:t>a</w:t>
    </w:r>
    <w:r w:rsidR="00B40F76" w:rsidRPr="00B40F76">
      <w:rPr>
        <w:color w:val="A6A6A6" w:themeColor="background1" w:themeShade="A6"/>
        <w:sz w:val="16"/>
        <w:szCs w:val="20"/>
      </w:rPr>
      <w:t xml:space="preserve"> Taylor</w:t>
    </w:r>
    <w:r w:rsidRPr="00B40F76">
      <w:rPr>
        <w:color w:val="A6A6A6" w:themeColor="background1" w:themeShade="A6"/>
        <w:sz w:val="16"/>
        <w:szCs w:val="20"/>
      </w:rPr>
      <w:tab/>
      <w:t xml:space="preserve">Date of Decision </w:t>
    </w:r>
    <w:sdt>
      <w:sdtPr>
        <w:rPr>
          <w:color w:val="A6A6A6" w:themeColor="background1" w:themeShade="A6"/>
          <w:sz w:val="16"/>
          <w:szCs w:val="20"/>
        </w:rPr>
        <w:id w:val="-376858064"/>
      </w:sdtPr>
      <w:sdtEndPr/>
      <w:sdtContent>
        <w:r w:rsidRPr="00B40F76">
          <w:rPr>
            <w:color w:val="A6A6A6" w:themeColor="background1" w:themeShade="A6"/>
            <w:sz w:val="16"/>
            <w:szCs w:val="20"/>
          </w:rPr>
          <w:t xml:space="preserve"> </w:t>
        </w:r>
        <w:r w:rsidR="00B40F76" w:rsidRPr="00B40F76">
          <w:rPr>
            <w:color w:val="A6A6A6" w:themeColor="background1" w:themeShade="A6"/>
            <w:sz w:val="16"/>
            <w:szCs w:val="20"/>
          </w:rPr>
          <w:t>14</w:t>
        </w:r>
        <w:r w:rsidRPr="00B40F76">
          <w:rPr>
            <w:color w:val="A6A6A6" w:themeColor="background1" w:themeShade="A6"/>
            <w:sz w:val="16"/>
            <w:szCs w:val="20"/>
          </w:rPr>
          <w:t xml:space="preserve"> January 2016</w:t>
        </w:r>
      </w:sdtContent>
    </w:sdt>
    <w:r>
      <w:rPr>
        <w:color w:val="A6A6A6" w:themeColor="background1" w:themeShade="A6"/>
        <w:sz w:val="16"/>
        <w:szCs w:val="20"/>
      </w:rPr>
      <w:t xml:space="preserve"> </w:t>
    </w:r>
  </w:p>
  <w:p w14:paraId="497F23A3" w14:textId="45E8BFDB" w:rsidR="006770F2" w:rsidRDefault="00341C26" w:rsidP="00341C26">
    <w:pPr>
      <w:pStyle w:val="Footer"/>
      <w:tabs>
        <w:tab w:val="clear" w:pos="9639"/>
        <w:tab w:val="right" w:pos="9923"/>
      </w:tabs>
      <w:ind w:right="-285"/>
      <w:jc w:val="right"/>
      <w:rPr>
        <w:rFonts w:cs="Times New Roman"/>
        <w:noProof/>
        <w:szCs w:val="20"/>
      </w:rPr>
    </w:pPr>
    <w:r w:rsidRPr="00B40F76">
      <w:rPr>
        <w:color w:val="A6A6A6" w:themeColor="background1" w:themeShade="A6"/>
        <w:sz w:val="16"/>
        <w:szCs w:val="20"/>
      </w:rPr>
      <w:t xml:space="preserve">Ref # </w:t>
    </w:r>
    <w:sdt>
      <w:sdtPr>
        <w:rPr>
          <w:color w:val="A6A6A6" w:themeColor="background1" w:themeShade="A6"/>
          <w:sz w:val="16"/>
          <w:szCs w:val="20"/>
        </w:rPr>
        <w:id w:val="2038240589"/>
      </w:sdtPr>
      <w:sdtEndPr/>
      <w:sdtContent>
        <w:r w:rsidRPr="00B40F76">
          <w:rPr>
            <w:color w:val="A6A6A6" w:themeColor="background1" w:themeShade="A6"/>
            <w:sz w:val="16"/>
            <w:szCs w:val="20"/>
          </w:rPr>
          <w:t>DOB2015/0</w:t>
        </w:r>
        <w:r w:rsidR="00B40F76">
          <w:rPr>
            <w:color w:val="A6A6A6" w:themeColor="background1" w:themeShade="A6"/>
            <w:sz w:val="16"/>
            <w:szCs w:val="20"/>
          </w:rPr>
          <w:t>1697-0005</w:t>
        </w:r>
      </w:sdtContent>
    </w:sdt>
    <w:r w:rsidRPr="00B40F76">
      <w:rPr>
        <w:color w:val="A6A6A6" w:themeColor="background1" w:themeShade="A6"/>
        <w:sz w:val="16"/>
        <w:szCs w:val="20"/>
      </w:rPr>
      <w:tab/>
    </w:r>
    <w:r w:rsidR="006770F2" w:rsidRPr="00B40F76">
      <w:tab/>
    </w:r>
    <w:sdt>
      <w:sdtPr>
        <w:id w:val="766272315"/>
        <w:docPartObj>
          <w:docPartGallery w:val="Page Numbers (Bottom of Page)"/>
          <w:docPartUnique/>
        </w:docPartObj>
      </w:sdtPr>
      <w:sdtEndPr>
        <w:rPr>
          <w:noProof/>
        </w:rPr>
      </w:sdtEndPr>
      <w:sdtContent>
        <w:r w:rsidR="006770F2" w:rsidRPr="00B40F76">
          <w:fldChar w:fldCharType="begin"/>
        </w:r>
        <w:r w:rsidR="006770F2" w:rsidRPr="00B40F76">
          <w:instrText xml:space="preserve"> PAGE   \* MERGEFORMAT </w:instrText>
        </w:r>
        <w:r w:rsidR="006770F2" w:rsidRPr="00B40F76">
          <w:fldChar w:fldCharType="separate"/>
        </w:r>
        <w:r w:rsidR="006B3DA1">
          <w:rPr>
            <w:noProof/>
          </w:rPr>
          <w:t>4</w:t>
        </w:r>
        <w:r w:rsidR="006770F2" w:rsidRPr="00B40F76">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23A8" w14:textId="77777777" w:rsidR="006770F2" w:rsidRDefault="006770F2" w:rsidP="006770F2">
    <w:pPr>
      <w:pStyle w:val="Footer"/>
      <w:pBdr>
        <w:top w:val="single" w:sz="4" w:space="1" w:color="auto"/>
      </w:pBdr>
      <w:tabs>
        <w:tab w:val="clear" w:pos="9639"/>
        <w:tab w:val="right" w:pos="9923"/>
      </w:tabs>
      <w:ind w:right="-285"/>
    </w:pPr>
  </w:p>
  <w:p w14:paraId="48DF5C22" w14:textId="186572DA" w:rsidR="001463EE" w:rsidRPr="005A3702" w:rsidRDefault="00341C26" w:rsidP="001463EE">
    <w:pPr>
      <w:pStyle w:val="Footer"/>
      <w:tabs>
        <w:tab w:val="clear" w:pos="9639"/>
        <w:tab w:val="right" w:pos="9923"/>
      </w:tabs>
      <w:ind w:right="-285"/>
      <w:rPr>
        <w:color w:val="A6A6A6" w:themeColor="background1" w:themeShade="A6"/>
        <w:sz w:val="16"/>
        <w:szCs w:val="20"/>
      </w:rPr>
    </w:pPr>
    <w:r w:rsidRPr="005A3702">
      <w:rPr>
        <w:color w:val="A6A6A6" w:themeColor="background1" w:themeShade="A6"/>
        <w:sz w:val="16"/>
        <w:szCs w:val="20"/>
      </w:rPr>
      <w:t>Review of Delegate Decision – Flynn Tavern</w:t>
    </w:r>
    <w:r w:rsidR="005A3702" w:rsidRPr="005A3702">
      <w:rPr>
        <w:color w:val="A6A6A6" w:themeColor="background1" w:themeShade="A6"/>
        <w:sz w:val="16"/>
        <w:szCs w:val="20"/>
      </w:rPr>
      <w:t xml:space="preserve"> – Mrs Joanna Taylor</w:t>
    </w:r>
    <w:r w:rsidR="001463EE" w:rsidRPr="005A3702">
      <w:rPr>
        <w:color w:val="A6A6A6" w:themeColor="background1" w:themeShade="A6"/>
        <w:sz w:val="16"/>
        <w:szCs w:val="20"/>
      </w:rPr>
      <w:tab/>
      <w:t xml:space="preserve">Date of Decision </w:t>
    </w:r>
    <w:sdt>
      <w:sdtPr>
        <w:rPr>
          <w:color w:val="A6A6A6" w:themeColor="background1" w:themeShade="A6"/>
          <w:sz w:val="16"/>
          <w:szCs w:val="20"/>
        </w:rPr>
        <w:id w:val="-1842073548"/>
      </w:sdtPr>
      <w:sdtEndPr/>
      <w:sdtContent>
        <w:r w:rsidR="005A3702" w:rsidRPr="005A3702">
          <w:rPr>
            <w:color w:val="A6A6A6" w:themeColor="background1" w:themeShade="A6"/>
            <w:sz w:val="16"/>
            <w:szCs w:val="20"/>
          </w:rPr>
          <w:t>14</w:t>
        </w:r>
        <w:r w:rsidRPr="005A3702">
          <w:rPr>
            <w:color w:val="A6A6A6" w:themeColor="background1" w:themeShade="A6"/>
            <w:sz w:val="16"/>
            <w:szCs w:val="20"/>
          </w:rPr>
          <w:t xml:space="preserve"> January 2016</w:t>
        </w:r>
      </w:sdtContent>
    </w:sdt>
    <w:r w:rsidR="001463EE" w:rsidRPr="005A3702">
      <w:rPr>
        <w:color w:val="A6A6A6" w:themeColor="background1" w:themeShade="A6"/>
        <w:sz w:val="16"/>
        <w:szCs w:val="20"/>
      </w:rPr>
      <w:t xml:space="preserve"> </w:t>
    </w:r>
  </w:p>
  <w:p w14:paraId="497F23A9" w14:textId="4BD0B772" w:rsidR="006770F2" w:rsidRDefault="001463EE" w:rsidP="000E302B">
    <w:pPr>
      <w:pStyle w:val="Footer"/>
      <w:tabs>
        <w:tab w:val="clear" w:pos="9639"/>
        <w:tab w:val="clear" w:pos="14459"/>
        <w:tab w:val="right" w:pos="10065"/>
      </w:tabs>
      <w:ind w:right="-285"/>
      <w:rPr>
        <w:rFonts w:cs="Times New Roman"/>
        <w:noProof/>
        <w:szCs w:val="20"/>
      </w:rPr>
    </w:pPr>
    <w:r w:rsidRPr="005A3702">
      <w:rPr>
        <w:color w:val="A6A6A6" w:themeColor="background1" w:themeShade="A6"/>
        <w:sz w:val="16"/>
        <w:szCs w:val="20"/>
      </w:rPr>
      <w:t xml:space="preserve">Ref # </w:t>
    </w:r>
    <w:sdt>
      <w:sdtPr>
        <w:rPr>
          <w:color w:val="A6A6A6" w:themeColor="background1" w:themeShade="A6"/>
          <w:sz w:val="16"/>
          <w:szCs w:val="20"/>
        </w:rPr>
        <w:id w:val="-1819793323"/>
      </w:sdtPr>
      <w:sdtEndPr/>
      <w:sdtContent>
        <w:r w:rsidR="005A3702">
          <w:rPr>
            <w:color w:val="A6A6A6" w:themeColor="background1" w:themeShade="A6"/>
            <w:sz w:val="16"/>
            <w:szCs w:val="20"/>
          </w:rPr>
          <w:t>DOB2015/01697-0005</w:t>
        </w:r>
      </w:sdtContent>
    </w:sdt>
    <w:r w:rsidR="000E302B" w:rsidRPr="005A3702">
      <w:rPr>
        <w:color w:val="A6A6A6" w:themeColor="background1" w:themeShade="A6"/>
        <w:sz w:val="16"/>
        <w:szCs w:val="20"/>
      </w:rPr>
      <w:tab/>
    </w:r>
    <w:sdt>
      <w:sdtPr>
        <w:id w:val="849913914"/>
        <w:docPartObj>
          <w:docPartGallery w:val="Page Numbers (Bottom of Page)"/>
          <w:docPartUnique/>
        </w:docPartObj>
      </w:sdtPr>
      <w:sdtEndPr>
        <w:rPr>
          <w:noProof/>
        </w:rPr>
      </w:sdtEndPr>
      <w:sdtContent>
        <w:r w:rsidR="006770F2" w:rsidRPr="005A3702">
          <w:fldChar w:fldCharType="begin"/>
        </w:r>
        <w:r w:rsidR="006770F2" w:rsidRPr="005A3702">
          <w:instrText xml:space="preserve"> PAGE   \* MERGEFORMAT </w:instrText>
        </w:r>
        <w:r w:rsidR="006770F2" w:rsidRPr="005A3702">
          <w:fldChar w:fldCharType="separate"/>
        </w:r>
        <w:r w:rsidR="006B3DA1">
          <w:rPr>
            <w:noProof/>
          </w:rPr>
          <w:t>1</w:t>
        </w:r>
        <w:r w:rsidR="006770F2" w:rsidRPr="005A370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D3EB8" w14:textId="77777777" w:rsidR="003E0354" w:rsidRDefault="003E0354" w:rsidP="00293A72">
      <w:r>
        <w:separator/>
      </w:r>
    </w:p>
  </w:footnote>
  <w:footnote w:type="continuationSeparator" w:id="0">
    <w:p w14:paraId="6D7D2208" w14:textId="77777777" w:rsidR="003E0354" w:rsidRDefault="003E0354"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23A0" w14:textId="77777777"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14:paraId="497F23A6" w14:textId="77777777" w:rsidTr="006770F2">
      <w:trPr>
        <w:trHeight w:val="1531"/>
      </w:trPr>
      <w:tc>
        <w:tcPr>
          <w:tcW w:w="1560" w:type="dxa"/>
        </w:tcPr>
        <w:p w14:paraId="497F23A4" w14:textId="77777777" w:rsidR="00127D50" w:rsidRPr="006548E8" w:rsidRDefault="00127D50" w:rsidP="006770F2">
          <w:pPr>
            <w:pStyle w:val="NoSpacing"/>
            <w:ind w:left="-108"/>
          </w:pPr>
          <w:r>
            <w:rPr>
              <w:noProof/>
              <w:lang w:eastAsia="en-AU"/>
            </w:rPr>
            <w:drawing>
              <wp:inline distT="0" distB="0" distL="0" distR="0" wp14:anchorId="497F23AA" wp14:editId="497F23AB">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14:paraId="497F23A5" w14:textId="77777777" w:rsidR="00127D50" w:rsidRPr="004D075F" w:rsidRDefault="006770F2" w:rsidP="003630C7">
          <w:pPr>
            <w:pStyle w:val="DecisionName"/>
          </w:pPr>
          <w:r>
            <w:t>Direct</w:t>
          </w:r>
          <w:r w:rsidR="002E6443">
            <w:t>or</w:t>
          </w:r>
          <w:r>
            <w:t>-General of Licensing</w:t>
          </w:r>
        </w:p>
      </w:tc>
    </w:tr>
  </w:tbl>
  <w:p w14:paraId="497F23A7" w14:textId="77777777"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DD827DE"/>
    <w:multiLevelType w:val="hybridMultilevel"/>
    <w:tmpl w:val="4E7C3FF0"/>
    <w:lvl w:ilvl="0" w:tplc="45FE9B0C">
      <w:start w:val="1"/>
      <w:numFmt w:val="decimal"/>
      <w:lvlText w:val="%1."/>
      <w:lvlJc w:val="left"/>
      <w:pPr>
        <w:ind w:left="152" w:hanging="360"/>
      </w:pPr>
      <w:rPr>
        <w:b w:val="0"/>
      </w:r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6">
    <w:nsid w:val="4D562EF7"/>
    <w:multiLevelType w:val="hybridMultilevel"/>
    <w:tmpl w:val="4E7C3FF0"/>
    <w:lvl w:ilvl="0" w:tplc="45FE9B0C">
      <w:start w:val="1"/>
      <w:numFmt w:val="decimal"/>
      <w:lvlText w:val="%1."/>
      <w:lvlJc w:val="left"/>
      <w:pPr>
        <w:ind w:left="152" w:hanging="360"/>
      </w:pPr>
      <w:rPr>
        <w:b w:val="0"/>
      </w:rPr>
    </w:lvl>
    <w:lvl w:ilvl="1" w:tplc="0C090019" w:tentative="1">
      <w:start w:val="1"/>
      <w:numFmt w:val="lowerLetter"/>
      <w:lvlText w:val="%2."/>
      <w:lvlJc w:val="left"/>
      <w:pPr>
        <w:ind w:left="872" w:hanging="360"/>
      </w:pPr>
    </w:lvl>
    <w:lvl w:ilvl="2" w:tplc="0C09001B" w:tentative="1">
      <w:start w:val="1"/>
      <w:numFmt w:val="lowerRoman"/>
      <w:lvlText w:val="%3."/>
      <w:lvlJc w:val="right"/>
      <w:pPr>
        <w:ind w:left="1592" w:hanging="180"/>
      </w:pPr>
    </w:lvl>
    <w:lvl w:ilvl="3" w:tplc="0C09000F" w:tentative="1">
      <w:start w:val="1"/>
      <w:numFmt w:val="decimal"/>
      <w:lvlText w:val="%4."/>
      <w:lvlJc w:val="left"/>
      <w:pPr>
        <w:ind w:left="2312" w:hanging="360"/>
      </w:pPr>
    </w:lvl>
    <w:lvl w:ilvl="4" w:tplc="0C090019" w:tentative="1">
      <w:start w:val="1"/>
      <w:numFmt w:val="lowerLetter"/>
      <w:lvlText w:val="%5."/>
      <w:lvlJc w:val="left"/>
      <w:pPr>
        <w:ind w:left="3032" w:hanging="360"/>
      </w:pPr>
    </w:lvl>
    <w:lvl w:ilvl="5" w:tplc="0C09001B" w:tentative="1">
      <w:start w:val="1"/>
      <w:numFmt w:val="lowerRoman"/>
      <w:lvlText w:val="%6."/>
      <w:lvlJc w:val="right"/>
      <w:pPr>
        <w:ind w:left="3752" w:hanging="180"/>
      </w:pPr>
    </w:lvl>
    <w:lvl w:ilvl="6" w:tplc="0C09000F" w:tentative="1">
      <w:start w:val="1"/>
      <w:numFmt w:val="decimal"/>
      <w:lvlText w:val="%7."/>
      <w:lvlJc w:val="left"/>
      <w:pPr>
        <w:ind w:left="4472" w:hanging="360"/>
      </w:pPr>
    </w:lvl>
    <w:lvl w:ilvl="7" w:tplc="0C090019" w:tentative="1">
      <w:start w:val="1"/>
      <w:numFmt w:val="lowerLetter"/>
      <w:lvlText w:val="%8."/>
      <w:lvlJc w:val="left"/>
      <w:pPr>
        <w:ind w:left="5192" w:hanging="360"/>
      </w:pPr>
    </w:lvl>
    <w:lvl w:ilvl="8" w:tplc="0C09001B" w:tentative="1">
      <w:start w:val="1"/>
      <w:numFmt w:val="lowerRoman"/>
      <w:lvlText w:val="%9."/>
      <w:lvlJc w:val="right"/>
      <w:pPr>
        <w:ind w:left="5912" w:hanging="180"/>
      </w:pPr>
    </w:lvl>
  </w:abstractNum>
  <w:abstractNum w:abstractNumId="7">
    <w:nsid w:val="53CF0135"/>
    <w:multiLevelType w:val="hybridMultilevel"/>
    <w:tmpl w:val="FA88EF8A"/>
    <w:lvl w:ilvl="0" w:tplc="0C09000F">
      <w:start w:val="1"/>
      <w:numFmt w:val="decimal"/>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0"/>
  </w:num>
  <w:num w:numId="6">
    <w:abstractNumId w:val="1"/>
  </w:num>
  <w:num w:numId="7">
    <w:abstractNumId w:val="2"/>
  </w:num>
  <w:num w:numId="8">
    <w:abstractNumId w:val="3"/>
  </w:num>
  <w:num w:numId="9">
    <w:abstractNumId w:val="9"/>
  </w:num>
  <w:num w:numId="10">
    <w:abstractNumId w:val="4"/>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2184"/>
    <w:rsid w:val="0001035F"/>
    <w:rsid w:val="00037217"/>
    <w:rsid w:val="00053BE2"/>
    <w:rsid w:val="0007259C"/>
    <w:rsid w:val="000A5093"/>
    <w:rsid w:val="000E302B"/>
    <w:rsid w:val="00107C87"/>
    <w:rsid w:val="00117743"/>
    <w:rsid w:val="00117F5B"/>
    <w:rsid w:val="00127D50"/>
    <w:rsid w:val="00133B2D"/>
    <w:rsid w:val="0014385B"/>
    <w:rsid w:val="001463EE"/>
    <w:rsid w:val="001552A6"/>
    <w:rsid w:val="001620E9"/>
    <w:rsid w:val="00191372"/>
    <w:rsid w:val="00194D7F"/>
    <w:rsid w:val="001A2B7F"/>
    <w:rsid w:val="001A7244"/>
    <w:rsid w:val="00200F8E"/>
    <w:rsid w:val="002072F6"/>
    <w:rsid w:val="002073A4"/>
    <w:rsid w:val="00226742"/>
    <w:rsid w:val="00274B00"/>
    <w:rsid w:val="00293A72"/>
    <w:rsid w:val="002A548A"/>
    <w:rsid w:val="002B0DEC"/>
    <w:rsid w:val="002B2C78"/>
    <w:rsid w:val="002E6443"/>
    <w:rsid w:val="002F2885"/>
    <w:rsid w:val="00315827"/>
    <w:rsid w:val="00341C26"/>
    <w:rsid w:val="00342283"/>
    <w:rsid w:val="00347B47"/>
    <w:rsid w:val="003630C7"/>
    <w:rsid w:val="00394AAF"/>
    <w:rsid w:val="003A21D9"/>
    <w:rsid w:val="003E0354"/>
    <w:rsid w:val="0040222A"/>
    <w:rsid w:val="004047BC"/>
    <w:rsid w:val="00426E25"/>
    <w:rsid w:val="004423E6"/>
    <w:rsid w:val="004D6465"/>
    <w:rsid w:val="004E2627"/>
    <w:rsid w:val="004F0CB9"/>
    <w:rsid w:val="005444B7"/>
    <w:rsid w:val="005647E3"/>
    <w:rsid w:val="005654B8"/>
    <w:rsid w:val="00591B49"/>
    <w:rsid w:val="005A3702"/>
    <w:rsid w:val="005A6D6D"/>
    <w:rsid w:val="005B5AC2"/>
    <w:rsid w:val="005E3BEE"/>
    <w:rsid w:val="005E45F2"/>
    <w:rsid w:val="005E6E6D"/>
    <w:rsid w:val="00637234"/>
    <w:rsid w:val="00650F5B"/>
    <w:rsid w:val="006719EA"/>
    <w:rsid w:val="006770F2"/>
    <w:rsid w:val="006B275C"/>
    <w:rsid w:val="006B3DA1"/>
    <w:rsid w:val="006C668D"/>
    <w:rsid w:val="006E3FF1"/>
    <w:rsid w:val="006E4A2B"/>
    <w:rsid w:val="00710FC7"/>
    <w:rsid w:val="00722DDB"/>
    <w:rsid w:val="00725445"/>
    <w:rsid w:val="007408F5"/>
    <w:rsid w:val="00754E2A"/>
    <w:rsid w:val="00777B84"/>
    <w:rsid w:val="007A74F9"/>
    <w:rsid w:val="007E01C6"/>
    <w:rsid w:val="007F397D"/>
    <w:rsid w:val="00803CBA"/>
    <w:rsid w:val="008313C4"/>
    <w:rsid w:val="00861DC3"/>
    <w:rsid w:val="00930D60"/>
    <w:rsid w:val="00936A77"/>
    <w:rsid w:val="00941CAD"/>
    <w:rsid w:val="009616DF"/>
    <w:rsid w:val="009641E3"/>
    <w:rsid w:val="009D3B42"/>
    <w:rsid w:val="009D65D7"/>
    <w:rsid w:val="009F5691"/>
    <w:rsid w:val="00A04BDC"/>
    <w:rsid w:val="00A144E7"/>
    <w:rsid w:val="00A266A1"/>
    <w:rsid w:val="00A37DDA"/>
    <w:rsid w:val="00AC7BAC"/>
    <w:rsid w:val="00AD06A3"/>
    <w:rsid w:val="00B245A7"/>
    <w:rsid w:val="00B37A67"/>
    <w:rsid w:val="00B40F76"/>
    <w:rsid w:val="00B4607C"/>
    <w:rsid w:val="00B61B26"/>
    <w:rsid w:val="00B77D75"/>
    <w:rsid w:val="00BB0A00"/>
    <w:rsid w:val="00BB4846"/>
    <w:rsid w:val="00BC1846"/>
    <w:rsid w:val="00BC4320"/>
    <w:rsid w:val="00BE0718"/>
    <w:rsid w:val="00BF4697"/>
    <w:rsid w:val="00BF7457"/>
    <w:rsid w:val="00C04D9C"/>
    <w:rsid w:val="00C13EA5"/>
    <w:rsid w:val="00C1505C"/>
    <w:rsid w:val="00C37482"/>
    <w:rsid w:val="00C46975"/>
    <w:rsid w:val="00C62099"/>
    <w:rsid w:val="00C62833"/>
    <w:rsid w:val="00C67951"/>
    <w:rsid w:val="00C75E81"/>
    <w:rsid w:val="00C771FC"/>
    <w:rsid w:val="00C82D5A"/>
    <w:rsid w:val="00C85266"/>
    <w:rsid w:val="00C96C13"/>
    <w:rsid w:val="00CC3330"/>
    <w:rsid w:val="00CD451C"/>
    <w:rsid w:val="00CF1753"/>
    <w:rsid w:val="00CF3B79"/>
    <w:rsid w:val="00D02AA7"/>
    <w:rsid w:val="00D044AA"/>
    <w:rsid w:val="00D42C89"/>
    <w:rsid w:val="00D975C0"/>
    <w:rsid w:val="00DA0E6B"/>
    <w:rsid w:val="00DA33B2"/>
    <w:rsid w:val="00DC1DB4"/>
    <w:rsid w:val="00DC5DD9"/>
    <w:rsid w:val="00DD5638"/>
    <w:rsid w:val="00DE3C0E"/>
    <w:rsid w:val="00DF0487"/>
    <w:rsid w:val="00E369D3"/>
    <w:rsid w:val="00E76967"/>
    <w:rsid w:val="00E823AF"/>
    <w:rsid w:val="00EA1A20"/>
    <w:rsid w:val="00EC0F33"/>
    <w:rsid w:val="00ED4E2C"/>
    <w:rsid w:val="00F41832"/>
    <w:rsid w:val="00F4314E"/>
    <w:rsid w:val="00F86ECD"/>
    <w:rsid w:val="00FB0802"/>
    <w:rsid w:val="00FC32C1"/>
    <w:rsid w:val="00FC5C1D"/>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F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0E302B"/>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E302B"/>
    <w:pPr>
      <w:spacing w:after="120"/>
    </w:pPr>
    <w:rPr>
      <w:sz w:val="16"/>
      <w:szCs w:val="16"/>
    </w:rPr>
  </w:style>
  <w:style w:type="character" w:customStyle="1" w:styleId="BodyText3Char">
    <w:name w:val="Body Text 3 Char"/>
    <w:basedOn w:val="DefaultParagraphFont"/>
    <w:link w:val="BodyText3"/>
    <w:rsid w:val="000E302B"/>
    <w:rPr>
      <w:rFonts w:ascii="Arial" w:eastAsia="Times New Roman" w:hAnsi="Arial"/>
      <w:sz w:val="16"/>
      <w:szCs w:val="16"/>
      <w:lang w:eastAsia="en-AU"/>
    </w:rPr>
  </w:style>
  <w:style w:type="paragraph" w:styleId="BodyTextIndent3">
    <w:name w:val="Body Text Indent 3"/>
    <w:basedOn w:val="Normal"/>
    <w:link w:val="BodyTextIndent3Char"/>
    <w:rsid w:val="000E302B"/>
    <w:pPr>
      <w:spacing w:after="120"/>
      <w:ind w:left="283"/>
    </w:pPr>
    <w:rPr>
      <w:sz w:val="16"/>
      <w:szCs w:val="16"/>
    </w:rPr>
  </w:style>
  <w:style w:type="character" w:customStyle="1" w:styleId="BodyTextIndent3Char">
    <w:name w:val="Body Text Indent 3 Char"/>
    <w:basedOn w:val="DefaultParagraphFont"/>
    <w:link w:val="BodyTextIndent3"/>
    <w:rsid w:val="000E302B"/>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0E302B"/>
    <w:pPr>
      <w:spacing w:after="0"/>
      <w:jc w:val="both"/>
    </w:pPr>
    <w:rPr>
      <w:sz w:val="20"/>
    </w:rPr>
  </w:style>
  <w:style w:type="character" w:customStyle="1" w:styleId="FootnoteTextChar">
    <w:name w:val="Footnote Text Char"/>
    <w:basedOn w:val="DefaultParagraphFont"/>
    <w:link w:val="FootnoteText"/>
    <w:uiPriority w:val="99"/>
    <w:semiHidden/>
    <w:rsid w:val="000E302B"/>
    <w:rPr>
      <w:rFonts w:ascii="Arial" w:eastAsia="Times New Roman" w:hAnsi="Arial"/>
      <w:lang w:eastAsia="en-AU"/>
    </w:rPr>
  </w:style>
  <w:style w:type="character" w:styleId="FootnoteReference">
    <w:name w:val="footnote reference"/>
    <w:basedOn w:val="DefaultParagraphFont"/>
    <w:uiPriority w:val="99"/>
    <w:semiHidden/>
    <w:unhideWhenUsed/>
    <w:rsid w:val="000E302B"/>
    <w:rPr>
      <w:vertAlign w:val="superscript"/>
    </w:rPr>
  </w:style>
  <w:style w:type="paragraph" w:customStyle="1" w:styleId="Paragraph">
    <w:name w:val="Paragraph"/>
    <w:basedOn w:val="Normal"/>
    <w:link w:val="ParagraphChar"/>
    <w:rsid w:val="000E302B"/>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0E302B"/>
    <w:rPr>
      <w:rFonts w:ascii="Helvetica" w:eastAsia="Times New Roman" w:hAnsi="Helvetica"/>
      <w:sz w:val="24"/>
      <w:szCs w:val="24"/>
      <w:lang w:eastAsia="en-AU"/>
    </w:rPr>
  </w:style>
  <w:style w:type="character" w:customStyle="1" w:styleId="SubsectionChar">
    <w:name w:val="Subsection Char"/>
    <w:link w:val="Subsection"/>
    <w:rsid w:val="000E302B"/>
    <w:rPr>
      <w:rFonts w:ascii="Helvetica" w:hAnsi="Helvetica"/>
      <w:sz w:val="24"/>
      <w:szCs w:val="24"/>
    </w:rPr>
  </w:style>
  <w:style w:type="paragraph" w:customStyle="1" w:styleId="Subsection">
    <w:name w:val="Subsection"/>
    <w:basedOn w:val="Normal"/>
    <w:link w:val="SubsectionChar"/>
    <w:rsid w:val="000E302B"/>
    <w:pPr>
      <w:widowControl w:val="0"/>
      <w:tabs>
        <w:tab w:val="right" w:pos="902"/>
      </w:tabs>
      <w:spacing w:after="240"/>
      <w:ind w:left="1100" w:hanging="1100"/>
      <w:jc w:val="both"/>
    </w:pPr>
    <w:rPr>
      <w:rFonts w:ascii="Helvetica" w:eastAsia="Calibri" w:hAnsi="Helvetica"/>
      <w:sz w:val="24"/>
      <w:szCs w:val="24"/>
      <w:lang w:eastAsia="en-US"/>
    </w:rPr>
  </w:style>
  <w:style w:type="paragraph" w:customStyle="1" w:styleId="NewSectionHeading">
    <w:name w:val="New Section Heading"/>
    <w:basedOn w:val="Normal"/>
    <w:next w:val="Normal"/>
    <w:link w:val="NewSectionHeadingChar"/>
    <w:rsid w:val="000E302B"/>
    <w:pPr>
      <w:keepNext/>
      <w:keepLines/>
      <w:widowControl w:val="0"/>
      <w:spacing w:after="240"/>
      <w:ind w:left="1100" w:hanging="1100"/>
      <w:outlineLvl w:val="4"/>
    </w:pPr>
    <w:rPr>
      <w:rFonts w:ascii="Helvetica" w:hAnsi="Helvetica"/>
      <w:b/>
      <w:sz w:val="24"/>
      <w:szCs w:val="24"/>
    </w:rPr>
  </w:style>
  <w:style w:type="character" w:customStyle="1" w:styleId="NewSectionHeadingChar">
    <w:name w:val="New Section Heading Char"/>
    <w:link w:val="NewSectionHeading"/>
    <w:rsid w:val="000E302B"/>
    <w:rPr>
      <w:rFonts w:ascii="Helvetica" w:eastAsia="Times New Roman" w:hAnsi="Helvetica"/>
      <w:b/>
      <w:sz w:val="24"/>
      <w:szCs w:val="24"/>
      <w:lang w:eastAsia="en-AU"/>
    </w:rPr>
  </w:style>
  <w:style w:type="paragraph" w:customStyle="1" w:styleId="cunumber3">
    <w:name w:val="cunumber3"/>
    <w:basedOn w:val="Normal"/>
    <w:rsid w:val="000E302B"/>
    <w:pPr>
      <w:spacing w:before="100" w:beforeAutospacing="1" w:after="100" w:afterAutospacing="1"/>
    </w:pPr>
    <w:rPr>
      <w:rFonts w:ascii="Times New Roman" w:hAnsi="Times New Roman"/>
      <w:sz w:val="24"/>
      <w:szCs w:val="24"/>
    </w:rPr>
  </w:style>
  <w:style w:type="character" w:customStyle="1" w:styleId="DefinitionChar">
    <w:name w:val="Definition Char"/>
    <w:link w:val="Definition"/>
    <w:rsid w:val="00002184"/>
    <w:rPr>
      <w:rFonts w:ascii="Helvetica" w:hAnsi="Helvetica"/>
      <w:sz w:val="24"/>
    </w:rPr>
  </w:style>
  <w:style w:type="paragraph" w:customStyle="1" w:styleId="Definition">
    <w:name w:val="Definition"/>
    <w:aliases w:val="dd"/>
    <w:basedOn w:val="Normal"/>
    <w:link w:val="DefinitionChar"/>
    <w:rsid w:val="00002184"/>
    <w:pPr>
      <w:widowControl w:val="0"/>
      <w:spacing w:after="240"/>
      <w:ind w:left="1100"/>
      <w:jc w:val="both"/>
    </w:pPr>
    <w:rPr>
      <w:rFonts w:ascii="Helvetica" w:eastAsia="Calibri" w:hAnsi="Helvetica"/>
      <w:sz w:val="24"/>
      <w:lang w:eastAsia="en-US"/>
    </w:rPr>
  </w:style>
  <w:style w:type="character" w:styleId="CommentReference">
    <w:name w:val="annotation reference"/>
    <w:basedOn w:val="DefaultParagraphFont"/>
    <w:uiPriority w:val="99"/>
    <w:semiHidden/>
    <w:unhideWhenUsed/>
    <w:rsid w:val="004F0CB9"/>
    <w:rPr>
      <w:sz w:val="16"/>
      <w:szCs w:val="16"/>
    </w:rPr>
  </w:style>
  <w:style w:type="paragraph" w:styleId="CommentText">
    <w:name w:val="annotation text"/>
    <w:basedOn w:val="Normal"/>
    <w:link w:val="CommentTextChar"/>
    <w:uiPriority w:val="99"/>
    <w:semiHidden/>
    <w:unhideWhenUsed/>
    <w:rsid w:val="004F0CB9"/>
    <w:rPr>
      <w:sz w:val="20"/>
    </w:rPr>
  </w:style>
  <w:style w:type="character" w:customStyle="1" w:styleId="CommentTextChar">
    <w:name w:val="Comment Text Char"/>
    <w:basedOn w:val="DefaultParagraphFont"/>
    <w:link w:val="CommentText"/>
    <w:uiPriority w:val="99"/>
    <w:semiHidden/>
    <w:rsid w:val="004F0CB9"/>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4F0CB9"/>
    <w:rPr>
      <w:b/>
      <w:bCs/>
    </w:rPr>
  </w:style>
  <w:style w:type="character" w:customStyle="1" w:styleId="CommentSubjectChar">
    <w:name w:val="Comment Subject Char"/>
    <w:basedOn w:val="CommentTextChar"/>
    <w:link w:val="CommentSubject"/>
    <w:uiPriority w:val="99"/>
    <w:semiHidden/>
    <w:rsid w:val="004F0CB9"/>
    <w:rPr>
      <w:rFonts w:ascii="Arial" w:eastAsia="Times New Roman" w:hAnsi="Arial"/>
      <w:b/>
      <w:bCs/>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BB4846"/>
    <w:rPr>
      <w:rFonts w:ascii="Arial" w:eastAsia="Times New Roman" w:hAnsi="Arial" w:cs="Arial"/>
      <w:b/>
      <w:bCs/>
      <w:sz w:val="26"/>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99"/>
    <w:rsid w:val="000E302B"/>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E302B"/>
    <w:pPr>
      <w:spacing w:after="120"/>
    </w:pPr>
    <w:rPr>
      <w:sz w:val="16"/>
      <w:szCs w:val="16"/>
    </w:rPr>
  </w:style>
  <w:style w:type="character" w:customStyle="1" w:styleId="BodyText3Char">
    <w:name w:val="Body Text 3 Char"/>
    <w:basedOn w:val="DefaultParagraphFont"/>
    <w:link w:val="BodyText3"/>
    <w:rsid w:val="000E302B"/>
    <w:rPr>
      <w:rFonts w:ascii="Arial" w:eastAsia="Times New Roman" w:hAnsi="Arial"/>
      <w:sz w:val="16"/>
      <w:szCs w:val="16"/>
      <w:lang w:eastAsia="en-AU"/>
    </w:rPr>
  </w:style>
  <w:style w:type="paragraph" w:styleId="BodyTextIndent3">
    <w:name w:val="Body Text Indent 3"/>
    <w:basedOn w:val="Normal"/>
    <w:link w:val="BodyTextIndent3Char"/>
    <w:rsid w:val="000E302B"/>
    <w:pPr>
      <w:spacing w:after="120"/>
      <w:ind w:left="283"/>
    </w:pPr>
    <w:rPr>
      <w:sz w:val="16"/>
      <w:szCs w:val="16"/>
    </w:rPr>
  </w:style>
  <w:style w:type="character" w:customStyle="1" w:styleId="BodyTextIndent3Char">
    <w:name w:val="Body Text Indent 3 Char"/>
    <w:basedOn w:val="DefaultParagraphFont"/>
    <w:link w:val="BodyTextIndent3"/>
    <w:rsid w:val="000E302B"/>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0E302B"/>
    <w:pPr>
      <w:spacing w:after="0"/>
      <w:jc w:val="both"/>
    </w:pPr>
    <w:rPr>
      <w:sz w:val="20"/>
    </w:rPr>
  </w:style>
  <w:style w:type="character" w:customStyle="1" w:styleId="FootnoteTextChar">
    <w:name w:val="Footnote Text Char"/>
    <w:basedOn w:val="DefaultParagraphFont"/>
    <w:link w:val="FootnoteText"/>
    <w:uiPriority w:val="99"/>
    <w:semiHidden/>
    <w:rsid w:val="000E302B"/>
    <w:rPr>
      <w:rFonts w:ascii="Arial" w:eastAsia="Times New Roman" w:hAnsi="Arial"/>
      <w:lang w:eastAsia="en-AU"/>
    </w:rPr>
  </w:style>
  <w:style w:type="character" w:styleId="FootnoteReference">
    <w:name w:val="footnote reference"/>
    <w:basedOn w:val="DefaultParagraphFont"/>
    <w:uiPriority w:val="99"/>
    <w:semiHidden/>
    <w:unhideWhenUsed/>
    <w:rsid w:val="000E302B"/>
    <w:rPr>
      <w:vertAlign w:val="superscript"/>
    </w:rPr>
  </w:style>
  <w:style w:type="paragraph" w:customStyle="1" w:styleId="Paragraph">
    <w:name w:val="Paragraph"/>
    <w:basedOn w:val="Normal"/>
    <w:link w:val="ParagraphChar"/>
    <w:rsid w:val="000E302B"/>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0E302B"/>
    <w:rPr>
      <w:rFonts w:ascii="Helvetica" w:eastAsia="Times New Roman" w:hAnsi="Helvetica"/>
      <w:sz w:val="24"/>
      <w:szCs w:val="24"/>
      <w:lang w:eastAsia="en-AU"/>
    </w:rPr>
  </w:style>
  <w:style w:type="character" w:customStyle="1" w:styleId="SubsectionChar">
    <w:name w:val="Subsection Char"/>
    <w:link w:val="Subsection"/>
    <w:rsid w:val="000E302B"/>
    <w:rPr>
      <w:rFonts w:ascii="Helvetica" w:hAnsi="Helvetica"/>
      <w:sz w:val="24"/>
      <w:szCs w:val="24"/>
    </w:rPr>
  </w:style>
  <w:style w:type="paragraph" w:customStyle="1" w:styleId="Subsection">
    <w:name w:val="Subsection"/>
    <w:basedOn w:val="Normal"/>
    <w:link w:val="SubsectionChar"/>
    <w:rsid w:val="000E302B"/>
    <w:pPr>
      <w:widowControl w:val="0"/>
      <w:tabs>
        <w:tab w:val="right" w:pos="902"/>
      </w:tabs>
      <w:spacing w:after="240"/>
      <w:ind w:left="1100" w:hanging="1100"/>
      <w:jc w:val="both"/>
    </w:pPr>
    <w:rPr>
      <w:rFonts w:ascii="Helvetica" w:eastAsia="Calibri" w:hAnsi="Helvetica"/>
      <w:sz w:val="24"/>
      <w:szCs w:val="24"/>
      <w:lang w:eastAsia="en-US"/>
    </w:rPr>
  </w:style>
  <w:style w:type="paragraph" w:customStyle="1" w:styleId="NewSectionHeading">
    <w:name w:val="New Section Heading"/>
    <w:basedOn w:val="Normal"/>
    <w:next w:val="Normal"/>
    <w:link w:val="NewSectionHeadingChar"/>
    <w:rsid w:val="000E302B"/>
    <w:pPr>
      <w:keepNext/>
      <w:keepLines/>
      <w:widowControl w:val="0"/>
      <w:spacing w:after="240"/>
      <w:ind w:left="1100" w:hanging="1100"/>
      <w:outlineLvl w:val="4"/>
    </w:pPr>
    <w:rPr>
      <w:rFonts w:ascii="Helvetica" w:hAnsi="Helvetica"/>
      <w:b/>
      <w:sz w:val="24"/>
      <w:szCs w:val="24"/>
    </w:rPr>
  </w:style>
  <w:style w:type="character" w:customStyle="1" w:styleId="NewSectionHeadingChar">
    <w:name w:val="New Section Heading Char"/>
    <w:link w:val="NewSectionHeading"/>
    <w:rsid w:val="000E302B"/>
    <w:rPr>
      <w:rFonts w:ascii="Helvetica" w:eastAsia="Times New Roman" w:hAnsi="Helvetica"/>
      <w:b/>
      <w:sz w:val="24"/>
      <w:szCs w:val="24"/>
      <w:lang w:eastAsia="en-AU"/>
    </w:rPr>
  </w:style>
  <w:style w:type="paragraph" w:customStyle="1" w:styleId="cunumber3">
    <w:name w:val="cunumber3"/>
    <w:basedOn w:val="Normal"/>
    <w:rsid w:val="000E302B"/>
    <w:pPr>
      <w:spacing w:before="100" w:beforeAutospacing="1" w:after="100" w:afterAutospacing="1"/>
    </w:pPr>
    <w:rPr>
      <w:rFonts w:ascii="Times New Roman" w:hAnsi="Times New Roman"/>
      <w:sz w:val="24"/>
      <w:szCs w:val="24"/>
    </w:rPr>
  </w:style>
  <w:style w:type="character" w:customStyle="1" w:styleId="DefinitionChar">
    <w:name w:val="Definition Char"/>
    <w:link w:val="Definition"/>
    <w:rsid w:val="00002184"/>
    <w:rPr>
      <w:rFonts w:ascii="Helvetica" w:hAnsi="Helvetica"/>
      <w:sz w:val="24"/>
    </w:rPr>
  </w:style>
  <w:style w:type="paragraph" w:customStyle="1" w:styleId="Definition">
    <w:name w:val="Definition"/>
    <w:aliases w:val="dd"/>
    <w:basedOn w:val="Normal"/>
    <w:link w:val="DefinitionChar"/>
    <w:rsid w:val="00002184"/>
    <w:pPr>
      <w:widowControl w:val="0"/>
      <w:spacing w:after="240"/>
      <w:ind w:left="1100"/>
      <w:jc w:val="both"/>
    </w:pPr>
    <w:rPr>
      <w:rFonts w:ascii="Helvetica" w:eastAsia="Calibri" w:hAnsi="Helvetica"/>
      <w:sz w:val="24"/>
      <w:lang w:eastAsia="en-US"/>
    </w:rPr>
  </w:style>
  <w:style w:type="character" w:styleId="CommentReference">
    <w:name w:val="annotation reference"/>
    <w:basedOn w:val="DefaultParagraphFont"/>
    <w:uiPriority w:val="99"/>
    <w:semiHidden/>
    <w:unhideWhenUsed/>
    <w:rsid w:val="004F0CB9"/>
    <w:rPr>
      <w:sz w:val="16"/>
      <w:szCs w:val="16"/>
    </w:rPr>
  </w:style>
  <w:style w:type="paragraph" w:styleId="CommentText">
    <w:name w:val="annotation text"/>
    <w:basedOn w:val="Normal"/>
    <w:link w:val="CommentTextChar"/>
    <w:uiPriority w:val="99"/>
    <w:semiHidden/>
    <w:unhideWhenUsed/>
    <w:rsid w:val="004F0CB9"/>
    <w:rPr>
      <w:sz w:val="20"/>
    </w:rPr>
  </w:style>
  <w:style w:type="character" w:customStyle="1" w:styleId="CommentTextChar">
    <w:name w:val="Comment Text Char"/>
    <w:basedOn w:val="DefaultParagraphFont"/>
    <w:link w:val="CommentText"/>
    <w:uiPriority w:val="99"/>
    <w:semiHidden/>
    <w:rsid w:val="004F0CB9"/>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4F0CB9"/>
    <w:rPr>
      <w:b/>
      <w:bCs/>
    </w:rPr>
  </w:style>
  <w:style w:type="character" w:customStyle="1" w:styleId="CommentSubjectChar">
    <w:name w:val="Comment Subject Char"/>
    <w:basedOn w:val="CommentTextChar"/>
    <w:link w:val="CommentSubject"/>
    <w:uiPriority w:val="99"/>
    <w:semiHidden/>
    <w:rsid w:val="004F0CB9"/>
    <w:rPr>
      <w:rFonts w:ascii="Arial" w:eastAsia="Times New Roman" w:hAnsi="Arial"/>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2015-10-14T14:30:00+00:00</Hearing_x0020_Date>
    <Decision_x0020_Category xmlns="28e3188d-fccf-4e87-a6b6-2e446be4517c">Liquor</Decision_x0020_Category>
    <_dlc_DocId xmlns="28e3188d-fccf-4e87-a6b6-2e446be4517c">2AXQX2YYQNYC-628-2</_dlc_DocId>
    <_dlc_DocIdUrl xmlns="28e3188d-fccf-4e87-a6b6-2e446be4517c">
      <Url>http://www.dob.nt.gov.au/gambling-licensing/decisions/dg-decisions/_layouts/DocIdRedir.aspx?ID=2AXQX2YYQNYC-628-2</Url>
      <Description>2AXQX2YYQNYC-628-2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3CAF1-6FD0-45CD-8442-5BC727FECDF3}">
  <ds:schemaRefs>
    <ds:schemaRef ds:uri="http://schemas.microsoft.com/sharepoint/events"/>
  </ds:schemaRefs>
</ds:datastoreItem>
</file>

<file path=customXml/itemProps2.xml><?xml version="1.0" encoding="utf-8"?>
<ds:datastoreItem xmlns:ds="http://schemas.openxmlformats.org/officeDocument/2006/customXml" ds:itemID="{39050A98-AFEF-4438-A5D2-8E36117E82EF}">
  <ds:schemaRefs>
    <ds:schemaRef ds:uri="http://schemas.microsoft.com/sharepoint/v3/contenttype/forms"/>
  </ds:schemaRefs>
</ds:datastoreItem>
</file>

<file path=customXml/itemProps3.xml><?xml version="1.0" encoding="utf-8"?>
<ds:datastoreItem xmlns:ds="http://schemas.openxmlformats.org/officeDocument/2006/customXml" ds:itemID="{077DE370-632B-40AA-ABEE-FE39B548E8A3}">
  <ds:schemaRefs>
    <ds:schemaRef ds:uri="http://schemas.microsoft.com/office/2006/metadata/properties"/>
    <ds:schemaRef ds:uri="http://schemas.microsoft.com/office/infopath/2007/PartnerControls"/>
    <ds:schemaRef ds:uri="28e3188d-fccf-4e87-a6b6-2e446be4517c"/>
  </ds:schemaRefs>
</ds:datastoreItem>
</file>

<file path=customXml/itemProps4.xml><?xml version="1.0" encoding="utf-8"?>
<ds:datastoreItem xmlns:ds="http://schemas.openxmlformats.org/officeDocument/2006/customXml" ds:itemID="{DE5FD15B-E5F7-4E4F-A228-17D09B99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CC643-9090-42EC-A1B2-C1C3E2F65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Shillelagh's Restaurant - Application for grant of Restaurant Liquor Licence</vt:lpstr>
    </vt:vector>
  </TitlesOfParts>
  <Company>Northern Territory Government</Company>
  <LinksUpToDate>false</LinksUpToDate>
  <CharactersWithSpaces>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Flynn Tavern - Review of Decision of Delegate of Director-General of Licensing</dc:title>
  <dc:creator>Marlene Woods</dc:creator>
  <cp:lastModifiedBy>Marlene Woods</cp:lastModifiedBy>
  <cp:revision>6</cp:revision>
  <cp:lastPrinted>2016-01-14T03:24:00Z</cp:lastPrinted>
  <dcterms:created xsi:type="dcterms:W3CDTF">2016-01-14T02:13:00Z</dcterms:created>
  <dcterms:modified xsi:type="dcterms:W3CDTF">2016-11-16T01:42:00Z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5de68b33-3a14-422b-8014-98722c5003ff</vt:lpwstr>
  </property>
</Properties>
</file>