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59A3" w:rsidRPr="00EA59A3" w:rsidRDefault="00EA59A3" w:rsidP="00EA59A3">
      <w:pPr>
        <w:pStyle w:val="Title"/>
        <w:spacing w:before="0" w:after="0"/>
        <w:rPr>
          <w:rFonts w:ascii="Lato" w:hAnsi="Lato"/>
          <w:bCs w:val="0"/>
        </w:rPr>
      </w:pPr>
      <w:r w:rsidRPr="00EA59A3">
        <w:rPr>
          <w:rFonts w:ascii="Lato" w:hAnsi="Lato"/>
        </w:rPr>
        <w:t>Director-General of Licensing</w:t>
      </w:r>
    </w:p>
    <w:p w:rsidR="00EA59A3" w:rsidRPr="00EA59A3" w:rsidRDefault="00EA59A3" w:rsidP="00EA59A3">
      <w:pPr>
        <w:pStyle w:val="Title"/>
        <w:pBdr>
          <w:bottom w:val="single" w:sz="4" w:space="1" w:color="auto"/>
        </w:pBdr>
        <w:spacing w:after="0"/>
        <w:rPr>
          <w:rFonts w:ascii="Lato" w:hAnsi="Lato"/>
          <w:bCs w:val="0"/>
        </w:rPr>
      </w:pPr>
      <w:r w:rsidRPr="00EA59A3">
        <w:rPr>
          <w:rFonts w:ascii="Lato" w:hAnsi="Lato"/>
        </w:rPr>
        <w:t>Decision Notice</w:t>
      </w:r>
    </w:p>
    <w:p w:rsidR="00EA59A3" w:rsidRPr="00EA59A3" w:rsidRDefault="00EA59A3" w:rsidP="008D64FF">
      <w:pPr>
        <w:pStyle w:val="Tabformatting"/>
        <w:spacing w:after="0"/>
        <w:rPr>
          <w:rFonts w:ascii="Lato" w:hAnsi="Lato"/>
          <w:b/>
        </w:rPr>
      </w:pPr>
    </w:p>
    <w:p w:rsidR="0094204E" w:rsidRDefault="00977D75" w:rsidP="00231E4B">
      <w:pPr>
        <w:pStyle w:val="Tabformatting"/>
        <w:spacing w:after="0"/>
        <w:rPr>
          <w:rFonts w:ascii="Lato" w:hAnsi="Lato"/>
          <w:b/>
          <w:sz w:val="22"/>
          <w:szCs w:val="22"/>
        </w:rPr>
      </w:pPr>
      <w:r w:rsidRPr="00F634BB">
        <w:rPr>
          <w:rFonts w:ascii="Lato" w:hAnsi="Lato"/>
          <w:b/>
          <w:sz w:val="22"/>
          <w:szCs w:val="22"/>
        </w:rPr>
        <w:t>Matter:</w:t>
      </w:r>
      <w:r w:rsidRPr="00F634BB">
        <w:rPr>
          <w:rFonts w:ascii="Lato" w:hAnsi="Lato"/>
          <w:b/>
          <w:sz w:val="22"/>
          <w:szCs w:val="22"/>
        </w:rPr>
        <w:tab/>
      </w:r>
      <w:r w:rsidR="0094204E">
        <w:rPr>
          <w:rFonts w:ascii="Lato" w:hAnsi="Lato"/>
          <w:b/>
          <w:sz w:val="22"/>
          <w:szCs w:val="22"/>
        </w:rPr>
        <w:t xml:space="preserve">Review of Delegate Decision </w:t>
      </w:r>
      <w:r w:rsidR="00EF3D2D">
        <w:rPr>
          <w:rFonts w:ascii="Lato" w:hAnsi="Lato"/>
          <w:b/>
          <w:sz w:val="22"/>
          <w:szCs w:val="22"/>
        </w:rPr>
        <w:t>–</w:t>
      </w:r>
      <w:r w:rsidR="0094204E">
        <w:rPr>
          <w:rFonts w:ascii="Lato" w:hAnsi="Lato"/>
          <w:b/>
          <w:sz w:val="22"/>
          <w:szCs w:val="22"/>
        </w:rPr>
        <w:t xml:space="preserve"> </w:t>
      </w:r>
      <w:r w:rsidR="00DF6A0E">
        <w:rPr>
          <w:rFonts w:ascii="Lato" w:hAnsi="Lato"/>
          <w:b/>
          <w:sz w:val="22"/>
          <w:szCs w:val="22"/>
        </w:rPr>
        <w:t xml:space="preserve">Refusal to </w:t>
      </w:r>
      <w:r w:rsidR="00A50022">
        <w:rPr>
          <w:rFonts w:ascii="Lato" w:hAnsi="Lato"/>
          <w:b/>
          <w:sz w:val="22"/>
          <w:szCs w:val="22"/>
        </w:rPr>
        <w:t>transfer liquor licence</w:t>
      </w:r>
    </w:p>
    <w:p w:rsidR="008D64FF" w:rsidRPr="00F634BB" w:rsidRDefault="008D64FF" w:rsidP="00231E4B">
      <w:pPr>
        <w:pStyle w:val="Tabformatting"/>
        <w:spacing w:after="0"/>
        <w:rPr>
          <w:rFonts w:ascii="Lato" w:hAnsi="Lato"/>
          <w:b/>
          <w:sz w:val="22"/>
          <w:szCs w:val="22"/>
        </w:rPr>
      </w:pPr>
    </w:p>
    <w:p w:rsidR="0094204E" w:rsidRDefault="0094204E" w:rsidP="00231E4B">
      <w:pPr>
        <w:pStyle w:val="Tabformatting"/>
        <w:spacing w:after="0"/>
        <w:rPr>
          <w:rFonts w:ascii="Lato" w:hAnsi="Lato"/>
          <w:b/>
          <w:sz w:val="22"/>
          <w:szCs w:val="22"/>
        </w:rPr>
      </w:pPr>
      <w:r>
        <w:rPr>
          <w:rFonts w:ascii="Lato" w:hAnsi="Lato"/>
          <w:b/>
          <w:sz w:val="22"/>
          <w:szCs w:val="22"/>
        </w:rPr>
        <w:t>Applicant</w:t>
      </w:r>
      <w:r w:rsidR="008D64FF" w:rsidRPr="00F634BB">
        <w:rPr>
          <w:rFonts w:ascii="Lato" w:hAnsi="Lato"/>
          <w:sz w:val="22"/>
          <w:szCs w:val="22"/>
        </w:rPr>
        <w:t>:</w:t>
      </w:r>
      <w:r w:rsidR="00231E4B">
        <w:rPr>
          <w:rFonts w:ascii="Lato" w:hAnsi="Lato"/>
          <w:sz w:val="22"/>
          <w:szCs w:val="22"/>
        </w:rPr>
        <w:tab/>
      </w:r>
      <w:r w:rsidR="00DF6A0E">
        <w:rPr>
          <w:rFonts w:ascii="Lato" w:hAnsi="Lato"/>
          <w:b/>
          <w:sz w:val="22"/>
          <w:szCs w:val="22"/>
        </w:rPr>
        <w:t xml:space="preserve">The </w:t>
      </w:r>
      <w:r w:rsidR="00F631F2">
        <w:rPr>
          <w:rFonts w:ascii="Lato" w:hAnsi="Lato"/>
          <w:b/>
          <w:sz w:val="22"/>
          <w:szCs w:val="22"/>
        </w:rPr>
        <w:t>Bark Hut Inn</w:t>
      </w:r>
    </w:p>
    <w:p w:rsidR="00942103" w:rsidRPr="00F634BB" w:rsidRDefault="008D64FF" w:rsidP="00231E4B">
      <w:pPr>
        <w:pStyle w:val="Tabformatting"/>
        <w:spacing w:after="0"/>
        <w:rPr>
          <w:rFonts w:ascii="Lato" w:hAnsi="Lato"/>
          <w:sz w:val="22"/>
          <w:szCs w:val="22"/>
        </w:rPr>
      </w:pPr>
      <w:r w:rsidRPr="00F634BB">
        <w:rPr>
          <w:rFonts w:ascii="Lato" w:hAnsi="Lato"/>
          <w:b/>
          <w:sz w:val="22"/>
          <w:szCs w:val="22"/>
        </w:rPr>
        <w:tab/>
      </w:r>
      <w:r w:rsidR="00F631F2">
        <w:rPr>
          <w:rFonts w:ascii="Lato" w:hAnsi="Lato"/>
          <w:sz w:val="22"/>
          <w:szCs w:val="22"/>
        </w:rPr>
        <w:t>Arnhem Highway</w:t>
      </w:r>
    </w:p>
    <w:p w:rsidR="004D11F3" w:rsidRPr="00F634BB" w:rsidRDefault="00F631F2" w:rsidP="00231E4B">
      <w:pPr>
        <w:pStyle w:val="Tabformatting"/>
        <w:spacing w:after="120"/>
        <w:ind w:firstLine="0"/>
        <w:rPr>
          <w:rFonts w:ascii="Lato" w:hAnsi="Lato"/>
          <w:sz w:val="22"/>
          <w:szCs w:val="22"/>
        </w:rPr>
      </w:pPr>
      <w:proofErr w:type="spellStart"/>
      <w:proofErr w:type="gramStart"/>
      <w:r>
        <w:rPr>
          <w:rFonts w:ascii="Lato" w:hAnsi="Lato"/>
          <w:sz w:val="22"/>
          <w:szCs w:val="22"/>
        </w:rPr>
        <w:t>Annaburoo</w:t>
      </w:r>
      <w:proofErr w:type="spellEnd"/>
      <w:r>
        <w:rPr>
          <w:rFonts w:ascii="Lato" w:hAnsi="Lato"/>
          <w:sz w:val="22"/>
          <w:szCs w:val="22"/>
        </w:rPr>
        <w:t xml:space="preserve">  NT</w:t>
      </w:r>
      <w:proofErr w:type="gramEnd"/>
      <w:r>
        <w:rPr>
          <w:rFonts w:ascii="Lato" w:hAnsi="Lato"/>
          <w:sz w:val="22"/>
          <w:szCs w:val="22"/>
        </w:rPr>
        <w:t xml:space="preserve"> </w:t>
      </w:r>
    </w:p>
    <w:p w:rsidR="008D64FF" w:rsidRPr="00A23E0E" w:rsidRDefault="008D64FF" w:rsidP="00231E4B">
      <w:pPr>
        <w:pStyle w:val="Tabformatting"/>
        <w:spacing w:after="120"/>
        <w:rPr>
          <w:rFonts w:ascii="Lato" w:hAnsi="Lato"/>
          <w:i/>
          <w:sz w:val="22"/>
          <w:szCs w:val="22"/>
        </w:rPr>
      </w:pPr>
      <w:r w:rsidRPr="00F634BB">
        <w:rPr>
          <w:rFonts w:ascii="Lato" w:hAnsi="Lato"/>
          <w:b/>
          <w:sz w:val="22"/>
          <w:szCs w:val="22"/>
        </w:rPr>
        <w:t>Legislation</w:t>
      </w:r>
      <w:r w:rsidRPr="00F634BB">
        <w:rPr>
          <w:rFonts w:ascii="Lato" w:hAnsi="Lato"/>
          <w:sz w:val="22"/>
          <w:szCs w:val="22"/>
        </w:rPr>
        <w:t>:</w:t>
      </w:r>
      <w:r w:rsidRPr="00F634BB">
        <w:rPr>
          <w:rFonts w:ascii="Lato" w:hAnsi="Lato"/>
          <w:sz w:val="22"/>
          <w:szCs w:val="22"/>
        </w:rPr>
        <w:tab/>
      </w:r>
      <w:r w:rsidR="00F631F2">
        <w:rPr>
          <w:rFonts w:ascii="Lato" w:hAnsi="Lato"/>
          <w:sz w:val="22"/>
          <w:szCs w:val="22"/>
        </w:rPr>
        <w:t>Section 43</w:t>
      </w:r>
      <w:r w:rsidR="00BF426D">
        <w:rPr>
          <w:rFonts w:ascii="Lato" w:hAnsi="Lato"/>
          <w:sz w:val="22"/>
          <w:szCs w:val="22"/>
        </w:rPr>
        <w:t xml:space="preserve"> </w:t>
      </w:r>
      <w:r w:rsidRPr="00F634BB">
        <w:rPr>
          <w:rFonts w:ascii="Lato" w:hAnsi="Lato"/>
          <w:sz w:val="22"/>
          <w:szCs w:val="22"/>
        </w:rPr>
        <w:t xml:space="preserve">of the </w:t>
      </w:r>
      <w:r w:rsidRPr="00F634BB">
        <w:rPr>
          <w:rFonts w:ascii="Lato" w:hAnsi="Lato"/>
          <w:i/>
          <w:sz w:val="22"/>
          <w:szCs w:val="22"/>
        </w:rPr>
        <w:t>Liquor Act</w:t>
      </w:r>
      <w:r w:rsidR="00A23E0E">
        <w:rPr>
          <w:rFonts w:ascii="Lato" w:hAnsi="Lato"/>
          <w:i/>
          <w:sz w:val="22"/>
          <w:szCs w:val="22"/>
        </w:rPr>
        <w:t xml:space="preserve"> </w:t>
      </w:r>
      <w:r w:rsidR="00A23E0E">
        <w:rPr>
          <w:rFonts w:ascii="Lato" w:hAnsi="Lato"/>
          <w:sz w:val="22"/>
          <w:szCs w:val="22"/>
        </w:rPr>
        <w:t xml:space="preserve">and </w:t>
      </w:r>
      <w:r w:rsidR="006F4C88">
        <w:rPr>
          <w:rFonts w:ascii="Lato" w:eastAsia="Calibri" w:hAnsi="Lato" w:cs="Century"/>
          <w:sz w:val="22"/>
          <w:szCs w:val="22"/>
          <w:lang w:eastAsia="en-US"/>
        </w:rPr>
        <w:t>Part 3</w:t>
      </w:r>
      <w:r w:rsidR="00A23E0E" w:rsidRPr="00A23E0E">
        <w:rPr>
          <w:rFonts w:ascii="Lato" w:eastAsia="Calibri" w:hAnsi="Lato" w:cs="Century"/>
          <w:sz w:val="22"/>
          <w:szCs w:val="22"/>
          <w:lang w:eastAsia="en-US"/>
        </w:rPr>
        <w:t xml:space="preserve"> of the </w:t>
      </w:r>
      <w:r w:rsidR="00A23E0E" w:rsidRPr="00A23E0E">
        <w:rPr>
          <w:rFonts w:ascii="Lato" w:eastAsia="Calibri" w:hAnsi="Lato" w:cs="Century"/>
          <w:i/>
          <w:sz w:val="22"/>
          <w:szCs w:val="22"/>
          <w:lang w:eastAsia="en-US"/>
        </w:rPr>
        <w:t>Licensing (Director-General) Act</w:t>
      </w:r>
    </w:p>
    <w:p w:rsidR="008D64FF" w:rsidRPr="00F634BB" w:rsidRDefault="008D64FF" w:rsidP="00231E4B">
      <w:pPr>
        <w:pStyle w:val="Tabformatting"/>
        <w:spacing w:after="120"/>
        <w:rPr>
          <w:rFonts w:ascii="Lato" w:hAnsi="Lato"/>
          <w:sz w:val="22"/>
          <w:szCs w:val="22"/>
        </w:rPr>
      </w:pPr>
      <w:r w:rsidRPr="00F634BB">
        <w:rPr>
          <w:rFonts w:ascii="Lato" w:hAnsi="Lato"/>
          <w:b/>
          <w:sz w:val="22"/>
          <w:szCs w:val="22"/>
        </w:rPr>
        <w:t>Decision of</w:t>
      </w:r>
      <w:r w:rsidRPr="00F634BB">
        <w:rPr>
          <w:rFonts w:ascii="Lato" w:hAnsi="Lato"/>
          <w:sz w:val="22"/>
          <w:szCs w:val="22"/>
        </w:rPr>
        <w:t>:</w:t>
      </w:r>
      <w:r w:rsidRPr="00F634BB">
        <w:rPr>
          <w:rFonts w:ascii="Lato" w:hAnsi="Lato"/>
          <w:sz w:val="22"/>
          <w:szCs w:val="22"/>
        </w:rPr>
        <w:tab/>
      </w:r>
      <w:r w:rsidRPr="00F634BB">
        <w:rPr>
          <w:rFonts w:ascii="Lato" w:hAnsi="Lato" w:cs="Arial"/>
          <w:bCs/>
          <w:sz w:val="22"/>
          <w:szCs w:val="22"/>
        </w:rPr>
        <w:t>Director-General of Licensing</w:t>
      </w:r>
    </w:p>
    <w:p w:rsidR="008D64FF" w:rsidRPr="00F634BB" w:rsidRDefault="008D64FF" w:rsidP="00231E4B">
      <w:pPr>
        <w:pStyle w:val="Tabformatting"/>
        <w:pBdr>
          <w:bottom w:val="single" w:sz="4" w:space="1" w:color="auto"/>
        </w:pBdr>
        <w:spacing w:after="120"/>
        <w:rPr>
          <w:rFonts w:ascii="Lato" w:hAnsi="Lato"/>
          <w:sz w:val="22"/>
          <w:szCs w:val="22"/>
        </w:rPr>
      </w:pPr>
      <w:r w:rsidRPr="00F634BB">
        <w:rPr>
          <w:rFonts w:ascii="Lato" w:hAnsi="Lato"/>
          <w:b/>
          <w:sz w:val="22"/>
          <w:szCs w:val="22"/>
        </w:rPr>
        <w:t>Date of Decision</w:t>
      </w:r>
      <w:r w:rsidRPr="00F634BB">
        <w:rPr>
          <w:rFonts w:ascii="Lato" w:hAnsi="Lato"/>
          <w:sz w:val="22"/>
          <w:szCs w:val="22"/>
        </w:rPr>
        <w:t>:</w:t>
      </w:r>
      <w:r w:rsidRPr="00F634BB">
        <w:rPr>
          <w:rFonts w:ascii="Lato" w:hAnsi="Lato"/>
          <w:sz w:val="22"/>
          <w:szCs w:val="22"/>
        </w:rPr>
        <w:tab/>
      </w:r>
      <w:r w:rsidR="00CC08E4">
        <w:rPr>
          <w:rFonts w:ascii="Lato" w:hAnsi="Lato"/>
          <w:sz w:val="22"/>
          <w:szCs w:val="22"/>
        </w:rPr>
        <w:t xml:space="preserve">27 </w:t>
      </w:r>
      <w:r w:rsidR="00F631F2">
        <w:rPr>
          <w:rFonts w:ascii="Lato" w:hAnsi="Lato"/>
          <w:sz w:val="22"/>
          <w:szCs w:val="22"/>
        </w:rPr>
        <w:t>July</w:t>
      </w:r>
      <w:r w:rsidR="00EF3D2D">
        <w:rPr>
          <w:rFonts w:ascii="Lato" w:hAnsi="Lato"/>
          <w:sz w:val="22"/>
          <w:szCs w:val="22"/>
        </w:rPr>
        <w:t xml:space="preserve"> 2017</w:t>
      </w:r>
      <w:r w:rsidR="00C67CBC" w:rsidRPr="00F634BB">
        <w:rPr>
          <w:rFonts w:ascii="Lato" w:hAnsi="Lato" w:cs="Arial"/>
          <w:bCs/>
          <w:sz w:val="22"/>
          <w:szCs w:val="22"/>
        </w:rPr>
        <w:br/>
      </w:r>
    </w:p>
    <w:p w:rsidR="004D11F3" w:rsidRPr="00F634BB" w:rsidRDefault="00B71C29" w:rsidP="00527B62">
      <w:pPr>
        <w:pStyle w:val="Heading2"/>
        <w:spacing w:before="240"/>
        <w:rPr>
          <w:rFonts w:ascii="Lato" w:hAnsi="Lato"/>
          <w:sz w:val="22"/>
          <w:szCs w:val="22"/>
        </w:rPr>
      </w:pPr>
      <w:r w:rsidRPr="00F634BB">
        <w:rPr>
          <w:rFonts w:ascii="Lato" w:hAnsi="Lato"/>
          <w:sz w:val="22"/>
          <w:szCs w:val="22"/>
        </w:rPr>
        <w:t>BACKGROUND</w:t>
      </w:r>
    </w:p>
    <w:p w:rsidR="00F631F2" w:rsidRDefault="00F631F2" w:rsidP="00047039">
      <w:pPr>
        <w:pStyle w:val="NoSpacing"/>
      </w:pPr>
      <w:r>
        <w:t>By application dated 8 February 2017 Colin E Fink and Jaye L Fink, in partnership</w:t>
      </w:r>
      <w:r w:rsidR="004A0B48">
        <w:t>, applied pursuant to section 41</w:t>
      </w:r>
      <w:r>
        <w:t xml:space="preserve"> of the </w:t>
      </w:r>
      <w:r w:rsidRPr="00F631F2">
        <w:rPr>
          <w:i/>
        </w:rPr>
        <w:t xml:space="preserve">Liquor Act </w:t>
      </w:r>
      <w:r>
        <w:t>(the Act) for the transfer of the liquor licence for the Bark Hut Inn</w:t>
      </w:r>
      <w:r w:rsidR="00047039">
        <w:t xml:space="preserve"> (the Premises)</w:t>
      </w:r>
      <w:r>
        <w:t xml:space="preserve">.  That liquor licence is currently held by The Bark Hut Inn Pty Ltd </w:t>
      </w:r>
      <w:r w:rsidR="00047039">
        <w:t>(</w:t>
      </w:r>
      <w:proofErr w:type="spellStart"/>
      <w:r w:rsidR="00047039">
        <w:t>TBHI</w:t>
      </w:r>
      <w:proofErr w:type="spellEnd"/>
      <w:r w:rsidR="00047039">
        <w:t xml:space="preserve">) </w:t>
      </w:r>
      <w:r>
        <w:t>with the nominee/manager being Mr Andrew Armstrong who is also a director of the company.</w:t>
      </w:r>
    </w:p>
    <w:p w:rsidR="00DC471E" w:rsidRPr="000B150E" w:rsidRDefault="00DC471E" w:rsidP="00047039">
      <w:pPr>
        <w:pStyle w:val="NoSpacing"/>
      </w:pPr>
      <w:r>
        <w:t xml:space="preserve">Mr and Ms Fink are the registered proprietors of the </w:t>
      </w:r>
      <w:r w:rsidR="00047039">
        <w:t>P</w:t>
      </w:r>
      <w:r>
        <w:t xml:space="preserve">remises and </w:t>
      </w:r>
      <w:proofErr w:type="spellStart"/>
      <w:r>
        <w:t>T</w:t>
      </w:r>
      <w:r w:rsidR="00047039">
        <w:t>BHI</w:t>
      </w:r>
      <w:proofErr w:type="spellEnd"/>
      <w:r>
        <w:t xml:space="preserve"> conducted business at the </w:t>
      </w:r>
      <w:r w:rsidR="00047039">
        <w:t>P</w:t>
      </w:r>
      <w:r>
        <w:t xml:space="preserve">remises under a lease </w:t>
      </w:r>
      <w:r w:rsidR="00173E7B">
        <w:t xml:space="preserve">between the parties </w:t>
      </w:r>
      <w:r>
        <w:t>that expired on 1 December 2016</w:t>
      </w:r>
      <w:r w:rsidR="00173E7B">
        <w:t xml:space="preserve"> (the Lease).  The L</w:t>
      </w:r>
      <w:r>
        <w:t xml:space="preserve">ease was not renewed after that date and </w:t>
      </w:r>
      <w:proofErr w:type="spellStart"/>
      <w:r w:rsidR="00657381">
        <w:t>TBHI</w:t>
      </w:r>
      <w:proofErr w:type="spellEnd"/>
      <w:r>
        <w:t xml:space="preserve"> subsequently relinquished possession of</w:t>
      </w:r>
      <w:r w:rsidR="007C4943">
        <w:t xml:space="preserve"> </w:t>
      </w:r>
      <w:proofErr w:type="gramStart"/>
      <w:r w:rsidR="007C4943">
        <w:t>the</w:t>
      </w:r>
      <w:proofErr w:type="gramEnd"/>
      <w:r w:rsidR="007C4943">
        <w:t xml:space="preserve"> P</w:t>
      </w:r>
      <w:r>
        <w:t xml:space="preserve">remises to Mr and Ms Fink following the </w:t>
      </w:r>
      <w:r w:rsidR="00173E7B">
        <w:t>demise of the L</w:t>
      </w:r>
      <w:r>
        <w:t>ease.</w:t>
      </w:r>
    </w:p>
    <w:p w:rsidR="001A31FA" w:rsidRPr="001A31FA" w:rsidRDefault="00DC471E" w:rsidP="00047039">
      <w:pPr>
        <w:pStyle w:val="NoSpacing"/>
        <w:rPr>
          <w:i/>
        </w:rPr>
      </w:pPr>
      <w:r>
        <w:t xml:space="preserve">Following the demise of the </w:t>
      </w:r>
      <w:r w:rsidR="00173E7B">
        <w:t>Le</w:t>
      </w:r>
      <w:r>
        <w:t xml:space="preserve">ase Mr Armstrong, on behalf of </w:t>
      </w:r>
      <w:proofErr w:type="spellStart"/>
      <w:r>
        <w:t>T</w:t>
      </w:r>
      <w:r w:rsidR="00047039">
        <w:t>BHI</w:t>
      </w:r>
      <w:proofErr w:type="spellEnd"/>
      <w:r>
        <w:t xml:space="preserve">, refused to consent to the transfer of the liquor licence to Mr and Ms Fink and advised </w:t>
      </w:r>
      <w:r w:rsidR="00173E7B">
        <w:t xml:space="preserve">Licensing NT </w:t>
      </w:r>
      <w:r>
        <w:t xml:space="preserve">of </w:t>
      </w:r>
      <w:r w:rsidR="00047039">
        <w:t>his</w:t>
      </w:r>
      <w:r>
        <w:t xml:space="preserve"> intention to conduct business under the liquor licence at alternative premises.  However, to date Mr Armstrong has not identified any alternative premises nor has he lodged an application for substitution of the liquor licence to new premises.</w:t>
      </w:r>
    </w:p>
    <w:p w:rsidR="005B2560" w:rsidRPr="001A31FA" w:rsidRDefault="001A31FA" w:rsidP="00047039">
      <w:pPr>
        <w:pStyle w:val="NoSpacing"/>
        <w:rPr>
          <w:i/>
        </w:rPr>
      </w:pPr>
      <w:r>
        <w:t>In the application for the transfer of the liquor licence Mr and Ms Fink acknowledged that</w:t>
      </w:r>
      <w:r w:rsidR="00173E7B">
        <w:t xml:space="preserve"> the licensee does</w:t>
      </w:r>
      <w:r>
        <w:t xml:space="preserve"> not consent to the transfer and sought to rely on the powe</w:t>
      </w:r>
      <w:r w:rsidR="00173E7B">
        <w:t>r of attorney contained in the L</w:t>
      </w:r>
      <w:r>
        <w:t xml:space="preserve">ease </w:t>
      </w:r>
      <w:r w:rsidR="00173E7B">
        <w:t>w</w:t>
      </w:r>
      <w:r>
        <w:t xml:space="preserve">hich, they submit, authorises </w:t>
      </w:r>
      <w:r w:rsidR="004A0B48">
        <w:t xml:space="preserve">them </w:t>
      </w:r>
      <w:r>
        <w:t>in their c</w:t>
      </w:r>
      <w:r w:rsidR="00173E7B">
        <w:t>apacity as landlords under the L</w:t>
      </w:r>
      <w:r>
        <w:t>ease</w:t>
      </w:r>
      <w:r w:rsidR="00047039">
        <w:t>,</w:t>
      </w:r>
      <w:r>
        <w:t xml:space="preserve"> to act on behalf of and in the name of the licensee with respect to matters relating to the liquor licence.</w:t>
      </w:r>
    </w:p>
    <w:p w:rsidR="004D45EB" w:rsidRDefault="001A31FA" w:rsidP="004D45EB">
      <w:pPr>
        <w:pStyle w:val="NoSpacing"/>
        <w:rPr>
          <w:i/>
        </w:rPr>
      </w:pPr>
      <w:proofErr w:type="spellStart"/>
      <w:r>
        <w:t>T</w:t>
      </w:r>
      <w:r w:rsidR="00047039">
        <w:t>BHI</w:t>
      </w:r>
      <w:proofErr w:type="spellEnd"/>
      <w:r>
        <w:t xml:space="preserve"> has held the liquor licence under which it conducted business at the </w:t>
      </w:r>
      <w:r w:rsidR="00047039">
        <w:t>Premises</w:t>
      </w:r>
      <w:r>
        <w:t xml:space="preserve"> since 28 October 2009</w:t>
      </w:r>
      <w:r w:rsidR="00047039">
        <w:t>,</w:t>
      </w:r>
      <w:r>
        <w:t xml:space="preserve"> following a transfer of the liquor licence from </w:t>
      </w:r>
      <w:r w:rsidR="00047039">
        <w:t xml:space="preserve">the former licensee </w:t>
      </w:r>
      <w:proofErr w:type="spellStart"/>
      <w:r>
        <w:t>Spicedew</w:t>
      </w:r>
      <w:proofErr w:type="spellEnd"/>
      <w:r>
        <w:t xml:space="preserve"> Pty Ltd.  On 29 October 2009 Mr and Ms Fink executed a lease assignment consent agreement </w:t>
      </w:r>
      <w:r w:rsidR="00173E7B">
        <w:t xml:space="preserve">(the Consent) </w:t>
      </w:r>
      <w:r>
        <w:t>aut</w:t>
      </w:r>
      <w:r w:rsidR="00345562">
        <w:t>horising the assignment of the L</w:t>
      </w:r>
      <w:r>
        <w:t xml:space="preserve">ease over the </w:t>
      </w:r>
      <w:r w:rsidR="00047039">
        <w:t>P</w:t>
      </w:r>
      <w:r>
        <w:t>rem</w:t>
      </w:r>
      <w:r w:rsidR="00047039">
        <w:t>is</w:t>
      </w:r>
      <w:r>
        <w:t xml:space="preserve">es from </w:t>
      </w:r>
      <w:proofErr w:type="spellStart"/>
      <w:r>
        <w:t>Spicedew</w:t>
      </w:r>
      <w:proofErr w:type="spellEnd"/>
      <w:r>
        <w:t xml:space="preserve"> Pty Ltd to </w:t>
      </w:r>
      <w:proofErr w:type="spellStart"/>
      <w:r>
        <w:t>T</w:t>
      </w:r>
      <w:r w:rsidR="00047039">
        <w:t>BHI</w:t>
      </w:r>
      <w:proofErr w:type="spellEnd"/>
      <w:r w:rsidR="00047039">
        <w:t>.</w:t>
      </w:r>
    </w:p>
    <w:p w:rsidR="004D45EB" w:rsidRPr="004A0B48" w:rsidRDefault="004D45EB" w:rsidP="004A0B48">
      <w:pPr>
        <w:pStyle w:val="NoSpacing"/>
        <w:rPr>
          <w:i/>
        </w:rPr>
      </w:pPr>
      <w:r>
        <w:t xml:space="preserve">By letter dated 13 April 2017 Mr Tony Morgan of </w:t>
      </w:r>
      <w:proofErr w:type="spellStart"/>
      <w:r>
        <w:t>HWL</w:t>
      </w:r>
      <w:proofErr w:type="spellEnd"/>
      <w:r>
        <w:t xml:space="preserve"> </w:t>
      </w:r>
      <w:proofErr w:type="spellStart"/>
      <w:r>
        <w:t>Ebsworth</w:t>
      </w:r>
      <w:proofErr w:type="spellEnd"/>
      <w:r>
        <w:t xml:space="preserve"> Lawyers, legal representative for </w:t>
      </w:r>
      <w:proofErr w:type="spellStart"/>
      <w:r>
        <w:t>TBHI</w:t>
      </w:r>
      <w:proofErr w:type="spellEnd"/>
      <w:r>
        <w:t xml:space="preserve">, advised Licensing NT that the dispute between his client and Mr and Ms Fink was ongoing and that the parties continue to engage in negotiations to attempt </w:t>
      </w:r>
      <w:r w:rsidR="00173E7B">
        <w:t xml:space="preserve">to resolve </w:t>
      </w:r>
      <w:r>
        <w:t xml:space="preserve">the dispute. He also confirmed that </w:t>
      </w:r>
      <w:proofErr w:type="spellStart"/>
      <w:r>
        <w:t>TBHI</w:t>
      </w:r>
      <w:proofErr w:type="spellEnd"/>
      <w:r>
        <w:t xml:space="preserve"> was in the process of identifying suitable alternative premises from which to carry on its business and that an application for substitution of the </w:t>
      </w:r>
      <w:r>
        <w:lastRenderedPageBreak/>
        <w:t>licence to new premises may be lodged</w:t>
      </w:r>
      <w:r w:rsidR="00657381">
        <w:t xml:space="preserve"> at a future date</w:t>
      </w:r>
      <w:r>
        <w:t>.</w:t>
      </w:r>
      <w:r w:rsidR="004A0B48">
        <w:rPr>
          <w:i/>
        </w:rPr>
        <w:t xml:space="preserve">  </w:t>
      </w:r>
      <w:r>
        <w:t xml:space="preserve">Mr Morgan confirmed that </w:t>
      </w:r>
      <w:proofErr w:type="spellStart"/>
      <w:r>
        <w:t>TBHI</w:t>
      </w:r>
      <w:proofErr w:type="spellEnd"/>
      <w:r>
        <w:t>, as licensee, does not consent to the transfer of the licence to Mr and Mrs Fink.</w:t>
      </w:r>
    </w:p>
    <w:p w:rsidR="00047039" w:rsidRDefault="00047039" w:rsidP="00047039">
      <w:pPr>
        <w:pStyle w:val="NoSpacing"/>
      </w:pPr>
      <w:r>
        <w:t>By decision dated 19 May 2017 a delegate of the Director-General of Licensing refused, pursuant to section 43(1</w:t>
      </w:r>
      <w:proofErr w:type="gramStart"/>
      <w:r>
        <w:t>)(</w:t>
      </w:r>
      <w:proofErr w:type="gramEnd"/>
      <w:r>
        <w:t>b)(ii) of the Act, to authorise the transfer of the liquor licence to Mr and Ms Fink.</w:t>
      </w:r>
      <w:r w:rsidR="00C60086">
        <w:t xml:space="preserve">  In her reasons for decision the delegate noted that whilst not presently conducting business under the liquor licence the licensee</w:t>
      </w:r>
      <w:r w:rsidR="004A0B48">
        <w:t xml:space="preserve">, </w:t>
      </w:r>
      <w:proofErr w:type="spellStart"/>
      <w:r w:rsidR="004A0B48">
        <w:t>TBHI</w:t>
      </w:r>
      <w:proofErr w:type="spellEnd"/>
      <w:r w:rsidR="004A0B48">
        <w:t>,</w:t>
      </w:r>
      <w:r w:rsidR="00C60086">
        <w:t xml:space="preserve"> had communicated an intention to apply to substitute the </w:t>
      </w:r>
      <w:r w:rsidR="00173E7B">
        <w:t xml:space="preserve">liquor </w:t>
      </w:r>
      <w:r w:rsidR="00C60086">
        <w:t>licence to alternative premises</w:t>
      </w:r>
      <w:r w:rsidR="00621E0F">
        <w:t>, noting that no such applicatio</w:t>
      </w:r>
      <w:r w:rsidR="00C60086">
        <w:t>n had been lodged a</w:t>
      </w:r>
      <w:r w:rsidR="00173E7B">
        <w:t>t</w:t>
      </w:r>
      <w:r w:rsidR="00C60086">
        <w:t xml:space="preserve"> the time of publication of the decision.</w:t>
      </w:r>
    </w:p>
    <w:p w:rsidR="00621E0F" w:rsidRDefault="00C60086" w:rsidP="00047039">
      <w:pPr>
        <w:pStyle w:val="NoSpacing"/>
      </w:pPr>
      <w:r>
        <w:t xml:space="preserve">In reaching her decision the delegate </w:t>
      </w:r>
      <w:r w:rsidR="00621E0F">
        <w:t>made the following observation</w:t>
      </w:r>
      <w:r w:rsidR="004D45EB">
        <w:t>s at paragraphs 27 and 28 of the Decision Notice</w:t>
      </w:r>
      <w:r w:rsidR="00621E0F">
        <w:t>:</w:t>
      </w:r>
    </w:p>
    <w:p w:rsidR="00621E0F" w:rsidRPr="004D45EB" w:rsidRDefault="004D45EB" w:rsidP="004D45EB">
      <w:pPr>
        <w:pStyle w:val="NoSpacing"/>
        <w:numPr>
          <w:ilvl w:val="0"/>
          <w:numId w:val="0"/>
        </w:numPr>
        <w:ind w:left="993" w:hanging="426"/>
        <w:rPr>
          <w:i/>
        </w:rPr>
      </w:pPr>
      <w:r w:rsidRPr="004D45EB">
        <w:rPr>
          <w:i/>
        </w:rPr>
        <w:t xml:space="preserve">27.  </w:t>
      </w:r>
      <w:r w:rsidR="00621E0F" w:rsidRPr="004D45EB">
        <w:rPr>
          <w:i/>
        </w:rPr>
        <w:t>Unresolved commercial disputes between the applicant and the licensee arising from the previous operation of the licence which was subject to</w:t>
      </w:r>
      <w:r w:rsidR="006C5D66" w:rsidRPr="004D45EB">
        <w:rPr>
          <w:i/>
        </w:rPr>
        <w:t xml:space="preserve"> </w:t>
      </w:r>
      <w:r w:rsidR="00621E0F" w:rsidRPr="004D45EB">
        <w:rPr>
          <w:i/>
        </w:rPr>
        <w:t>t</w:t>
      </w:r>
      <w:r w:rsidR="006C5D66" w:rsidRPr="004D45EB">
        <w:rPr>
          <w:i/>
        </w:rPr>
        <w:t>he</w:t>
      </w:r>
      <w:r w:rsidR="00621E0F" w:rsidRPr="004D45EB">
        <w:rPr>
          <w:i/>
        </w:rPr>
        <w:t xml:space="preserve"> lease agreement existing between the two is not a matter for determination in this application or, pursuant to the Act.</w:t>
      </w:r>
    </w:p>
    <w:p w:rsidR="006C5D66" w:rsidRPr="004D45EB" w:rsidRDefault="004D45EB" w:rsidP="004D45EB">
      <w:pPr>
        <w:pStyle w:val="NoSpacing"/>
        <w:numPr>
          <w:ilvl w:val="0"/>
          <w:numId w:val="0"/>
        </w:numPr>
        <w:ind w:left="993" w:hanging="426"/>
        <w:rPr>
          <w:i/>
        </w:rPr>
      </w:pPr>
      <w:r w:rsidRPr="004D45EB">
        <w:rPr>
          <w:i/>
        </w:rPr>
        <w:t xml:space="preserve">28.  </w:t>
      </w:r>
      <w:r w:rsidR="00621E0F" w:rsidRPr="004D45EB">
        <w:rPr>
          <w:i/>
        </w:rPr>
        <w:t>I am not persuaded tha</w:t>
      </w:r>
      <w:r w:rsidR="006C5D66" w:rsidRPr="004D45EB">
        <w:rPr>
          <w:i/>
        </w:rPr>
        <w:t>t</w:t>
      </w:r>
      <w:r w:rsidR="00621E0F" w:rsidRPr="004D45EB">
        <w:rPr>
          <w:i/>
        </w:rPr>
        <w:t xml:space="preserve"> the transfer of the liquor licence in the present circumstances should be authorised; that is, in the absence</w:t>
      </w:r>
      <w:r w:rsidR="006C5D66" w:rsidRPr="004D45EB">
        <w:rPr>
          <w:i/>
        </w:rPr>
        <w:t xml:space="preserve"> </w:t>
      </w:r>
      <w:r w:rsidR="00621E0F" w:rsidRPr="004D45EB">
        <w:rPr>
          <w:i/>
        </w:rPr>
        <w:t xml:space="preserve">of the consent of the current licensee, and where the applicant is not precluded </w:t>
      </w:r>
      <w:r w:rsidR="003B61DF" w:rsidRPr="004D45EB">
        <w:rPr>
          <w:i/>
        </w:rPr>
        <w:t>from applying</w:t>
      </w:r>
      <w:r w:rsidR="006C5D66" w:rsidRPr="004D45EB">
        <w:rPr>
          <w:i/>
        </w:rPr>
        <w:t xml:space="preserve"> for a licence in accordance with section 24 of the Act.</w:t>
      </w:r>
    </w:p>
    <w:p w:rsidR="00585C2A" w:rsidRPr="000B150E" w:rsidRDefault="004415DE" w:rsidP="00527B62">
      <w:pPr>
        <w:pStyle w:val="Heading2"/>
        <w:rPr>
          <w:rFonts w:ascii="Lato" w:hAnsi="Lato"/>
          <w:sz w:val="22"/>
          <w:szCs w:val="22"/>
        </w:rPr>
      </w:pPr>
      <w:r w:rsidRPr="000B150E">
        <w:rPr>
          <w:rFonts w:ascii="Lato" w:hAnsi="Lato"/>
          <w:sz w:val="22"/>
          <w:szCs w:val="22"/>
        </w:rPr>
        <w:t>CURRENT SITUATION</w:t>
      </w:r>
    </w:p>
    <w:p w:rsidR="00F631F2" w:rsidRPr="00A25CCD" w:rsidRDefault="00F40B96" w:rsidP="00047039">
      <w:pPr>
        <w:pStyle w:val="NoSpacing"/>
      </w:pPr>
      <w:r w:rsidRPr="000B150E">
        <w:t xml:space="preserve">By </w:t>
      </w:r>
      <w:r w:rsidR="00C0473C" w:rsidRPr="000B150E">
        <w:t>a</w:t>
      </w:r>
      <w:r w:rsidR="006C5D66">
        <w:t>pplicatio</w:t>
      </w:r>
      <w:r w:rsidR="00C0473C" w:rsidRPr="000B150E">
        <w:t>n</w:t>
      </w:r>
      <w:r w:rsidR="006C5D66">
        <w:t xml:space="preserve"> </w:t>
      </w:r>
      <w:r w:rsidR="002C0156">
        <w:t xml:space="preserve">dated </w:t>
      </w:r>
      <w:r w:rsidR="006C5D66">
        <w:t>13 June 2017, Mr Marcus Spazzapan of Ward Keller Lawyers applied</w:t>
      </w:r>
      <w:r w:rsidR="004A0B48">
        <w:t>,</w:t>
      </w:r>
      <w:r w:rsidR="006C5D66">
        <w:t xml:space="preserve"> on behalf of Mr and Ms Fink for a review</w:t>
      </w:r>
      <w:r w:rsidR="00657381">
        <w:t xml:space="preserve"> by the Director-General</w:t>
      </w:r>
      <w:r w:rsidR="006C5D66">
        <w:t xml:space="preserve"> of the delegate’s decision.  In support of that application Mr Spazzapan</w:t>
      </w:r>
      <w:r w:rsidR="00ED248D">
        <w:t xml:space="preserve"> made the following submissions:</w:t>
      </w:r>
    </w:p>
    <w:p w:rsidR="00EC72F3" w:rsidRDefault="006C5D66" w:rsidP="002C0156">
      <w:pPr>
        <w:pStyle w:val="NoSpacing"/>
        <w:numPr>
          <w:ilvl w:val="0"/>
          <w:numId w:val="9"/>
        </w:numPr>
        <w:ind w:left="709" w:hanging="425"/>
      </w:pPr>
      <w:r>
        <w:t>The Applicants are the registered owners of the Premises and liquor licence number 81200994 attaches to the Premises</w:t>
      </w:r>
      <w:r w:rsidR="006031ED" w:rsidRPr="00A25CCD">
        <w:t>.</w:t>
      </w:r>
      <w:r>
        <w:t xml:space="preserve">  In </w:t>
      </w:r>
      <w:r w:rsidR="007C4943">
        <w:t>2003 the Applicants leased the P</w:t>
      </w:r>
      <w:r>
        <w:t xml:space="preserve">remises and facilitated the transfer of the liquor licence to </w:t>
      </w:r>
      <w:proofErr w:type="spellStart"/>
      <w:r>
        <w:t>Spicedew</w:t>
      </w:r>
      <w:proofErr w:type="spellEnd"/>
      <w:r>
        <w:t xml:space="preserve"> Pty Ltd which was evidenced by the lease agreement registered with the Land Titles Office.  In 2009 </w:t>
      </w:r>
      <w:proofErr w:type="spellStart"/>
      <w:r>
        <w:t>Spicedew</w:t>
      </w:r>
      <w:proofErr w:type="spellEnd"/>
      <w:r>
        <w:t xml:space="preserve"> Pty Ltd assigned the lease and facilitated the transfer of the liquor licence to </w:t>
      </w:r>
      <w:proofErr w:type="spellStart"/>
      <w:r>
        <w:t>TBHI</w:t>
      </w:r>
      <w:proofErr w:type="spellEnd"/>
      <w:r>
        <w:t xml:space="preserve"> with th</w:t>
      </w:r>
      <w:r w:rsidR="004A0B48">
        <w:t>e consent of the l</w:t>
      </w:r>
      <w:r>
        <w:t xml:space="preserve">essors.  In furtherance of the said consent </w:t>
      </w:r>
      <w:proofErr w:type="spellStart"/>
      <w:r>
        <w:t>TBHI</w:t>
      </w:r>
      <w:proofErr w:type="spellEnd"/>
      <w:r>
        <w:t xml:space="preserve"> its directors and guarantors executed the Consent.</w:t>
      </w:r>
    </w:p>
    <w:p w:rsidR="006C5D66" w:rsidRDefault="00E21D21" w:rsidP="002C0156">
      <w:pPr>
        <w:pStyle w:val="NoSpacing"/>
        <w:numPr>
          <w:ilvl w:val="0"/>
          <w:numId w:val="9"/>
        </w:numPr>
        <w:ind w:left="709" w:hanging="425"/>
      </w:pPr>
      <w:proofErr w:type="spellStart"/>
      <w:r>
        <w:t>TBHI</w:t>
      </w:r>
      <w:proofErr w:type="spellEnd"/>
      <w:r>
        <w:t xml:space="preserve"> pursuant to claus</w:t>
      </w:r>
      <w:r w:rsidR="004A0B48">
        <w:t>e 5 (Power of Attorney) of the C</w:t>
      </w:r>
      <w:r>
        <w:t>onsent irrevocably appoints the</w:t>
      </w:r>
      <w:r w:rsidR="004A0B48">
        <w:t xml:space="preserve"> lessors</w:t>
      </w:r>
      <w:r>
        <w:t xml:space="preserve"> to be the lawful attorneys of </w:t>
      </w:r>
      <w:proofErr w:type="spellStart"/>
      <w:r>
        <w:t>TBHI</w:t>
      </w:r>
      <w:proofErr w:type="spellEnd"/>
      <w:r>
        <w:t xml:space="preserve"> generally to do execute and perform any act, deed, matter or thing relative to the demised premises as fully and effectually as </w:t>
      </w:r>
      <w:proofErr w:type="spellStart"/>
      <w:r>
        <w:t>TBHI</w:t>
      </w:r>
      <w:proofErr w:type="spellEnd"/>
      <w:r>
        <w:t xml:space="preserve"> coul</w:t>
      </w:r>
      <w:r w:rsidR="00345562">
        <w:t>d do, in the event the L</w:t>
      </w:r>
      <w:r>
        <w:t>ease was determined by the lessor.</w:t>
      </w:r>
    </w:p>
    <w:p w:rsidR="00E21D21" w:rsidRDefault="00E21D21" w:rsidP="002C0156">
      <w:pPr>
        <w:pStyle w:val="NoSpacing"/>
        <w:numPr>
          <w:ilvl w:val="0"/>
          <w:numId w:val="9"/>
        </w:numPr>
        <w:ind w:left="709" w:hanging="425"/>
      </w:pPr>
      <w:r>
        <w:t>T</w:t>
      </w:r>
      <w:r w:rsidR="004A0B48">
        <w:t>he L</w:t>
      </w:r>
      <w:r>
        <w:t>ease was determined by the Lessor</w:t>
      </w:r>
      <w:r w:rsidR="004A0B48">
        <w:t>s</w:t>
      </w:r>
      <w:r>
        <w:t>/Applicants on or about 1/12/16.</w:t>
      </w:r>
    </w:p>
    <w:p w:rsidR="00E21D21" w:rsidRDefault="00E21D21" w:rsidP="002C0156">
      <w:pPr>
        <w:pStyle w:val="NoSpacing"/>
        <w:numPr>
          <w:ilvl w:val="0"/>
          <w:numId w:val="9"/>
        </w:numPr>
        <w:ind w:left="709" w:hanging="425"/>
      </w:pPr>
      <w:r>
        <w:t xml:space="preserve">The Applicants pursuant to the irrevocable power of attorney granted to them by </w:t>
      </w:r>
      <w:proofErr w:type="spellStart"/>
      <w:r>
        <w:t>TBHI</w:t>
      </w:r>
      <w:proofErr w:type="spellEnd"/>
      <w:r>
        <w:t xml:space="preserve"> made application as licensee of the liquor licence pursuant to the power of attorney to transfer the liquor licence to itself as it was entitled to do pursuant to clause 14 of the Lease and clause 5 of the Consent.</w:t>
      </w:r>
    </w:p>
    <w:p w:rsidR="00E21D21" w:rsidRDefault="002C0156" w:rsidP="002C0156">
      <w:pPr>
        <w:pStyle w:val="NoSpacing"/>
        <w:numPr>
          <w:ilvl w:val="0"/>
          <w:numId w:val="9"/>
        </w:numPr>
        <w:ind w:left="709" w:hanging="425"/>
      </w:pPr>
      <w:r>
        <w:t>C</w:t>
      </w:r>
      <w:r w:rsidR="004A0B48">
        <w:t>lause 14 of the L</w:t>
      </w:r>
      <w:r>
        <w:t>ease sets out the rights</w:t>
      </w:r>
      <w:r w:rsidR="004A0B48">
        <w:t xml:space="preserve"> duties and obligations of the l</w:t>
      </w:r>
      <w:r>
        <w:t xml:space="preserve">essee </w:t>
      </w:r>
      <w:proofErr w:type="spellStart"/>
      <w:r>
        <w:t>TBHI</w:t>
      </w:r>
      <w:proofErr w:type="spellEnd"/>
      <w:r>
        <w:t xml:space="preserve"> in relation to the liquor licence between </w:t>
      </w:r>
      <w:proofErr w:type="spellStart"/>
      <w:r>
        <w:t>TBHI</w:t>
      </w:r>
      <w:proofErr w:type="spellEnd"/>
      <w:r>
        <w:t xml:space="preserve"> and the Applicants.</w:t>
      </w:r>
    </w:p>
    <w:p w:rsidR="002C0156" w:rsidRDefault="002C0156" w:rsidP="002C0156">
      <w:pPr>
        <w:pStyle w:val="NoSpacing"/>
        <w:numPr>
          <w:ilvl w:val="0"/>
          <w:numId w:val="9"/>
        </w:numPr>
        <w:ind w:left="709" w:hanging="425"/>
      </w:pPr>
      <w:r>
        <w:t>The fact that the Applicant i</w:t>
      </w:r>
      <w:r w:rsidR="004A0B48">
        <w:t>s not precluded from making an application for a liquor l</w:t>
      </w:r>
      <w:r>
        <w:t xml:space="preserve">icence pursuant to section 24 of the </w:t>
      </w:r>
      <w:r w:rsidRPr="004A0B48">
        <w:rPr>
          <w:i/>
        </w:rPr>
        <w:t>Liquor Act</w:t>
      </w:r>
      <w:r>
        <w:t xml:space="preserve"> is not a relevant consideration.</w:t>
      </w:r>
    </w:p>
    <w:p w:rsidR="004415DE" w:rsidRPr="000B150E" w:rsidRDefault="00DE518D" w:rsidP="004415DE">
      <w:pPr>
        <w:pStyle w:val="Heading2"/>
        <w:rPr>
          <w:rFonts w:ascii="Lato" w:hAnsi="Lato"/>
          <w:sz w:val="22"/>
          <w:szCs w:val="22"/>
        </w:rPr>
      </w:pPr>
      <w:r w:rsidRPr="000B150E">
        <w:rPr>
          <w:rFonts w:ascii="Lato" w:hAnsi="Lato"/>
          <w:sz w:val="22"/>
          <w:szCs w:val="22"/>
        </w:rPr>
        <w:t>CONSI</w:t>
      </w:r>
      <w:r w:rsidR="004415DE" w:rsidRPr="000B150E">
        <w:rPr>
          <w:rFonts w:ascii="Lato" w:hAnsi="Lato"/>
          <w:sz w:val="22"/>
          <w:szCs w:val="22"/>
        </w:rPr>
        <w:t>DERATION OF THE ISSUES</w:t>
      </w:r>
    </w:p>
    <w:p w:rsidR="00335E52" w:rsidRDefault="00335E52" w:rsidP="00335E52">
      <w:pPr>
        <w:pStyle w:val="NoSpacing"/>
      </w:pPr>
      <w:r>
        <w:t xml:space="preserve">The primary issue to be </w:t>
      </w:r>
      <w:r w:rsidR="00771D02">
        <w:t xml:space="preserve">resolved </w:t>
      </w:r>
      <w:r w:rsidR="00771D02" w:rsidRPr="00335E52">
        <w:t>in</w:t>
      </w:r>
      <w:r w:rsidR="00024E62">
        <w:t xml:space="preserve"> the context of this review of the delegate’s decision </w:t>
      </w:r>
      <w:r>
        <w:t xml:space="preserve">is </w:t>
      </w:r>
      <w:r w:rsidRPr="00335E52">
        <w:t>whether an enduring power of</w:t>
      </w:r>
      <w:r w:rsidR="004A0B48">
        <w:t xml:space="preserve"> attorney that existed under </w:t>
      </w:r>
      <w:r w:rsidR="00657381">
        <w:t xml:space="preserve">both </w:t>
      </w:r>
      <w:r w:rsidR="004A0B48">
        <w:t>the L</w:t>
      </w:r>
      <w:r w:rsidRPr="00335E52">
        <w:t xml:space="preserve">ease </w:t>
      </w:r>
      <w:r w:rsidR="00657381">
        <w:t xml:space="preserve">and the Consent </w:t>
      </w:r>
      <w:r w:rsidRPr="00335E52">
        <w:t>can continue to have effect after the term</w:t>
      </w:r>
      <w:r w:rsidR="004A0B48">
        <w:t>ination or expiry of the L</w:t>
      </w:r>
      <w:r>
        <w:t>ease</w:t>
      </w:r>
      <w:r w:rsidR="00DD6871">
        <w:t xml:space="preserve">.  </w:t>
      </w:r>
      <w:r>
        <w:t>Mr and Mrs Fink, the l</w:t>
      </w:r>
      <w:r w:rsidRPr="00335E52">
        <w:t>essor</w:t>
      </w:r>
      <w:r>
        <w:t xml:space="preserve"> and</w:t>
      </w:r>
      <w:r w:rsidRPr="00335E52">
        <w:t xml:space="preserve"> </w:t>
      </w:r>
      <w:proofErr w:type="spellStart"/>
      <w:r w:rsidR="00DD6871">
        <w:t>donee</w:t>
      </w:r>
      <w:proofErr w:type="spellEnd"/>
      <w:r w:rsidR="00DD6871">
        <w:t xml:space="preserve"> of the power of attorney, have purported to exercise </w:t>
      </w:r>
      <w:r w:rsidRPr="00335E52">
        <w:t xml:space="preserve">the power of attorney </w:t>
      </w:r>
      <w:r w:rsidR="004A0B48">
        <w:lastRenderedPageBreak/>
        <w:t>contained in the L</w:t>
      </w:r>
      <w:r w:rsidR="00657381">
        <w:t xml:space="preserve">ease </w:t>
      </w:r>
      <w:r w:rsidR="00DD6871">
        <w:t>to apply to have the</w:t>
      </w:r>
      <w:r w:rsidRPr="00335E52">
        <w:t xml:space="preserve"> liquor licence for the </w:t>
      </w:r>
      <w:r w:rsidR="007C4943">
        <w:t>Premises</w:t>
      </w:r>
      <w:r>
        <w:t xml:space="preserve"> transferred from</w:t>
      </w:r>
      <w:r w:rsidRPr="00335E52">
        <w:t xml:space="preserve"> </w:t>
      </w:r>
      <w:proofErr w:type="spellStart"/>
      <w:r>
        <w:t>TBHI</w:t>
      </w:r>
      <w:proofErr w:type="spellEnd"/>
      <w:r w:rsidRPr="00335E52">
        <w:t xml:space="preserve"> </w:t>
      </w:r>
      <w:r>
        <w:t>to them</w:t>
      </w:r>
      <w:r w:rsidR="00024E62">
        <w:t>selves</w:t>
      </w:r>
      <w:r>
        <w:t xml:space="preserve">.  </w:t>
      </w:r>
      <w:proofErr w:type="spellStart"/>
      <w:r>
        <w:t>TBHI</w:t>
      </w:r>
      <w:proofErr w:type="spellEnd"/>
      <w:r w:rsidRPr="00335E52">
        <w:t xml:space="preserve"> does not consent to the </w:t>
      </w:r>
      <w:r>
        <w:t>transfer</w:t>
      </w:r>
      <w:r w:rsidRPr="00335E52">
        <w:t xml:space="preserve"> and has advised </w:t>
      </w:r>
      <w:r>
        <w:t>of the</w:t>
      </w:r>
      <w:r w:rsidRPr="00335E52">
        <w:t xml:space="preserve"> intention to apply to </w:t>
      </w:r>
      <w:r w:rsidR="00DD6871">
        <w:t>substitute</w:t>
      </w:r>
      <w:r w:rsidRPr="00335E52">
        <w:t xml:space="preserve"> the </w:t>
      </w:r>
      <w:r w:rsidR="00DD6871">
        <w:t>liquor licence to alternative</w:t>
      </w:r>
      <w:r w:rsidRPr="00335E52">
        <w:t xml:space="preserve"> premises. </w:t>
      </w:r>
    </w:p>
    <w:p w:rsidR="00DD6871" w:rsidRPr="004373EE" w:rsidRDefault="00DD6871" w:rsidP="00DD6871">
      <w:pPr>
        <w:pStyle w:val="NoSpacing"/>
      </w:pPr>
      <w:r w:rsidRPr="004373EE">
        <w:t xml:space="preserve">In executing the application to transfer the liquor licence on behalf of </w:t>
      </w:r>
      <w:proofErr w:type="spellStart"/>
      <w:r w:rsidRPr="004373EE">
        <w:t>TBHI</w:t>
      </w:r>
      <w:proofErr w:type="spellEnd"/>
      <w:r w:rsidRPr="004373EE">
        <w:t xml:space="preserve">, Mr and Ms Fink rely on the power of attorney contained in clause </w:t>
      </w:r>
      <w:r w:rsidR="00661EC9">
        <w:t>14.4 of the L</w:t>
      </w:r>
      <w:r w:rsidRPr="004373EE">
        <w:t>ease agreement which provides:</w:t>
      </w:r>
    </w:p>
    <w:p w:rsidR="00DD6871" w:rsidRPr="004373EE" w:rsidRDefault="00DD6871" w:rsidP="00DD6871">
      <w:pPr>
        <w:pStyle w:val="NoSpacing"/>
        <w:numPr>
          <w:ilvl w:val="0"/>
          <w:numId w:val="0"/>
        </w:numPr>
        <w:ind w:left="1134" w:hanging="425"/>
        <w:rPr>
          <w:i/>
        </w:rPr>
      </w:pPr>
      <w:proofErr w:type="gramStart"/>
      <w:r w:rsidRPr="004373EE">
        <w:rPr>
          <w:b/>
          <w:i/>
        </w:rPr>
        <w:t>14.4</w:t>
      </w:r>
      <w:r w:rsidRPr="004373EE">
        <w:rPr>
          <w:i/>
        </w:rPr>
        <w:t xml:space="preserve">  </w:t>
      </w:r>
      <w:r w:rsidRPr="004373EE">
        <w:rPr>
          <w:b/>
          <w:i/>
        </w:rPr>
        <w:t>Lessee’s</w:t>
      </w:r>
      <w:proofErr w:type="gramEnd"/>
      <w:r w:rsidRPr="004373EE">
        <w:rPr>
          <w:b/>
          <w:i/>
        </w:rPr>
        <w:t xml:space="preserve"> Attorney</w:t>
      </w:r>
    </w:p>
    <w:p w:rsidR="00DD6871" w:rsidRPr="004373EE" w:rsidRDefault="00DD6871" w:rsidP="00DD6871">
      <w:pPr>
        <w:pStyle w:val="NoSpacing"/>
        <w:numPr>
          <w:ilvl w:val="0"/>
          <w:numId w:val="0"/>
        </w:numPr>
        <w:ind w:left="567"/>
        <w:rPr>
          <w:i/>
        </w:rPr>
      </w:pPr>
      <w:r w:rsidRPr="004373EE">
        <w:rPr>
          <w:i/>
        </w:rPr>
        <w:t>In consideration of the Lessor entering into these presents, the Lessee irrevocably appoints the Lessor and each of the officers of the Lessor (if the Lessor is a corporate body) jointly and each of them separately the attorney and attorneys of the Lessee for and on behalf of and in the name of the Lessee to do all acts, matters and things:</w:t>
      </w:r>
    </w:p>
    <w:p w:rsidR="00DD6871" w:rsidRPr="004373EE" w:rsidRDefault="001873B0" w:rsidP="00DD6871">
      <w:pPr>
        <w:pStyle w:val="NoSpacing"/>
        <w:numPr>
          <w:ilvl w:val="0"/>
          <w:numId w:val="0"/>
        </w:numPr>
        <w:ind w:left="2127" w:hanging="851"/>
        <w:rPr>
          <w:i/>
        </w:rPr>
      </w:pPr>
      <w:r>
        <w:rPr>
          <w:i/>
        </w:rPr>
        <w:t>14.4.1</w:t>
      </w:r>
      <w:r>
        <w:rPr>
          <w:i/>
        </w:rPr>
        <w:tab/>
      </w:r>
      <w:proofErr w:type="gramStart"/>
      <w:r w:rsidR="00DD6871" w:rsidRPr="004373EE">
        <w:rPr>
          <w:i/>
        </w:rPr>
        <w:t>necessary</w:t>
      </w:r>
      <w:proofErr w:type="gramEnd"/>
      <w:r w:rsidR="00DD6871" w:rsidRPr="004373EE">
        <w:rPr>
          <w:i/>
        </w:rPr>
        <w:t xml:space="preserve"> to keep a valid Licence in force in respect of the Premises;</w:t>
      </w:r>
    </w:p>
    <w:p w:rsidR="00DD6871" w:rsidRPr="004373EE" w:rsidRDefault="001873B0" w:rsidP="00DD6871">
      <w:pPr>
        <w:pStyle w:val="NoSpacing"/>
        <w:numPr>
          <w:ilvl w:val="0"/>
          <w:numId w:val="0"/>
        </w:numPr>
        <w:ind w:left="2127" w:hanging="851"/>
        <w:rPr>
          <w:i/>
        </w:rPr>
      </w:pPr>
      <w:r>
        <w:rPr>
          <w:i/>
        </w:rPr>
        <w:t>14.4.2</w:t>
      </w:r>
      <w:r>
        <w:rPr>
          <w:i/>
        </w:rPr>
        <w:tab/>
      </w:r>
      <w:proofErr w:type="gramStart"/>
      <w:r w:rsidR="00DD6871" w:rsidRPr="004373EE">
        <w:rPr>
          <w:i/>
        </w:rPr>
        <w:t>required</w:t>
      </w:r>
      <w:proofErr w:type="gramEnd"/>
      <w:r w:rsidR="00DD6871" w:rsidRPr="004373EE">
        <w:rPr>
          <w:i/>
        </w:rPr>
        <w:t xml:space="preserve"> to </w:t>
      </w:r>
      <w:r w:rsidR="00657381">
        <w:rPr>
          <w:i/>
        </w:rPr>
        <w:t>be done pursuant to the Liquor A</w:t>
      </w:r>
      <w:r w:rsidR="00DD6871" w:rsidRPr="004373EE">
        <w:rPr>
          <w:i/>
        </w:rPr>
        <w:t>ct or by the Commission in respect of the Licence;</w:t>
      </w:r>
    </w:p>
    <w:p w:rsidR="00DD6871" w:rsidRPr="004373EE" w:rsidRDefault="001873B0" w:rsidP="00DD6871">
      <w:pPr>
        <w:pStyle w:val="NoSpacing"/>
        <w:numPr>
          <w:ilvl w:val="0"/>
          <w:numId w:val="0"/>
        </w:numPr>
        <w:ind w:left="2127" w:hanging="851"/>
        <w:rPr>
          <w:i/>
        </w:rPr>
      </w:pPr>
      <w:r>
        <w:rPr>
          <w:i/>
        </w:rPr>
        <w:t>14.4.3</w:t>
      </w:r>
      <w:r>
        <w:rPr>
          <w:i/>
        </w:rPr>
        <w:tab/>
      </w:r>
      <w:proofErr w:type="gramStart"/>
      <w:r w:rsidR="00DD6871" w:rsidRPr="004373EE">
        <w:rPr>
          <w:i/>
        </w:rPr>
        <w:t>required</w:t>
      </w:r>
      <w:proofErr w:type="gramEnd"/>
      <w:r w:rsidR="00DD6871" w:rsidRPr="004373EE">
        <w:rPr>
          <w:i/>
        </w:rPr>
        <w:t xml:space="preserve"> to cause the Licence to be transferred to any person (including the Lessor);</w:t>
      </w:r>
    </w:p>
    <w:p w:rsidR="00DD6871" w:rsidRPr="004373EE" w:rsidRDefault="001873B0" w:rsidP="00DD6871">
      <w:pPr>
        <w:pStyle w:val="NoSpacing"/>
        <w:numPr>
          <w:ilvl w:val="0"/>
          <w:numId w:val="0"/>
        </w:numPr>
        <w:ind w:left="2127" w:hanging="851"/>
        <w:rPr>
          <w:i/>
        </w:rPr>
      </w:pPr>
      <w:r>
        <w:rPr>
          <w:i/>
        </w:rPr>
        <w:t>14.4.4</w:t>
      </w:r>
      <w:r>
        <w:rPr>
          <w:i/>
        </w:rPr>
        <w:tab/>
      </w:r>
      <w:proofErr w:type="gramStart"/>
      <w:r w:rsidR="00DD6871" w:rsidRPr="004373EE">
        <w:rPr>
          <w:i/>
        </w:rPr>
        <w:t>necessary</w:t>
      </w:r>
      <w:proofErr w:type="gramEnd"/>
      <w:r w:rsidR="00DD6871" w:rsidRPr="004373EE">
        <w:rPr>
          <w:i/>
        </w:rPr>
        <w:t xml:space="preserve"> to renew the licence;</w:t>
      </w:r>
    </w:p>
    <w:p w:rsidR="00DD6871" w:rsidRPr="004373EE" w:rsidRDefault="001873B0" w:rsidP="00DD6871">
      <w:pPr>
        <w:pStyle w:val="NoSpacing"/>
        <w:numPr>
          <w:ilvl w:val="0"/>
          <w:numId w:val="0"/>
        </w:numPr>
        <w:ind w:left="2127" w:hanging="851"/>
        <w:rPr>
          <w:i/>
        </w:rPr>
      </w:pPr>
      <w:r>
        <w:rPr>
          <w:i/>
        </w:rPr>
        <w:t>14.4.5</w:t>
      </w:r>
      <w:r>
        <w:rPr>
          <w:i/>
        </w:rPr>
        <w:tab/>
      </w:r>
      <w:proofErr w:type="gramStart"/>
      <w:r w:rsidR="00DD6871" w:rsidRPr="004373EE">
        <w:rPr>
          <w:i/>
        </w:rPr>
        <w:t>required</w:t>
      </w:r>
      <w:proofErr w:type="gramEnd"/>
      <w:r w:rsidR="00DD6871" w:rsidRPr="004373EE">
        <w:rPr>
          <w:i/>
        </w:rPr>
        <w:t xml:space="preserve"> in order to appear personally or by counsel or lawyers before the Commission or any court having jurisdiction in respect of any hearing or proceeding affecting the licence.</w:t>
      </w:r>
    </w:p>
    <w:p w:rsidR="00DD6871" w:rsidRPr="004373EE" w:rsidRDefault="00DD6871" w:rsidP="00DD6871">
      <w:pPr>
        <w:pStyle w:val="NoSpacing"/>
      </w:pPr>
      <w:r w:rsidRPr="004373EE">
        <w:t xml:space="preserve">In addition, </w:t>
      </w:r>
      <w:r w:rsidR="004373EE" w:rsidRPr="004373EE">
        <w:t>t</w:t>
      </w:r>
      <w:r w:rsidRPr="004373EE">
        <w:t>he Consent also includes a power of attorney clause at clause 5 which provides:</w:t>
      </w:r>
    </w:p>
    <w:p w:rsidR="00DD6871" w:rsidRPr="004373EE" w:rsidRDefault="00DD6871" w:rsidP="00DD6871">
      <w:pPr>
        <w:pStyle w:val="NoSpacing"/>
        <w:numPr>
          <w:ilvl w:val="0"/>
          <w:numId w:val="0"/>
        </w:numPr>
        <w:ind w:left="1134" w:hanging="425"/>
        <w:rPr>
          <w:b/>
          <w:i/>
        </w:rPr>
      </w:pPr>
      <w:r w:rsidRPr="004373EE">
        <w:rPr>
          <w:b/>
          <w:i/>
        </w:rPr>
        <w:t>5.  POWER OF ATTORNEY</w:t>
      </w:r>
    </w:p>
    <w:p w:rsidR="00DD6871" w:rsidRPr="004373EE" w:rsidRDefault="00DD6871" w:rsidP="00DD6871">
      <w:pPr>
        <w:pStyle w:val="NoSpacing"/>
        <w:numPr>
          <w:ilvl w:val="0"/>
          <w:numId w:val="0"/>
        </w:numPr>
        <w:ind w:left="709"/>
        <w:rPr>
          <w:i/>
        </w:rPr>
      </w:pPr>
      <w:proofErr w:type="spellStart"/>
      <w:r w:rsidRPr="004373EE">
        <w:rPr>
          <w:i/>
        </w:rPr>
        <w:t>TBH</w:t>
      </w:r>
      <w:proofErr w:type="spellEnd"/>
      <w:r w:rsidRPr="004373EE">
        <w:rPr>
          <w:i/>
        </w:rPr>
        <w:t xml:space="preserve"> irrevocably appoints the Lessor and </w:t>
      </w:r>
      <w:r w:rsidR="00657381">
        <w:rPr>
          <w:i/>
        </w:rPr>
        <w:t>its solicitors in the Northern T</w:t>
      </w:r>
      <w:r w:rsidRPr="004373EE">
        <w:rPr>
          <w:i/>
        </w:rPr>
        <w:t xml:space="preserve">erritory of Australia and, if the Lessor is a Company, its secretary and each of its directors for the time being and their and each of their several attorneys and all duly authorised officers of the Lessor, jointly and in each of them severally to be the true and lawful attorney and attorneys of </w:t>
      </w:r>
      <w:proofErr w:type="spellStart"/>
      <w:r w:rsidRPr="004373EE">
        <w:rPr>
          <w:i/>
        </w:rPr>
        <w:t>TBH</w:t>
      </w:r>
      <w:proofErr w:type="spellEnd"/>
      <w:r w:rsidRPr="004373EE">
        <w:rPr>
          <w:i/>
        </w:rPr>
        <w:t xml:space="preserve"> on behalf of and in the name of and as the act and deed of </w:t>
      </w:r>
      <w:proofErr w:type="spellStart"/>
      <w:r w:rsidRPr="004373EE">
        <w:rPr>
          <w:i/>
        </w:rPr>
        <w:t>TBH</w:t>
      </w:r>
      <w:proofErr w:type="spellEnd"/>
      <w:r w:rsidRPr="004373EE">
        <w:rPr>
          <w:i/>
        </w:rPr>
        <w:t>:</w:t>
      </w:r>
    </w:p>
    <w:p w:rsidR="00DD6871" w:rsidRPr="004373EE" w:rsidRDefault="00DD6871" w:rsidP="00DD6871">
      <w:pPr>
        <w:pStyle w:val="NoSpacing"/>
        <w:numPr>
          <w:ilvl w:val="0"/>
          <w:numId w:val="0"/>
        </w:numPr>
        <w:ind w:left="1134" w:hanging="425"/>
        <w:rPr>
          <w:i/>
        </w:rPr>
      </w:pPr>
      <w:proofErr w:type="gramStart"/>
      <w:r w:rsidRPr="004373EE">
        <w:rPr>
          <w:i/>
        </w:rPr>
        <w:t>5.1  to</w:t>
      </w:r>
      <w:proofErr w:type="gramEnd"/>
      <w:r w:rsidRPr="004373EE">
        <w:rPr>
          <w:i/>
        </w:rPr>
        <w:t xml:space="preserve"> execute a surrender or assignment of the Lease and to do all such things and sign all such documents as may be necessary to obtain the registration thereof;</w:t>
      </w:r>
    </w:p>
    <w:p w:rsidR="00DD6871" w:rsidRPr="004373EE" w:rsidRDefault="00DD6871" w:rsidP="00DD6871">
      <w:pPr>
        <w:pStyle w:val="NoSpacing"/>
        <w:numPr>
          <w:ilvl w:val="0"/>
          <w:numId w:val="0"/>
        </w:numPr>
        <w:ind w:left="1134" w:hanging="425"/>
        <w:rPr>
          <w:i/>
        </w:rPr>
      </w:pPr>
      <w:proofErr w:type="gramStart"/>
      <w:r w:rsidRPr="004373EE">
        <w:rPr>
          <w:i/>
        </w:rPr>
        <w:t>5.2  to</w:t>
      </w:r>
      <w:proofErr w:type="gramEnd"/>
      <w:r w:rsidRPr="004373EE">
        <w:rPr>
          <w:i/>
        </w:rPr>
        <w:t xml:space="preserve"> appoint from time to time a substitute or substitutes and to revoke at pleasure such appointment or appointments; and</w:t>
      </w:r>
    </w:p>
    <w:p w:rsidR="00DD6871" w:rsidRPr="004373EE" w:rsidRDefault="00DD6871" w:rsidP="00DD6871">
      <w:pPr>
        <w:pStyle w:val="NoSpacing"/>
        <w:numPr>
          <w:ilvl w:val="0"/>
          <w:numId w:val="0"/>
        </w:numPr>
        <w:ind w:left="1134" w:hanging="425"/>
        <w:rPr>
          <w:i/>
        </w:rPr>
      </w:pPr>
      <w:proofErr w:type="gramStart"/>
      <w:r w:rsidRPr="004373EE">
        <w:rPr>
          <w:i/>
        </w:rPr>
        <w:t>5.3  generally</w:t>
      </w:r>
      <w:proofErr w:type="gramEnd"/>
      <w:r w:rsidRPr="004373EE">
        <w:rPr>
          <w:i/>
        </w:rPr>
        <w:t xml:space="preserve"> to do, execute and perform any act, deed, matter, or thing relative to the Demised Premises as fully and effectually as </w:t>
      </w:r>
      <w:proofErr w:type="spellStart"/>
      <w:r w:rsidRPr="004373EE">
        <w:rPr>
          <w:i/>
        </w:rPr>
        <w:t>TBH</w:t>
      </w:r>
      <w:proofErr w:type="spellEnd"/>
      <w:r w:rsidRPr="004373EE">
        <w:rPr>
          <w:i/>
        </w:rPr>
        <w:t xml:space="preserve"> could do:</w:t>
      </w:r>
    </w:p>
    <w:p w:rsidR="00DD6871" w:rsidRPr="004373EE" w:rsidRDefault="00DD6871" w:rsidP="004373EE">
      <w:pPr>
        <w:pStyle w:val="NoSpacing"/>
        <w:numPr>
          <w:ilvl w:val="0"/>
          <w:numId w:val="0"/>
        </w:numPr>
        <w:ind w:left="709"/>
        <w:rPr>
          <w:i/>
        </w:rPr>
      </w:pPr>
      <w:r w:rsidRPr="004373EE">
        <w:rPr>
          <w:i/>
        </w:rPr>
        <w:t xml:space="preserve">PROVIDED THAT these powers shall not be exercised until the lease is determined by the Lessor (sufficient proof whereof shall be a statutory declaration of the attorney or attorneys exercising the power) and </w:t>
      </w:r>
      <w:proofErr w:type="spellStart"/>
      <w:r w:rsidRPr="004373EE">
        <w:rPr>
          <w:i/>
        </w:rPr>
        <w:t>TBH</w:t>
      </w:r>
      <w:proofErr w:type="spellEnd"/>
      <w:r w:rsidRPr="004373EE">
        <w:rPr>
          <w:i/>
        </w:rPr>
        <w:t xml:space="preserve"> covenants to ratify and confirm all such acts, deeds, matters and things of the attorney or attorneys or any substitute or substitutes and to keep the Lessor indemnified for all fees, costs, charges and expenses in any way incurred or payable by the Lessor or attorney or attorneys or substitute or substitutes in the exercise of these powers or as a result of the default of </w:t>
      </w:r>
      <w:proofErr w:type="spellStart"/>
      <w:r w:rsidRPr="004373EE">
        <w:rPr>
          <w:i/>
        </w:rPr>
        <w:t>TBH</w:t>
      </w:r>
      <w:proofErr w:type="spellEnd"/>
      <w:r w:rsidRPr="004373EE">
        <w:rPr>
          <w:i/>
        </w:rPr>
        <w:t xml:space="preserve"> under the lease or under this Deed.</w:t>
      </w:r>
    </w:p>
    <w:p w:rsidR="00335E52" w:rsidRPr="00335E52" w:rsidRDefault="00335E52" w:rsidP="001924E0">
      <w:pPr>
        <w:pStyle w:val="NoSpacing"/>
      </w:pPr>
      <w:r w:rsidRPr="00335E52">
        <w:t xml:space="preserve">The terms and conditions included in the </w:t>
      </w:r>
      <w:r w:rsidR="00661EC9">
        <w:t>L</w:t>
      </w:r>
      <w:r w:rsidRPr="00335E52">
        <w:t xml:space="preserve">ease </w:t>
      </w:r>
      <w:r w:rsidR="00024E62">
        <w:t xml:space="preserve">agreement </w:t>
      </w:r>
      <w:r w:rsidRPr="00335E52">
        <w:t>con</w:t>
      </w:r>
      <w:r w:rsidR="00024E62">
        <w:t>stitute a contract between the lessor and the l</w:t>
      </w:r>
      <w:r w:rsidR="00661EC9">
        <w:t>essee. The L</w:t>
      </w:r>
      <w:r w:rsidR="00551B79">
        <w:t xml:space="preserve">ease </w:t>
      </w:r>
      <w:r w:rsidRPr="00335E52">
        <w:t>also creates a “</w:t>
      </w:r>
      <w:proofErr w:type="spellStart"/>
      <w:r w:rsidR="00024E62">
        <w:t>privity</w:t>
      </w:r>
      <w:proofErr w:type="spellEnd"/>
      <w:r w:rsidR="00024E62">
        <w:t xml:space="preserve"> of estate” between the l</w:t>
      </w:r>
      <w:r w:rsidRPr="00335E52">
        <w:t>essor a</w:t>
      </w:r>
      <w:r w:rsidR="00024E62">
        <w:t xml:space="preserve">nd the lessee.  The </w:t>
      </w:r>
      <w:r w:rsidRPr="00335E52">
        <w:t>contractual obligations between the parties may continue in effect even though the estate in the land which is the subject of the agreement comes to an end</w:t>
      </w:r>
      <w:r w:rsidR="00661EC9">
        <w:t>.</w:t>
      </w:r>
      <w:r w:rsidR="00024E62">
        <w:t xml:space="preserve"> </w:t>
      </w:r>
      <w:r w:rsidR="00661EC9">
        <w:t xml:space="preserve"> T</w:t>
      </w:r>
      <w:r w:rsidR="00024E62">
        <w:t>hat is,</w:t>
      </w:r>
      <w:r w:rsidRPr="00335E52">
        <w:t xml:space="preserve"> </w:t>
      </w:r>
      <w:r w:rsidR="00024E62">
        <w:t>whilst</w:t>
      </w:r>
      <w:r w:rsidR="007C4943">
        <w:t xml:space="preserve"> the L</w:t>
      </w:r>
      <w:r w:rsidRPr="00335E52">
        <w:t>ease m</w:t>
      </w:r>
      <w:r w:rsidR="00024E62">
        <w:t xml:space="preserve">ay be terminated or expire, </w:t>
      </w:r>
      <w:r w:rsidRPr="00335E52">
        <w:t xml:space="preserve">the contract may remain in force with some of the terms still to be performed. </w:t>
      </w:r>
    </w:p>
    <w:p w:rsidR="00335E52" w:rsidRPr="00335E52" w:rsidRDefault="00024E62" w:rsidP="00345562">
      <w:pPr>
        <w:pStyle w:val="NoSpacing"/>
      </w:pPr>
      <w:r>
        <w:lastRenderedPageBreak/>
        <w:t>Also</w:t>
      </w:r>
      <w:r w:rsidR="00335E52" w:rsidRPr="00335E52">
        <w:t xml:space="preserve">, where an </w:t>
      </w:r>
      <w:r w:rsidR="00661EC9">
        <w:t>assignment of a</w:t>
      </w:r>
      <w:r w:rsidR="0026325D">
        <w:t xml:space="preserve"> lease occurs, as in the present case,</w:t>
      </w:r>
      <w:r w:rsidR="00335E52" w:rsidRPr="00335E52">
        <w:t xml:space="preserve"> a distinction may need to be drawn between covenants that run with the land and those which are </w:t>
      </w:r>
      <w:r>
        <w:t>purely personal.  C</w:t>
      </w:r>
      <w:r w:rsidR="00335E52" w:rsidRPr="00335E52">
        <w:t xml:space="preserve">ovenants that run with the land are deemed to be assigned with the lease itself. </w:t>
      </w:r>
    </w:p>
    <w:p w:rsidR="00335E52" w:rsidRPr="00335E52" w:rsidRDefault="00D92D22" w:rsidP="001924E0">
      <w:pPr>
        <w:pStyle w:val="NoSpacing"/>
      </w:pPr>
      <w:r w:rsidRPr="00335E52">
        <w:t xml:space="preserve">The Bark Hut Inn at all times operated with a liquor licence attached to it. </w:t>
      </w:r>
      <w:r>
        <w:t xml:space="preserve"> Lawyers representing Mr and </w:t>
      </w:r>
      <w:r w:rsidR="00661EC9">
        <w:t>Mrs Fink have advised that the Lease</w:t>
      </w:r>
      <w:r>
        <w:t xml:space="preserve"> was</w:t>
      </w:r>
      <w:r w:rsidR="00335E52" w:rsidRPr="00335E52">
        <w:t xml:space="preserve"> te</w:t>
      </w:r>
      <w:r>
        <w:t xml:space="preserve">rminated on 1 December 2016 </w:t>
      </w:r>
      <w:r w:rsidR="0026325D">
        <w:t>and the l</w:t>
      </w:r>
      <w:r w:rsidR="00335E52" w:rsidRPr="00335E52">
        <w:t>essee is no longer in possessi</w:t>
      </w:r>
      <w:r>
        <w:t>on o</w:t>
      </w:r>
      <w:r w:rsidR="00335E52" w:rsidRPr="00335E52">
        <w:t>f</w:t>
      </w:r>
      <w:r>
        <w:t xml:space="preserve"> </w:t>
      </w:r>
      <w:r w:rsidR="007C4943">
        <w:t>the P</w:t>
      </w:r>
      <w:r w:rsidR="00335E52" w:rsidRPr="00335E52">
        <w:t xml:space="preserve">remises. </w:t>
      </w:r>
      <w:r w:rsidR="001924E0">
        <w:t xml:space="preserve"> The </w:t>
      </w:r>
      <w:r w:rsidR="00661EC9">
        <w:t>L</w:t>
      </w:r>
      <w:r w:rsidR="00335E52" w:rsidRPr="00335E52">
        <w:t>ease crea</w:t>
      </w:r>
      <w:r w:rsidR="001924E0">
        <w:t>ted an estate in favour of the l</w:t>
      </w:r>
      <w:r w:rsidR="00661EC9">
        <w:t>essee in the P</w:t>
      </w:r>
      <w:r w:rsidR="00335E52" w:rsidRPr="00335E52">
        <w:t xml:space="preserve">remises. </w:t>
      </w:r>
      <w:r w:rsidR="001924E0">
        <w:t xml:space="preserve"> </w:t>
      </w:r>
      <w:r w:rsidR="00661EC9">
        <w:t>The L</w:t>
      </w:r>
      <w:r w:rsidR="001924E0">
        <w:t>ease</w:t>
      </w:r>
      <w:r w:rsidR="00335E52" w:rsidRPr="00335E52">
        <w:t xml:space="preserve"> included perso</w:t>
      </w:r>
      <w:r w:rsidR="001924E0">
        <w:t>nal covenants in favour of the lessor by the l</w:t>
      </w:r>
      <w:r w:rsidR="00335E52" w:rsidRPr="00335E52">
        <w:t>essee and</w:t>
      </w:r>
      <w:r w:rsidR="00661EC9">
        <w:t>,</w:t>
      </w:r>
      <w:r w:rsidR="00335E52" w:rsidRPr="00335E52">
        <w:t xml:space="preserve"> in addition, perso</w:t>
      </w:r>
      <w:r w:rsidR="001924E0">
        <w:t>nal covenants in favour of the l</w:t>
      </w:r>
      <w:r w:rsidR="00335E52" w:rsidRPr="00335E52">
        <w:t>essor by named guarantors</w:t>
      </w:r>
      <w:r w:rsidR="00661EC9">
        <w:t>, who were also parties to the L</w:t>
      </w:r>
      <w:r w:rsidR="001924E0">
        <w:t>ease</w:t>
      </w:r>
      <w:r w:rsidR="00661EC9">
        <w:t xml:space="preserve"> bu</w:t>
      </w:r>
      <w:r w:rsidR="00335E52" w:rsidRPr="00335E52">
        <w:t>t who did not acquire</w:t>
      </w:r>
      <w:r w:rsidR="007C4943">
        <w:t xml:space="preserve"> any estate or interest in the P</w:t>
      </w:r>
      <w:r w:rsidR="00335E52" w:rsidRPr="00335E52">
        <w:t xml:space="preserve">remises. </w:t>
      </w:r>
    </w:p>
    <w:p w:rsidR="00335E52" w:rsidRPr="00335E52" w:rsidRDefault="006A2235" w:rsidP="006A2235">
      <w:pPr>
        <w:pStyle w:val="NoSpacing"/>
      </w:pPr>
      <w:r>
        <w:t>T</w:t>
      </w:r>
      <w:r w:rsidR="005C15C1">
        <w:t>he L</w:t>
      </w:r>
      <w:r>
        <w:t>ease</w:t>
      </w:r>
      <w:r w:rsidR="005C15C1">
        <w:t xml:space="preserve"> </w:t>
      </w:r>
      <w:r w:rsidR="00335E52" w:rsidRPr="00335E52">
        <w:t>included terms and conditions which constituted p</w:t>
      </w:r>
      <w:r>
        <w:t>ersonal covenants, and t</w:t>
      </w:r>
      <w:r w:rsidR="00335E52" w:rsidRPr="00335E52">
        <w:t>he nature of those terms and conditions are such that their continued operation</w:t>
      </w:r>
      <w:r>
        <w:t>, eve</w:t>
      </w:r>
      <w:r w:rsidR="007C4943">
        <w:t>n after the termination of the L</w:t>
      </w:r>
      <w:r w:rsidR="00335E52" w:rsidRPr="00335E52">
        <w:t>ease</w:t>
      </w:r>
      <w:r>
        <w:t>,</w:t>
      </w:r>
      <w:r w:rsidR="00335E52" w:rsidRPr="00335E52">
        <w:t xml:space="preserve"> was </w:t>
      </w:r>
      <w:r>
        <w:t>clearly</w:t>
      </w:r>
      <w:r w:rsidR="00335E52" w:rsidRPr="00335E52">
        <w:t xml:space="preserve"> the intention of the parties. </w:t>
      </w:r>
    </w:p>
    <w:p w:rsidR="00335E52" w:rsidRPr="00335E52" w:rsidRDefault="00335E52" w:rsidP="006A2235">
      <w:pPr>
        <w:pStyle w:val="NoSpacing"/>
      </w:pPr>
      <w:r w:rsidRPr="00335E52">
        <w:t xml:space="preserve">By a Deed dated 29 October 2009, </w:t>
      </w:r>
      <w:r w:rsidR="00BB442D">
        <w:t>the C</w:t>
      </w:r>
      <w:r w:rsidRPr="00335E52">
        <w:t>onsent was agreed betwe</w:t>
      </w:r>
      <w:r w:rsidR="006A2235">
        <w:t>en the original parties to the l</w:t>
      </w:r>
      <w:r w:rsidR="0026325D">
        <w:t>ease, including the guarantor,</w:t>
      </w:r>
      <w:r w:rsidR="00551B79">
        <w:t xml:space="preserve"> </w:t>
      </w:r>
      <w:r w:rsidRPr="00335E52">
        <w:t xml:space="preserve">the assignees and </w:t>
      </w:r>
      <w:r w:rsidR="00551B79">
        <w:t xml:space="preserve">new guarantors.  </w:t>
      </w:r>
      <w:r w:rsidR="006A2235">
        <w:t xml:space="preserve">Pursuant to </w:t>
      </w:r>
      <w:r w:rsidR="00BB442D">
        <w:t>the Consent</w:t>
      </w:r>
      <w:r w:rsidRPr="00335E52">
        <w:t>, the assignor and outgoing guarantor were released fr</w:t>
      </w:r>
      <w:r w:rsidR="00BB442D">
        <w:t>om the covenants contained in L</w:t>
      </w:r>
      <w:r w:rsidRPr="00335E52">
        <w:t xml:space="preserve">ease. </w:t>
      </w:r>
      <w:r w:rsidR="006A2235">
        <w:t xml:space="preserve"> </w:t>
      </w:r>
      <w:r w:rsidR="0026325D">
        <w:t>T</w:t>
      </w:r>
      <w:r w:rsidR="006A2235">
        <w:t xml:space="preserve">he new </w:t>
      </w:r>
      <w:r w:rsidR="0026325D">
        <w:t>l</w:t>
      </w:r>
      <w:r w:rsidR="006A2235">
        <w:t xml:space="preserve">essee, </w:t>
      </w:r>
      <w:proofErr w:type="spellStart"/>
      <w:r w:rsidR="006A2235">
        <w:t>TBHI</w:t>
      </w:r>
      <w:proofErr w:type="spellEnd"/>
      <w:r w:rsidR="006A2235">
        <w:t xml:space="preserve">, </w:t>
      </w:r>
      <w:r w:rsidRPr="00335E52">
        <w:t>covenanted with the lessor</w:t>
      </w:r>
      <w:r w:rsidR="006A2235">
        <w:t>, Mr and Mrs Fink</w:t>
      </w:r>
      <w:r w:rsidRPr="00335E52">
        <w:t xml:space="preserve">: </w:t>
      </w:r>
    </w:p>
    <w:p w:rsidR="00335E52" w:rsidRPr="006A2235" w:rsidRDefault="00335E52" w:rsidP="006A2235">
      <w:pPr>
        <w:pStyle w:val="NoSpacing"/>
        <w:numPr>
          <w:ilvl w:val="0"/>
          <w:numId w:val="0"/>
        </w:numPr>
        <w:ind w:left="720"/>
        <w:rPr>
          <w:i/>
        </w:rPr>
      </w:pPr>
      <w:r w:rsidRPr="006A2235">
        <w:rPr>
          <w:i/>
        </w:rPr>
        <w:t xml:space="preserve">“that </w:t>
      </w:r>
      <w:proofErr w:type="spellStart"/>
      <w:r w:rsidRPr="006A2235">
        <w:rPr>
          <w:i/>
        </w:rPr>
        <w:t>TBH</w:t>
      </w:r>
      <w:proofErr w:type="spellEnd"/>
      <w:r w:rsidRPr="006A2235">
        <w:rPr>
          <w:i/>
        </w:rPr>
        <w:t xml:space="preserve"> will carry out, observe, perform, fulfil, keep and be bound by all the covenants, conditions and restrictions whether positive or negative and whether running with the land or otherwise expressed or implied in the Lease and on the part of the lessee thereunder to be carried out… and </w:t>
      </w:r>
      <w:proofErr w:type="spellStart"/>
      <w:r w:rsidRPr="006A2235">
        <w:rPr>
          <w:i/>
        </w:rPr>
        <w:t>TBH</w:t>
      </w:r>
      <w:proofErr w:type="spellEnd"/>
      <w:r w:rsidRPr="006A2235">
        <w:rPr>
          <w:i/>
        </w:rPr>
        <w:t xml:space="preserve"> acknowledges that the covenants, conditions and restrictions contained in the Lease apply in all respects to its lease of the Premises from the Lessor.” </w:t>
      </w:r>
    </w:p>
    <w:p w:rsidR="00335E52" w:rsidRPr="00335E52" w:rsidRDefault="006A2235" w:rsidP="00B757EE">
      <w:pPr>
        <w:pStyle w:val="NoSpacing"/>
      </w:pPr>
      <w:r>
        <w:t>T</w:t>
      </w:r>
      <w:r w:rsidR="00BB442D">
        <w:t>he L</w:t>
      </w:r>
      <w:r w:rsidR="00335E52" w:rsidRPr="00335E52">
        <w:t xml:space="preserve">ease contained a number of clauses relevant to the liquor licence. </w:t>
      </w:r>
      <w:r>
        <w:t xml:space="preserve"> </w:t>
      </w:r>
      <w:r w:rsidR="00335E52" w:rsidRPr="00335E52">
        <w:t>First</w:t>
      </w:r>
      <w:r>
        <w:t>ly</w:t>
      </w:r>
      <w:r w:rsidR="00335E52" w:rsidRPr="00335E52">
        <w:t>, it spec</w:t>
      </w:r>
      <w:r w:rsidR="00BB442D">
        <w:t>ified the Lease Purpose of the P</w:t>
      </w:r>
      <w:r w:rsidR="00335E52" w:rsidRPr="00335E52">
        <w:t xml:space="preserve">remises as being </w:t>
      </w:r>
      <w:r w:rsidR="00335E52" w:rsidRPr="006A2235">
        <w:rPr>
          <w:i/>
        </w:rPr>
        <w:t xml:space="preserve">“the use for which the Premises are leased being </w:t>
      </w:r>
      <w:r w:rsidR="00335E52" w:rsidRPr="006A2235">
        <w:rPr>
          <w:bCs/>
          <w:i/>
        </w:rPr>
        <w:t>Wayside Inn</w:t>
      </w:r>
      <w:r w:rsidR="00335E52" w:rsidRPr="006A2235">
        <w:rPr>
          <w:i/>
        </w:rPr>
        <w:t xml:space="preserve">, Caravan Park Tourist Centre and Tourist operations and </w:t>
      </w:r>
      <w:r w:rsidR="00335E52" w:rsidRPr="006A2235">
        <w:rPr>
          <w:bCs/>
          <w:i/>
        </w:rPr>
        <w:t>associated activities</w:t>
      </w:r>
      <w:r w:rsidR="00335E52" w:rsidRPr="006A2235">
        <w:rPr>
          <w:i/>
        </w:rPr>
        <w:t>”</w:t>
      </w:r>
      <w:r>
        <w:t>.</w:t>
      </w:r>
      <w:r w:rsidR="00335E52" w:rsidRPr="00335E52">
        <w:t xml:space="preserve"> </w:t>
      </w:r>
      <w:r w:rsidR="00B757EE">
        <w:t xml:space="preserve">  A furth</w:t>
      </w:r>
      <w:r w:rsidR="00551B79">
        <w:t>er clause provided that if the P</w:t>
      </w:r>
      <w:r w:rsidR="00335E52" w:rsidRPr="00335E52">
        <w:t xml:space="preserve">remises were at any time rendered unfit for occupation </w:t>
      </w:r>
      <w:r w:rsidR="00335E52" w:rsidRPr="00B757EE">
        <w:rPr>
          <w:bCs/>
        </w:rPr>
        <w:t>or use</w:t>
      </w:r>
      <w:r w:rsidR="00335E52" w:rsidRPr="00B757EE">
        <w:rPr>
          <w:b/>
          <w:bCs/>
        </w:rPr>
        <w:t xml:space="preserve">, </w:t>
      </w:r>
      <w:r w:rsidR="00B757EE">
        <w:t>then the r</w:t>
      </w:r>
      <w:r w:rsidR="00335E52" w:rsidRPr="00335E52">
        <w:t>ent would be suspended and cease to</w:t>
      </w:r>
      <w:r w:rsidR="00B757EE">
        <w:t xml:space="preserve"> be payable for so long as the p</w:t>
      </w:r>
      <w:r w:rsidR="00335E52" w:rsidRPr="00335E52">
        <w:t xml:space="preserve">remises </w:t>
      </w:r>
      <w:r w:rsidR="00B757EE">
        <w:t>were</w:t>
      </w:r>
      <w:r w:rsidR="00335E52" w:rsidRPr="00335E52">
        <w:t xml:space="preserve"> unfit for occupation </w:t>
      </w:r>
      <w:r w:rsidR="00335E52" w:rsidRPr="00B757EE">
        <w:rPr>
          <w:bCs/>
        </w:rPr>
        <w:t>or use</w:t>
      </w:r>
      <w:r w:rsidR="00335E52" w:rsidRPr="00335E52">
        <w:t xml:space="preserve">. </w:t>
      </w:r>
      <w:r w:rsidR="00B757EE">
        <w:t xml:space="preserve"> </w:t>
      </w:r>
      <w:r w:rsidR="00BB442D">
        <w:t>I note that if the P</w:t>
      </w:r>
      <w:r w:rsidR="00335E52" w:rsidRPr="00335E52">
        <w:t>remises</w:t>
      </w:r>
      <w:r w:rsidR="00551B79">
        <w:t>,</w:t>
      </w:r>
      <w:r w:rsidR="00335E52" w:rsidRPr="00335E52">
        <w:t xml:space="preserve"> for whatever reason</w:t>
      </w:r>
      <w:r w:rsidR="00551B79">
        <w:t>,</w:t>
      </w:r>
      <w:r w:rsidR="00335E52" w:rsidRPr="00335E52">
        <w:t xml:space="preserve"> ceased to have a Roadside Inn </w:t>
      </w:r>
      <w:r w:rsidR="00B757EE">
        <w:t xml:space="preserve">liquor </w:t>
      </w:r>
      <w:r w:rsidR="00BB442D">
        <w:t>licence it is likely that the P</w:t>
      </w:r>
      <w:r w:rsidR="00335E52" w:rsidRPr="00335E52">
        <w:t>remises would be unfit fo</w:t>
      </w:r>
      <w:r w:rsidR="00BB442D">
        <w:t>r use for at least part of the Lease P</w:t>
      </w:r>
      <w:r w:rsidR="00335E52" w:rsidRPr="00335E52">
        <w:t xml:space="preserve">urpose. </w:t>
      </w:r>
      <w:r w:rsidR="00BB442D">
        <w:t>The L</w:t>
      </w:r>
      <w:r w:rsidR="00B757EE">
        <w:t>ease included a further covenant by the l</w:t>
      </w:r>
      <w:r w:rsidR="00335E52" w:rsidRPr="00335E52">
        <w:t>essee not to u</w:t>
      </w:r>
      <w:r w:rsidR="00B757EE">
        <w:t>se or permit the p</w:t>
      </w:r>
      <w:r w:rsidR="00335E52" w:rsidRPr="00335E52">
        <w:t>remises to be use</w:t>
      </w:r>
      <w:r w:rsidR="00BB442D">
        <w:t>d for a purpose other than the Lease P</w:t>
      </w:r>
      <w:r w:rsidR="00335E52" w:rsidRPr="00335E52">
        <w:t xml:space="preserve">urpose </w:t>
      </w:r>
      <w:r w:rsidR="00B757EE">
        <w:t>without the</w:t>
      </w:r>
      <w:r w:rsidR="00BB442D">
        <w:t xml:space="preserve"> prior consent of the l</w:t>
      </w:r>
      <w:r w:rsidR="00335E52" w:rsidRPr="00335E52">
        <w:t xml:space="preserve">essor. </w:t>
      </w:r>
    </w:p>
    <w:p w:rsidR="00335E52" w:rsidRPr="00335E52" w:rsidRDefault="00B757EE" w:rsidP="00345562">
      <w:pPr>
        <w:pStyle w:val="NoSpacing"/>
      </w:pPr>
      <w:r>
        <w:t xml:space="preserve">Of particular significance in respect of this review, </w:t>
      </w:r>
      <w:r w:rsidR="00BB442D">
        <w:t>the L</w:t>
      </w:r>
      <w:r>
        <w:t>ease</w:t>
      </w:r>
      <w:r w:rsidR="00335E52" w:rsidRPr="00335E52">
        <w:t xml:space="preserve"> contained </w:t>
      </w:r>
      <w:r>
        <w:t xml:space="preserve">provisions </w:t>
      </w:r>
      <w:r w:rsidR="00BB442D">
        <w:t>specifically relating to</w:t>
      </w:r>
      <w:r>
        <w:t xml:space="preserve"> the l</w:t>
      </w:r>
      <w:r w:rsidR="00335E52" w:rsidRPr="00335E52">
        <w:t>iquor</w:t>
      </w:r>
      <w:r>
        <w:t xml:space="preserve"> licence.  T</w:t>
      </w:r>
      <w:r w:rsidR="00BB442D">
        <w:t>he L</w:t>
      </w:r>
      <w:r w:rsidR="00335E52" w:rsidRPr="00335E52">
        <w:t>ease was expressed to be subject to and conditional upon “</w:t>
      </w:r>
      <w:r w:rsidR="00335E52" w:rsidRPr="00B757EE">
        <w:rPr>
          <w:i/>
        </w:rPr>
        <w:t>and shall be of no effect unless and until</w:t>
      </w:r>
      <w:r w:rsidR="00335E52" w:rsidRPr="00335E52">
        <w:t xml:space="preserve">” a transfer of the </w:t>
      </w:r>
      <w:r>
        <w:t>existing liquor licence to the l</w:t>
      </w:r>
      <w:r w:rsidR="00335E52" w:rsidRPr="00335E52">
        <w:t>essee</w:t>
      </w:r>
      <w:r>
        <w:t xml:space="preserve">, </w:t>
      </w:r>
      <w:proofErr w:type="spellStart"/>
      <w:r>
        <w:t>TBHI</w:t>
      </w:r>
      <w:proofErr w:type="spellEnd"/>
      <w:r>
        <w:t xml:space="preserve">.  It is apparent that </w:t>
      </w:r>
      <w:r w:rsidR="00BB442D">
        <w:t>the L</w:t>
      </w:r>
      <w:r w:rsidR="00335E52" w:rsidRPr="00335E52">
        <w:t>ease contemplated two fundamental facts – first</w:t>
      </w:r>
      <w:r>
        <w:t>ly</w:t>
      </w:r>
      <w:r w:rsidR="00BB442D">
        <w:t>, that the P</w:t>
      </w:r>
      <w:r w:rsidR="00335E52" w:rsidRPr="00335E52">
        <w:t>remises had a current liquor licence applic</w:t>
      </w:r>
      <w:r>
        <w:t>able to them</w:t>
      </w:r>
      <w:r w:rsidR="00335E52" w:rsidRPr="00335E52">
        <w:t xml:space="preserve"> and</w:t>
      </w:r>
      <w:r>
        <w:t>,</w:t>
      </w:r>
      <w:r w:rsidR="00335E52" w:rsidRPr="00335E52">
        <w:t xml:space="preserve"> second</w:t>
      </w:r>
      <w:r>
        <w:t>ly, that until such time as the l</w:t>
      </w:r>
      <w:r w:rsidR="00335E52" w:rsidRPr="00335E52">
        <w:t>essee received the bene</w:t>
      </w:r>
      <w:r w:rsidR="00BB442D">
        <w:t>fit of the liquor licence, the L</w:t>
      </w:r>
      <w:r w:rsidR="00335E52" w:rsidRPr="00335E52">
        <w:t xml:space="preserve">ease would not come into effect. </w:t>
      </w:r>
      <w:r>
        <w:t>Those provisions evidence the c</w:t>
      </w:r>
      <w:r w:rsidR="00335E52" w:rsidRPr="00335E52">
        <w:t>lear int</w:t>
      </w:r>
      <w:r>
        <w:t>ention of the parti</w:t>
      </w:r>
      <w:r w:rsidR="00BB442D">
        <w:t>es that the P</w:t>
      </w:r>
      <w:r w:rsidR="00335E52" w:rsidRPr="00335E52">
        <w:t>remises should come with a liquor licen</w:t>
      </w:r>
      <w:r w:rsidR="005C3298">
        <w:t>ce and</w:t>
      </w:r>
      <w:r>
        <w:t xml:space="preserve"> </w:t>
      </w:r>
      <w:r w:rsidR="00BB442D">
        <w:t>without it there was no L</w:t>
      </w:r>
      <w:r>
        <w:t>ease.</w:t>
      </w:r>
      <w:r w:rsidR="00335E52" w:rsidRPr="00335E52">
        <w:t xml:space="preserve"> </w:t>
      </w:r>
    </w:p>
    <w:p w:rsidR="00335E52" w:rsidRPr="00335E52" w:rsidRDefault="00B757EE" w:rsidP="00B757EE">
      <w:pPr>
        <w:pStyle w:val="NoSpacing"/>
      </w:pPr>
      <w:r>
        <w:t>The l</w:t>
      </w:r>
      <w:r w:rsidR="00BB442D">
        <w:t>essee covenanted with the l</w:t>
      </w:r>
      <w:r w:rsidR="00335E52" w:rsidRPr="00335E52">
        <w:t>essor that it would at all times comply with, observe and perform in all respect</w:t>
      </w:r>
      <w:r w:rsidR="00BB442D">
        <w:t>s</w:t>
      </w:r>
      <w:r w:rsidR="00335E52" w:rsidRPr="00335E52">
        <w:t xml:space="preserve"> any</w:t>
      </w:r>
      <w:r>
        <w:t xml:space="preserve"> obligation on the part of the l</w:t>
      </w:r>
      <w:r w:rsidR="00335E52" w:rsidRPr="00335E52">
        <w:t xml:space="preserve">essee under the </w:t>
      </w:r>
      <w:r w:rsidR="00335E52" w:rsidRPr="00B757EE">
        <w:rPr>
          <w:i/>
          <w:iCs/>
        </w:rPr>
        <w:t xml:space="preserve">Liquor Act </w:t>
      </w:r>
      <w:r w:rsidR="00335E52" w:rsidRPr="00335E52">
        <w:t xml:space="preserve">with respect to the </w:t>
      </w:r>
      <w:r>
        <w:t xml:space="preserve">liquor </w:t>
      </w:r>
      <w:r w:rsidR="00335E52" w:rsidRPr="00335E52">
        <w:t>licence</w:t>
      </w:r>
      <w:r>
        <w:t>.</w:t>
      </w:r>
      <w:r w:rsidR="00335E52" w:rsidRPr="00335E52">
        <w:t xml:space="preserve"> </w:t>
      </w:r>
      <w:r>
        <w:t xml:space="preserve"> That covenant </w:t>
      </w:r>
      <w:r w:rsidR="00335E52" w:rsidRPr="00335E52">
        <w:t>provides a further, clear indication of the intention of the parties that the liquo</w:t>
      </w:r>
      <w:r w:rsidR="00BB442D">
        <w:t>r licence should attach to the P</w:t>
      </w:r>
      <w:r w:rsidR="00335E52" w:rsidRPr="00335E52">
        <w:t>remi</w:t>
      </w:r>
      <w:r w:rsidR="00BB442D">
        <w:t>ses at all times</w:t>
      </w:r>
      <w:r>
        <w:t xml:space="preserve"> and that the l</w:t>
      </w:r>
      <w:r w:rsidR="00335E52" w:rsidRPr="00335E52">
        <w:t xml:space="preserve">essee should do nothing to </w:t>
      </w:r>
      <w:r>
        <w:t>put at risk the</w:t>
      </w:r>
      <w:r w:rsidR="00335E52" w:rsidRPr="00335E52">
        <w:t xml:space="preserve"> continuation of the </w:t>
      </w:r>
      <w:r w:rsidR="00BB442D">
        <w:t>l</w:t>
      </w:r>
      <w:r>
        <w:t xml:space="preserve">iquor </w:t>
      </w:r>
      <w:r w:rsidR="00BB442D">
        <w:t>licence for the benefit of the P</w:t>
      </w:r>
      <w:r>
        <w:t>remises.</w:t>
      </w:r>
    </w:p>
    <w:p w:rsidR="00335E52" w:rsidRPr="00335E52" w:rsidRDefault="00B757EE" w:rsidP="00345562">
      <w:pPr>
        <w:pStyle w:val="NoSpacing"/>
      </w:pPr>
      <w:r w:rsidRPr="00287663">
        <w:t>Similarly</w:t>
      </w:r>
      <w:r w:rsidR="00335E52" w:rsidRPr="00287663">
        <w:t xml:space="preserve">, by Clause 14.3.2 </w:t>
      </w:r>
      <w:r w:rsidR="00BB442D">
        <w:t>of the L</w:t>
      </w:r>
      <w:r w:rsidRPr="00287663">
        <w:t>ease the l</w:t>
      </w:r>
      <w:r w:rsidR="00335E52" w:rsidRPr="00287663">
        <w:t xml:space="preserve">essee was required to keep the licence renewed so that </w:t>
      </w:r>
      <w:r w:rsidR="00335E52" w:rsidRPr="00287663">
        <w:rPr>
          <w:bCs/>
        </w:rPr>
        <w:t xml:space="preserve">at all times </w:t>
      </w:r>
      <w:r w:rsidR="00BB442D">
        <w:t>during the term of the L</w:t>
      </w:r>
      <w:r w:rsidRPr="00287663">
        <w:t>ease, the l</w:t>
      </w:r>
      <w:r w:rsidR="00335E52" w:rsidRPr="00287663">
        <w:t xml:space="preserve">essee would hold a liquor licence </w:t>
      </w:r>
      <w:r w:rsidR="00BB442D">
        <w:rPr>
          <w:bCs/>
        </w:rPr>
        <w:t>in respect of the P</w:t>
      </w:r>
      <w:r w:rsidR="00335E52" w:rsidRPr="00287663">
        <w:rPr>
          <w:bCs/>
        </w:rPr>
        <w:t>remises</w:t>
      </w:r>
      <w:r w:rsidR="00335E52" w:rsidRPr="00335E52">
        <w:t xml:space="preserve"> and </w:t>
      </w:r>
      <w:r w:rsidR="00287663">
        <w:t>the l</w:t>
      </w:r>
      <w:r w:rsidR="00335E52" w:rsidRPr="00335E52">
        <w:t>essee was requ</w:t>
      </w:r>
      <w:r w:rsidR="00287663">
        <w:t>ired to immediately notify the l</w:t>
      </w:r>
      <w:r w:rsidR="00335E52" w:rsidRPr="00335E52">
        <w:t xml:space="preserve">essor of any material </w:t>
      </w:r>
      <w:r w:rsidR="00335E52" w:rsidRPr="00335E52">
        <w:lastRenderedPageBreak/>
        <w:t xml:space="preserve">communication from the </w:t>
      </w:r>
      <w:r w:rsidR="00287663">
        <w:t>“</w:t>
      </w:r>
      <w:r w:rsidR="00335E52" w:rsidRPr="00335E52">
        <w:t>Commission</w:t>
      </w:r>
      <w:r w:rsidR="00287663">
        <w:t>”</w:t>
      </w:r>
      <w:r w:rsidR="00287663">
        <w:rPr>
          <w:rStyle w:val="FootnoteReference"/>
        </w:rPr>
        <w:footnoteReference w:id="1"/>
      </w:r>
      <w:r w:rsidR="00BB442D">
        <w:t xml:space="preserve"> and authorised the l</w:t>
      </w:r>
      <w:r w:rsidR="00335E52" w:rsidRPr="00335E52">
        <w:t xml:space="preserve">essor to appear before the </w:t>
      </w:r>
      <w:r w:rsidR="00287663">
        <w:t>“</w:t>
      </w:r>
      <w:r w:rsidR="00335E52" w:rsidRPr="00335E52">
        <w:t>Commission</w:t>
      </w:r>
      <w:r w:rsidR="00287663">
        <w:t>”</w:t>
      </w:r>
      <w:r w:rsidR="00335E52" w:rsidRPr="00335E52">
        <w:t xml:space="preserve"> itself should it wish to do so. </w:t>
      </w:r>
    </w:p>
    <w:p w:rsidR="00335E52" w:rsidRPr="00335E52" w:rsidRDefault="00335E52" w:rsidP="00287663">
      <w:pPr>
        <w:pStyle w:val="NoSpacing"/>
      </w:pPr>
      <w:r w:rsidRPr="00335E52">
        <w:t>These covenants evince a clear int</w:t>
      </w:r>
      <w:r w:rsidR="00287663">
        <w:t>ention of the parties that the l</w:t>
      </w:r>
      <w:r w:rsidRPr="00335E52">
        <w:t>essor retained an interest</w:t>
      </w:r>
      <w:r w:rsidRPr="00287663">
        <w:rPr>
          <w:sz w:val="14"/>
          <w:szCs w:val="14"/>
        </w:rPr>
        <w:t xml:space="preserve"> </w:t>
      </w:r>
      <w:r w:rsidRPr="00335E52">
        <w:t xml:space="preserve">in the </w:t>
      </w:r>
      <w:r w:rsidR="00287663">
        <w:t xml:space="preserve">liquor </w:t>
      </w:r>
      <w:r w:rsidRPr="00335E52">
        <w:t xml:space="preserve">licence and </w:t>
      </w:r>
      <w:r w:rsidR="00287663">
        <w:t>may</w:t>
      </w:r>
      <w:r w:rsidRPr="00335E52">
        <w:t xml:space="preserve"> take steps necessary to protect and preserve the licence’s continu</w:t>
      </w:r>
      <w:r w:rsidR="007C4943">
        <w:t>ed operation in respect of the P</w:t>
      </w:r>
      <w:r w:rsidRPr="00335E52">
        <w:t xml:space="preserve">remises. </w:t>
      </w:r>
      <w:r w:rsidR="00287663">
        <w:t xml:space="preserve"> </w:t>
      </w:r>
      <w:r w:rsidRPr="00335E52">
        <w:t xml:space="preserve">Although the interest could not be proprietary, it was nevertheless </w:t>
      </w:r>
      <w:r w:rsidR="00771D02" w:rsidRPr="00335E52">
        <w:t>a</w:t>
      </w:r>
      <w:r w:rsidRPr="00335E52">
        <w:t xml:space="preserve"> contractual interest. </w:t>
      </w:r>
      <w:r w:rsidR="00287663">
        <w:t xml:space="preserve"> The grant by the </w:t>
      </w:r>
      <w:proofErr w:type="spellStart"/>
      <w:r w:rsidR="00287663">
        <w:t>TBHI</w:t>
      </w:r>
      <w:proofErr w:type="spellEnd"/>
      <w:r w:rsidRPr="00335E52">
        <w:t xml:space="preserve"> of a power of attorney in respect of the liquor licence in favour of the </w:t>
      </w:r>
      <w:r w:rsidR="00287663">
        <w:t>Mr and Mrs Fink</w:t>
      </w:r>
      <w:r w:rsidRPr="00335E52">
        <w:t xml:space="preserve"> under clause 14.4 </w:t>
      </w:r>
      <w:r w:rsidR="007C4943">
        <w:t>of the L</w:t>
      </w:r>
      <w:r w:rsidR="00287663">
        <w:t xml:space="preserve">ease </w:t>
      </w:r>
      <w:r w:rsidRPr="00335E52">
        <w:t>further reinforces the continuing i</w:t>
      </w:r>
      <w:r w:rsidR="00287663">
        <w:t>nterest of the l</w:t>
      </w:r>
      <w:r w:rsidRPr="00335E52">
        <w:t xml:space="preserve">essor in the protection and preservation of the liquor licence for the benefit of the Premises. </w:t>
      </w:r>
    </w:p>
    <w:p w:rsidR="00335E52" w:rsidRPr="00335E52" w:rsidRDefault="00287663" w:rsidP="00287663">
      <w:pPr>
        <w:pStyle w:val="NoSpacing"/>
      </w:pPr>
      <w:r>
        <w:t>B</w:t>
      </w:r>
      <w:r w:rsidR="00BB442D">
        <w:t>y the terms of the L</w:t>
      </w:r>
      <w:r>
        <w:t>ease t</w:t>
      </w:r>
      <w:r w:rsidR="00335E52" w:rsidRPr="00335E52">
        <w:t>he parties agreed that any breach of the clause</w:t>
      </w:r>
      <w:r w:rsidR="00BB442D">
        <w:t>s</w:t>
      </w:r>
      <w:r w:rsidR="00335E52" w:rsidRPr="00335E52">
        <w:t xml:space="preserve"> in respect of the liquor licence would be a breach of an essential term of the </w:t>
      </w:r>
      <w:r w:rsidR="00BB442D">
        <w:t>L</w:t>
      </w:r>
      <w:r w:rsidR="00335E52" w:rsidRPr="00335E52">
        <w:t>ease and a r</w:t>
      </w:r>
      <w:r w:rsidR="00BB442D">
        <w:t>epudiation of the L</w:t>
      </w:r>
      <w:r>
        <w:t>ease by the l</w:t>
      </w:r>
      <w:r w:rsidR="00335E52" w:rsidRPr="00335E52">
        <w:t xml:space="preserve">essee. </w:t>
      </w:r>
      <w:r>
        <w:t xml:space="preserve"> </w:t>
      </w:r>
      <w:r w:rsidR="00335E52" w:rsidRPr="00335E52">
        <w:t xml:space="preserve">Once again such a provision reflects the importance of the continuation </w:t>
      </w:r>
      <w:r w:rsidR="00BB442D">
        <w:t>of the liquor licence for the P</w:t>
      </w:r>
      <w:r>
        <w:t>remises and reflects the l</w:t>
      </w:r>
      <w:r w:rsidR="00335E52" w:rsidRPr="00335E52">
        <w:t>ess</w:t>
      </w:r>
      <w:r>
        <w:t>ors’ continued interest in the liquor l</w:t>
      </w:r>
      <w:r w:rsidR="00335E52" w:rsidRPr="00335E52">
        <w:t>icence</w:t>
      </w:r>
      <w:r w:rsidR="00BB442D">
        <w:t>,</w:t>
      </w:r>
      <w:r w:rsidR="00335E52" w:rsidRPr="00335E52">
        <w:t xml:space="preserve"> notwithstanding that </w:t>
      </w:r>
      <w:r>
        <w:t>it was held in the name of the l</w:t>
      </w:r>
      <w:r w:rsidR="00335E52" w:rsidRPr="00335E52">
        <w:t xml:space="preserve">essee alone. </w:t>
      </w:r>
    </w:p>
    <w:p w:rsidR="00335E52" w:rsidRPr="00335E52" w:rsidRDefault="00287663" w:rsidP="005C3C99">
      <w:pPr>
        <w:pStyle w:val="NoSpacing"/>
      </w:pPr>
      <w:r>
        <w:t>T</w:t>
      </w:r>
      <w:r w:rsidR="00335E52" w:rsidRPr="00335E52">
        <w:t xml:space="preserve">wo further terms </w:t>
      </w:r>
      <w:r w:rsidR="00BB442D">
        <w:t>of the L</w:t>
      </w:r>
      <w:r>
        <w:t xml:space="preserve">ease </w:t>
      </w:r>
      <w:r w:rsidR="00335E52" w:rsidRPr="00335E52">
        <w:t xml:space="preserve">are fundamental to the </w:t>
      </w:r>
      <w:r>
        <w:t xml:space="preserve">proper </w:t>
      </w:r>
      <w:r w:rsidR="00335E52" w:rsidRPr="00335E52">
        <w:t xml:space="preserve">determination </w:t>
      </w:r>
      <w:r>
        <w:t>of this review of the delegate’s decision.</w:t>
      </w:r>
      <w:r w:rsidR="005C3C99">
        <w:t xml:space="preserve">  </w:t>
      </w:r>
      <w:r w:rsidR="00335E52" w:rsidRPr="00335E52">
        <w:t>First</w:t>
      </w:r>
      <w:r w:rsidR="005C3C99">
        <w:t>ly</w:t>
      </w:r>
      <w:r w:rsidR="00335E52" w:rsidRPr="00335E52">
        <w:t xml:space="preserve">, clauses 14.6 and 14.7 </w:t>
      </w:r>
      <w:r w:rsidR="00BB442D">
        <w:t>of the L</w:t>
      </w:r>
      <w:r w:rsidR="005C3C99">
        <w:t xml:space="preserve">ease agreement </w:t>
      </w:r>
      <w:r w:rsidR="00335E52" w:rsidRPr="00335E52">
        <w:t>provided alter</w:t>
      </w:r>
      <w:r w:rsidR="005C3C99">
        <w:t>native mechanisms by which the l</w:t>
      </w:r>
      <w:r w:rsidR="00335E52" w:rsidRPr="00335E52">
        <w:t xml:space="preserve">essor could enforce a transfer </w:t>
      </w:r>
      <w:r w:rsidR="005C3C99">
        <w:t xml:space="preserve">of the liquor licence from the lessee to the lessor.  </w:t>
      </w:r>
      <w:r w:rsidR="00335E52" w:rsidRPr="00335E52">
        <w:t>By clause 14</w:t>
      </w:r>
      <w:r w:rsidR="00BB442D">
        <w:t>.</w:t>
      </w:r>
      <w:r w:rsidR="00335E52" w:rsidRPr="00335E52">
        <w:t>6,</w:t>
      </w:r>
      <w:r w:rsidR="005C3C99">
        <w:t xml:space="preserve"> if the l</w:t>
      </w:r>
      <w:r w:rsidR="00335E52" w:rsidRPr="00335E52">
        <w:t>essee was in brea</w:t>
      </w:r>
      <w:r w:rsidR="00BB442D">
        <w:t>ch of an essential term of the L</w:t>
      </w:r>
      <w:r w:rsidR="005C3C99">
        <w:t>ease, the l</w:t>
      </w:r>
      <w:r w:rsidR="00335E52" w:rsidRPr="00335E52">
        <w:t>essor could demand the delivery of a blank transfer of the liquor licence. This again evinces an intention of the part</w:t>
      </w:r>
      <w:r w:rsidR="00BB442D">
        <w:t>ies that in the event that the L</w:t>
      </w:r>
      <w:r w:rsidR="00335E52" w:rsidRPr="00335E52">
        <w:t>ease were to be terminated, the licen</w:t>
      </w:r>
      <w:r w:rsidR="005C3C99">
        <w:t>ce should revert to the lessor or its nominee, including a future lessee</w:t>
      </w:r>
      <w:r w:rsidR="00335E52" w:rsidRPr="00335E52">
        <w:t xml:space="preserve">. </w:t>
      </w:r>
      <w:r w:rsidR="00BB442D">
        <w:t xml:space="preserve"> By clause 14.7, the l</w:t>
      </w:r>
      <w:r w:rsidR="00335E52" w:rsidRPr="00335E52">
        <w:t xml:space="preserve">essee was </w:t>
      </w:r>
      <w:r w:rsidR="005C3C99">
        <w:t>actually required to provide a liquor licence t</w:t>
      </w:r>
      <w:r w:rsidR="00335E52" w:rsidRPr="00335E52">
        <w:t>ransfer f</w:t>
      </w:r>
      <w:r w:rsidR="00BB442D">
        <w:t>orm at the commencement of the L</w:t>
      </w:r>
      <w:r w:rsidR="00335E52" w:rsidRPr="00335E52">
        <w:t>eas</w:t>
      </w:r>
      <w:r w:rsidR="005C3C99">
        <w:t>e, to be held in escrow by the l</w:t>
      </w:r>
      <w:r w:rsidR="00335E52" w:rsidRPr="00335E52">
        <w:t xml:space="preserve">essor but exercisable upon breach of an essential term or </w:t>
      </w:r>
      <w:r w:rsidR="00335E52" w:rsidRPr="005C3C99">
        <w:rPr>
          <w:bCs/>
        </w:rPr>
        <w:t>upon expiry, termination or surrender</w:t>
      </w:r>
      <w:r w:rsidR="00335E52" w:rsidRPr="005C3C99">
        <w:rPr>
          <w:b/>
          <w:bCs/>
        </w:rPr>
        <w:t xml:space="preserve"> </w:t>
      </w:r>
      <w:r w:rsidR="00BB442D">
        <w:t>of the L</w:t>
      </w:r>
      <w:r w:rsidR="00335E52" w:rsidRPr="00335E52">
        <w:t xml:space="preserve">ease. </w:t>
      </w:r>
    </w:p>
    <w:p w:rsidR="00335E52" w:rsidRPr="00335E52" w:rsidRDefault="00E45A78" w:rsidP="005C3C99">
      <w:pPr>
        <w:pStyle w:val="NoSpacing"/>
      </w:pPr>
      <w:r>
        <w:t>Secondly, by c</w:t>
      </w:r>
      <w:r w:rsidR="005C3C99">
        <w:t xml:space="preserve">lause 14.3.5 </w:t>
      </w:r>
      <w:r w:rsidR="00BB442D">
        <w:t>of the L</w:t>
      </w:r>
      <w:r>
        <w:t xml:space="preserve">ease </w:t>
      </w:r>
      <w:r w:rsidR="005C3C99">
        <w:t>the l</w:t>
      </w:r>
      <w:r w:rsidR="00335E52" w:rsidRPr="00335E52">
        <w:t xml:space="preserve">essee was restricted from transferring, assigning </w:t>
      </w:r>
      <w:r>
        <w:t>or parting in any way with the liquor l</w:t>
      </w:r>
      <w:r w:rsidR="00BB442D">
        <w:t>icence</w:t>
      </w:r>
      <w:r w:rsidR="00335E52" w:rsidRPr="00335E52">
        <w:t xml:space="preserve"> and from applying to the </w:t>
      </w:r>
      <w:r w:rsidR="005C3C99">
        <w:t>“</w:t>
      </w:r>
      <w:r w:rsidR="00BB442D">
        <w:t>Registrar of L</w:t>
      </w:r>
      <w:r w:rsidR="00335E52" w:rsidRPr="00335E52">
        <w:t>icensing</w:t>
      </w:r>
      <w:r w:rsidR="005C3C99">
        <w:t>”</w:t>
      </w:r>
      <w:r w:rsidR="005C3C99">
        <w:rPr>
          <w:rStyle w:val="FootnoteReference"/>
        </w:rPr>
        <w:footnoteReference w:id="2"/>
      </w:r>
      <w:r w:rsidR="00335E52" w:rsidRPr="00335E52">
        <w:t xml:space="preserve"> for the transf</w:t>
      </w:r>
      <w:r w:rsidR="00BB442D">
        <w:t>er of the l</w:t>
      </w:r>
      <w:r w:rsidR="00335E52" w:rsidRPr="00335E52">
        <w:t>icence wi</w:t>
      </w:r>
      <w:r>
        <w:t>thout the prior consent of the l</w:t>
      </w:r>
      <w:r w:rsidR="00335E52" w:rsidRPr="00335E52">
        <w:t xml:space="preserve">essor. </w:t>
      </w:r>
      <w:r>
        <w:t xml:space="preserve"> </w:t>
      </w:r>
      <w:r w:rsidR="00BB442D">
        <w:t>In effect, this prevented the l</w:t>
      </w:r>
      <w:r w:rsidR="00335E52" w:rsidRPr="00335E52">
        <w:t xml:space="preserve">essee from ever exercising any right to apply for substitution of </w:t>
      </w:r>
      <w:r>
        <w:t>the liquor licence to alternative premises.</w:t>
      </w:r>
      <w:r w:rsidR="00335E52" w:rsidRPr="00335E52">
        <w:t xml:space="preserve"> </w:t>
      </w:r>
    </w:p>
    <w:p w:rsidR="00335E52" w:rsidRPr="00E45A78" w:rsidRDefault="00335E52" w:rsidP="00E45A78">
      <w:pPr>
        <w:pStyle w:val="NoSpacing"/>
      </w:pPr>
      <w:r w:rsidRPr="00335E52">
        <w:t xml:space="preserve">Under the provisions of the Act dealing with transfer of licences, the only application in which a current licensee makes an application is one for substitution of premises. </w:t>
      </w:r>
      <w:r w:rsidR="00E45A78">
        <w:t xml:space="preserve"> </w:t>
      </w:r>
      <w:r w:rsidRPr="00335E52">
        <w:t xml:space="preserve">Applications in respect of </w:t>
      </w:r>
      <w:r w:rsidR="00E45A78">
        <w:t>the transfer of a liquor licence</w:t>
      </w:r>
      <w:r w:rsidRPr="00335E52">
        <w:t xml:space="preserve"> to another person are made by the prospective transferee.</w:t>
      </w:r>
      <w:r w:rsidR="00E45A78">
        <w:t xml:space="preserve">  Clause 14.3.5(a) of the </w:t>
      </w:r>
      <w:r w:rsidR="00BB442D">
        <w:t>L</w:t>
      </w:r>
      <w:r w:rsidRPr="00335E52">
        <w:t>ease</w:t>
      </w:r>
      <w:r w:rsidR="00E45A78">
        <w:t xml:space="preserve"> prohibits the lessee, </w:t>
      </w:r>
      <w:proofErr w:type="spellStart"/>
      <w:r w:rsidR="00E45A78">
        <w:t>TBHI</w:t>
      </w:r>
      <w:proofErr w:type="spellEnd"/>
      <w:r w:rsidR="00E45A78">
        <w:t>, from transferring the liquor licence to another party</w:t>
      </w:r>
      <w:r w:rsidRPr="00335E52">
        <w:t xml:space="preserve">. </w:t>
      </w:r>
      <w:r w:rsidR="00E45A78">
        <w:t xml:space="preserve">  As a result, to give clause 14.3</w:t>
      </w:r>
      <w:r w:rsidRPr="00335E52">
        <w:t xml:space="preserve">.5(b) any work to do, it must be construed as a reference to an application for substitution of premises. </w:t>
      </w:r>
    </w:p>
    <w:p w:rsidR="00335E52" w:rsidRPr="00335E52" w:rsidRDefault="00E45A78" w:rsidP="00335E52">
      <w:pPr>
        <w:pStyle w:val="NoSpacing"/>
      </w:pPr>
      <w:r>
        <w:t>As noted above, t</w:t>
      </w:r>
      <w:r w:rsidR="00335E52" w:rsidRPr="00335E52">
        <w:t xml:space="preserve">he </w:t>
      </w:r>
      <w:r>
        <w:t>lawyers acting for Mr and Mrs Fink have s</w:t>
      </w:r>
      <w:r w:rsidR="007C4943">
        <w:t>tated that the L</w:t>
      </w:r>
      <w:r w:rsidR="00335E52" w:rsidRPr="00335E52">
        <w:t xml:space="preserve">ease </w:t>
      </w:r>
      <w:r>
        <w:t>was terminated by the l</w:t>
      </w:r>
      <w:r w:rsidR="00335E52" w:rsidRPr="00335E52">
        <w:t xml:space="preserve">essor on 1 December 2016. </w:t>
      </w:r>
      <w:r>
        <w:t xml:space="preserve">  It is </w:t>
      </w:r>
      <w:r w:rsidR="00BB442D">
        <w:t xml:space="preserve">also </w:t>
      </w:r>
      <w:r>
        <w:t xml:space="preserve">apparent </w:t>
      </w:r>
      <w:r w:rsidR="00BB442D">
        <w:t xml:space="preserve">from advice provided to Licensing NT </w:t>
      </w:r>
      <w:r w:rsidR="00B1257D">
        <w:t xml:space="preserve">by the parties </w:t>
      </w:r>
      <w:r>
        <w:t xml:space="preserve">that </w:t>
      </w:r>
      <w:proofErr w:type="spellStart"/>
      <w:r>
        <w:t>TBHI</w:t>
      </w:r>
      <w:proofErr w:type="spellEnd"/>
      <w:r>
        <w:t xml:space="preserve"> no longer occupies the </w:t>
      </w:r>
      <w:r w:rsidR="00B1257D">
        <w:t>P</w:t>
      </w:r>
      <w:r>
        <w:t xml:space="preserve">remises.   The lawyers representing </w:t>
      </w:r>
      <w:proofErr w:type="spellStart"/>
      <w:r>
        <w:t>TBHI</w:t>
      </w:r>
      <w:proofErr w:type="spellEnd"/>
      <w:r>
        <w:t xml:space="preserve"> have not disputed that the </w:t>
      </w:r>
      <w:r w:rsidR="00B1257D">
        <w:t>L</w:t>
      </w:r>
      <w:r>
        <w:t xml:space="preserve">ease has been terminated and </w:t>
      </w:r>
      <w:r w:rsidR="00335E52" w:rsidRPr="00335E52">
        <w:t>it is mat</w:t>
      </w:r>
      <w:r>
        <w:t>erial to note that the l</w:t>
      </w:r>
      <w:r w:rsidR="00335E52" w:rsidRPr="00335E52">
        <w:t xml:space="preserve">essor, who would otherwise be the </w:t>
      </w:r>
      <w:proofErr w:type="spellStart"/>
      <w:r w:rsidR="00335E52" w:rsidRPr="00335E52">
        <w:t>donee</w:t>
      </w:r>
      <w:proofErr w:type="spellEnd"/>
      <w:r w:rsidR="00335E52" w:rsidRPr="00335E52">
        <w:t xml:space="preserve"> of the power of attorney, is the party which asserts that the Lease has come to an end. </w:t>
      </w:r>
    </w:p>
    <w:p w:rsidR="00092897" w:rsidRDefault="00335E52" w:rsidP="00092897">
      <w:pPr>
        <w:pStyle w:val="NoSpacing"/>
      </w:pPr>
      <w:r w:rsidRPr="00335E52">
        <w:t>In my view the powe</w:t>
      </w:r>
      <w:r w:rsidR="00E45A78">
        <w:t>r of attorney in favour of the l</w:t>
      </w:r>
      <w:r w:rsidRPr="00335E52">
        <w:t>essor survives the termination</w:t>
      </w:r>
      <w:r w:rsidR="00B1257D">
        <w:t xml:space="preserve"> of the L</w:t>
      </w:r>
      <w:r w:rsidR="00E45A78">
        <w:t>ease agreement for two</w:t>
      </w:r>
      <w:r w:rsidRPr="00335E52">
        <w:t xml:space="preserve"> reasons</w:t>
      </w:r>
      <w:r w:rsidR="00092897">
        <w:t xml:space="preserve">.  </w:t>
      </w:r>
      <w:r w:rsidRPr="00335E52">
        <w:t>First</w:t>
      </w:r>
      <w:r w:rsidR="00092897">
        <w:t>ly</w:t>
      </w:r>
      <w:r w:rsidR="00B1257D">
        <w:t>, the express terms of the L</w:t>
      </w:r>
      <w:r w:rsidRPr="00335E52">
        <w:t xml:space="preserve">ease contemplate that the parties would continue to have obligations and powers in relation to the liquor licence even </w:t>
      </w:r>
      <w:r w:rsidRPr="00335E52">
        <w:lastRenderedPageBreak/>
        <w:t xml:space="preserve">after termination. This is evidenced by the express words of clause 14.7.2 </w:t>
      </w:r>
      <w:r w:rsidR="00B1257D">
        <w:t xml:space="preserve">of the Lease </w:t>
      </w:r>
      <w:r w:rsidRPr="00335E52">
        <w:t>but is also the plain effect of the combination of subclauses relating to the liquor licenc</w:t>
      </w:r>
      <w:r w:rsidR="00092897">
        <w:t>e.</w:t>
      </w:r>
    </w:p>
    <w:p w:rsidR="00335E52" w:rsidRPr="00335E52" w:rsidRDefault="00092897" w:rsidP="00345562">
      <w:pPr>
        <w:pStyle w:val="NoSpacing"/>
      </w:pPr>
      <w:r>
        <w:t>Secondly,</w:t>
      </w:r>
      <w:r w:rsidR="00B1257D">
        <w:t xml:space="preserve"> the interest of the </w:t>
      </w:r>
      <w:proofErr w:type="spellStart"/>
      <w:r>
        <w:t>donee</w:t>
      </w:r>
      <w:proofErr w:type="spellEnd"/>
      <w:r>
        <w:t xml:space="preserve"> l</w:t>
      </w:r>
      <w:r w:rsidR="00335E52" w:rsidRPr="00335E52">
        <w:t xml:space="preserve">essor is its interest in the liquor licence, which is reflected in the specified terms of the Lease referred to </w:t>
      </w:r>
      <w:r>
        <w:t>above</w:t>
      </w:r>
      <w:r w:rsidR="00335E52" w:rsidRPr="00335E52">
        <w:t xml:space="preserve">. That interest in the licence is what is protected by the power of attorney. </w:t>
      </w:r>
      <w:r>
        <w:t xml:space="preserve"> </w:t>
      </w:r>
      <w:r w:rsidR="005C3298">
        <w:t>In those</w:t>
      </w:r>
      <w:r w:rsidR="00335E52" w:rsidRPr="00335E52">
        <w:t xml:space="preserve"> circumstances, as long as the licence is in existence, then the power remains in force and is irrevocable</w:t>
      </w:r>
      <w:r>
        <w:rPr>
          <w:rStyle w:val="FootnoteReference"/>
        </w:rPr>
        <w:footnoteReference w:id="3"/>
      </w:r>
      <w:r w:rsidR="00335E52" w:rsidRPr="00335E52">
        <w:t xml:space="preserve">. </w:t>
      </w:r>
    </w:p>
    <w:p w:rsidR="00335E52" w:rsidRPr="00335E52" w:rsidRDefault="00335E52" w:rsidP="00092897">
      <w:pPr>
        <w:pStyle w:val="NoSpacing"/>
      </w:pPr>
      <w:r w:rsidRPr="00335E52">
        <w:t>In t</w:t>
      </w:r>
      <w:r w:rsidR="00B1257D">
        <w:t>hose</w:t>
      </w:r>
      <w:r w:rsidR="00092897">
        <w:t xml:space="preserve"> circumstances, </w:t>
      </w:r>
      <w:r w:rsidR="00B1257D">
        <w:t>it is</w:t>
      </w:r>
      <w:r w:rsidR="00092897">
        <w:t xml:space="preserve"> my view </w:t>
      </w:r>
      <w:r w:rsidR="00B1257D">
        <w:t xml:space="preserve">that </w:t>
      </w:r>
      <w:r w:rsidRPr="00335E52">
        <w:t>the power of attorney is still cap</w:t>
      </w:r>
      <w:r w:rsidR="00092897">
        <w:t>able of being exercised by the l</w:t>
      </w:r>
      <w:r w:rsidRPr="00335E52">
        <w:t xml:space="preserve">essor. </w:t>
      </w:r>
      <w:r w:rsidR="00092897">
        <w:t xml:space="preserve"> My view in that regard is reinforced by</w:t>
      </w:r>
      <w:r w:rsidR="00B1257D">
        <w:t xml:space="preserve"> the terms of the Lease </w:t>
      </w:r>
      <w:r w:rsidR="00092897">
        <w:t xml:space="preserve">which </w:t>
      </w:r>
      <w:r w:rsidRPr="00335E52">
        <w:t xml:space="preserve">make it clear that: </w:t>
      </w:r>
    </w:p>
    <w:p w:rsidR="00335E52" w:rsidRPr="00335E52" w:rsidRDefault="00335E52" w:rsidP="00092897">
      <w:pPr>
        <w:pStyle w:val="NoSpacing"/>
        <w:numPr>
          <w:ilvl w:val="0"/>
          <w:numId w:val="11"/>
        </w:numPr>
      </w:pPr>
      <w:r w:rsidRPr="00335E52">
        <w:t>The parties intended that the liquor licence should</w:t>
      </w:r>
      <w:r w:rsidR="00B1257D">
        <w:t xml:space="preserve"> remain for the benefit of the P</w:t>
      </w:r>
      <w:r w:rsidRPr="00335E52">
        <w:t xml:space="preserve">remises after the expiry of the Lease (unless they agreed in writing to a different course); and </w:t>
      </w:r>
    </w:p>
    <w:p w:rsidR="00335E52" w:rsidRPr="00335E52" w:rsidRDefault="00092897" w:rsidP="00092897">
      <w:pPr>
        <w:pStyle w:val="NoSpacing"/>
        <w:numPr>
          <w:ilvl w:val="0"/>
          <w:numId w:val="11"/>
        </w:numPr>
      </w:pPr>
      <w:r>
        <w:t>The l</w:t>
      </w:r>
      <w:r w:rsidR="00335E52" w:rsidRPr="00335E52">
        <w:t xml:space="preserve">essee could not at any time </w:t>
      </w:r>
      <w:r w:rsidR="00B1257D">
        <w:t>(including after expiry of the L</w:t>
      </w:r>
      <w:r w:rsidR="00335E52" w:rsidRPr="00335E52">
        <w:t xml:space="preserve">ease) apply to </w:t>
      </w:r>
      <w:r w:rsidR="00B1257D">
        <w:t xml:space="preserve">substitute </w:t>
      </w:r>
      <w:r>
        <w:t>the licence to alternative p</w:t>
      </w:r>
      <w:r w:rsidR="00335E52" w:rsidRPr="00335E52">
        <w:t xml:space="preserve">remises. </w:t>
      </w:r>
    </w:p>
    <w:p w:rsidR="00335E52" w:rsidRPr="00335E52" w:rsidRDefault="00335E52" w:rsidP="00092897">
      <w:pPr>
        <w:pStyle w:val="NoSpacing"/>
      </w:pPr>
      <w:r w:rsidRPr="00335E52">
        <w:t>Accordingly, in my view, the application for transfer of the liquor licence is one which the Director</w:t>
      </w:r>
      <w:r w:rsidR="00092897">
        <w:t>-General</w:t>
      </w:r>
      <w:r w:rsidRPr="00335E52">
        <w:t xml:space="preserve"> may approve on the basis that the authority of the owner </w:t>
      </w:r>
      <w:r w:rsidR="00B1257D">
        <w:t xml:space="preserve">of the Premises </w:t>
      </w:r>
      <w:r w:rsidRPr="00335E52">
        <w:t xml:space="preserve">to </w:t>
      </w:r>
      <w:r w:rsidR="005C3298">
        <w:t>apply for the transfer of the liquor licence</w:t>
      </w:r>
      <w:r w:rsidRPr="00335E52">
        <w:t xml:space="preserve"> was provided by the licence holder</w:t>
      </w:r>
      <w:r w:rsidR="00092897">
        <w:t xml:space="preserve"> and is irrevocable.  As a consequence t</w:t>
      </w:r>
      <w:r w:rsidRPr="00335E52">
        <w:t>he Director</w:t>
      </w:r>
      <w:r w:rsidR="00092897">
        <w:t>-General</w:t>
      </w:r>
      <w:r w:rsidRPr="00335E52">
        <w:t xml:space="preserve"> is enti</w:t>
      </w:r>
      <w:r w:rsidR="00092897">
        <w:t xml:space="preserve">tled to take into account that </w:t>
      </w:r>
      <w:r w:rsidR="00B1257D">
        <w:t>under the terms of the L</w:t>
      </w:r>
      <w:r w:rsidR="00092897">
        <w:t>ease the l</w:t>
      </w:r>
      <w:r w:rsidRPr="00335E52">
        <w:t xml:space="preserve">essee could not apply for </w:t>
      </w:r>
      <w:r w:rsidR="00B1257D">
        <w:t xml:space="preserve">a </w:t>
      </w:r>
      <w:r w:rsidRPr="00335E52">
        <w:t>substitution of premi</w:t>
      </w:r>
      <w:r w:rsidR="00092897">
        <w:t>ses without the consent of the l</w:t>
      </w:r>
      <w:r w:rsidRPr="00335E52">
        <w:t>essor</w:t>
      </w:r>
      <w:r w:rsidR="00092897">
        <w:t>,</w:t>
      </w:r>
      <w:r w:rsidRPr="00335E52">
        <w:t xml:space="preserve"> which </w:t>
      </w:r>
      <w:r w:rsidR="00092897">
        <w:t xml:space="preserve">consent </w:t>
      </w:r>
      <w:r w:rsidRPr="00335E52">
        <w:t>is not given</w:t>
      </w:r>
      <w:r w:rsidR="005C3298">
        <w:t>.  As a consequence</w:t>
      </w:r>
      <w:r w:rsidR="00092897">
        <w:t xml:space="preserve"> the l</w:t>
      </w:r>
      <w:r w:rsidRPr="00335E52">
        <w:t xml:space="preserve">essee’s stated basis for resisting or opposing the transfer </w:t>
      </w:r>
      <w:r w:rsidR="00B1257D">
        <w:t xml:space="preserve">the liquor licence </w:t>
      </w:r>
      <w:r w:rsidRPr="00335E52">
        <w:t>is not a</w:t>
      </w:r>
      <w:r w:rsidR="00092897">
        <w:t>vailable to it in any event.</w:t>
      </w:r>
      <w:r w:rsidRPr="00335E52">
        <w:t xml:space="preserve"> </w:t>
      </w:r>
    </w:p>
    <w:p w:rsidR="00335E52" w:rsidRPr="00335E52" w:rsidRDefault="00092897" w:rsidP="00345562">
      <w:pPr>
        <w:pStyle w:val="NoSpacing"/>
      </w:pPr>
      <w:r>
        <w:t xml:space="preserve">Also of relevance, </w:t>
      </w:r>
      <w:r w:rsidR="00B1257D">
        <w:t>under the terms of the L</w:t>
      </w:r>
      <w:r>
        <w:t>ease the l</w:t>
      </w:r>
      <w:r w:rsidR="00335E52" w:rsidRPr="00335E52">
        <w:t>essee prov</w:t>
      </w:r>
      <w:r>
        <w:t>ided numerous covenants to the l</w:t>
      </w:r>
      <w:r w:rsidR="00335E52" w:rsidRPr="00335E52">
        <w:t>essor intended to ensure that the licence would be transf</w:t>
      </w:r>
      <w:r>
        <w:t>erred to the l</w:t>
      </w:r>
      <w:r w:rsidR="00335E52" w:rsidRPr="00335E52">
        <w:t>essor or its nominee on th</w:t>
      </w:r>
      <w:r w:rsidR="00B1257D">
        <w:t>e termination or expiry of the L</w:t>
      </w:r>
      <w:r w:rsidR="00335E52" w:rsidRPr="00335E52">
        <w:t>ease</w:t>
      </w:r>
      <w:r w:rsidR="005C3298">
        <w:t>, as has occurred in this instance</w:t>
      </w:r>
      <w:r w:rsidR="00335E52" w:rsidRPr="00335E52">
        <w:t xml:space="preserve">. </w:t>
      </w:r>
    </w:p>
    <w:p w:rsidR="00551F38" w:rsidRPr="00092897" w:rsidRDefault="00982681" w:rsidP="00047039">
      <w:pPr>
        <w:pStyle w:val="NoSpacing"/>
        <w:numPr>
          <w:ilvl w:val="0"/>
          <w:numId w:val="0"/>
        </w:numPr>
        <w:rPr>
          <w:b/>
        </w:rPr>
      </w:pPr>
      <w:r w:rsidRPr="00092897">
        <w:rPr>
          <w:b/>
        </w:rPr>
        <w:t>DECISION</w:t>
      </w:r>
    </w:p>
    <w:p w:rsidR="00CC7394" w:rsidRPr="00CC7394" w:rsidRDefault="000F4322" w:rsidP="000F4322">
      <w:pPr>
        <w:pStyle w:val="NoSpacing"/>
        <w:rPr>
          <w:rFonts w:cs="Arial"/>
        </w:rPr>
      </w:pPr>
      <w:r w:rsidRPr="002F3A1A">
        <w:t>On the basis of the matters set out above, and in</w:t>
      </w:r>
      <w:r>
        <w:t xml:space="preserve"> accordance with section 14(2)(c</w:t>
      </w:r>
      <w:r w:rsidRPr="002F3A1A">
        <w:t xml:space="preserve">) of the </w:t>
      </w:r>
      <w:r w:rsidRPr="002F3A1A">
        <w:rPr>
          <w:i/>
        </w:rPr>
        <w:t>Licensing (Director-General) Act</w:t>
      </w:r>
      <w:r w:rsidRPr="002F3A1A">
        <w:t xml:space="preserve">, I have determined to </w:t>
      </w:r>
      <w:r>
        <w:t>set aside</w:t>
      </w:r>
      <w:r w:rsidRPr="002F3A1A">
        <w:t xml:space="preserve"> the decision of the delegate dated </w:t>
      </w:r>
      <w:r w:rsidR="00B1257D">
        <w:t>19 May 2017</w:t>
      </w:r>
      <w:r>
        <w:t xml:space="preserve"> to </w:t>
      </w:r>
      <w:r w:rsidR="000907F0">
        <w:t xml:space="preserve">refuse to transfer the liquor licence for the Bark Hut Inn from </w:t>
      </w:r>
      <w:proofErr w:type="spellStart"/>
      <w:r w:rsidR="000907F0">
        <w:t>TBHI</w:t>
      </w:r>
      <w:proofErr w:type="spellEnd"/>
      <w:r w:rsidR="000907F0">
        <w:t xml:space="preserve"> to Mr and Mrs Fink</w:t>
      </w:r>
      <w:r>
        <w:t xml:space="preserve">.  The </w:t>
      </w:r>
      <w:r w:rsidR="000907F0">
        <w:t>decision of the delegate to refuse to transfer</w:t>
      </w:r>
      <w:r>
        <w:t xml:space="preserve"> the liquo</w:t>
      </w:r>
      <w:r w:rsidR="00B1257D">
        <w:t>r licence pursuant to section 43</w:t>
      </w:r>
      <w:r>
        <w:t xml:space="preserve"> </w:t>
      </w:r>
      <w:r w:rsidR="00CC7394">
        <w:t xml:space="preserve">of the Act </w:t>
      </w:r>
      <w:r>
        <w:t xml:space="preserve">was </w:t>
      </w:r>
      <w:r w:rsidR="000907F0">
        <w:t xml:space="preserve">contrary to the terms of </w:t>
      </w:r>
      <w:r w:rsidR="00B1257D">
        <w:t>the L</w:t>
      </w:r>
      <w:r w:rsidR="000907F0">
        <w:t>ease and</w:t>
      </w:r>
      <w:r w:rsidR="00CC7394">
        <w:t>,</w:t>
      </w:r>
      <w:r w:rsidR="000907F0">
        <w:t xml:space="preserve"> in particular</w:t>
      </w:r>
      <w:r w:rsidR="00CC7394">
        <w:t>,</w:t>
      </w:r>
      <w:r w:rsidR="000907F0">
        <w:t xml:space="preserve"> the exercise of the power of attorney contained </w:t>
      </w:r>
      <w:r w:rsidR="00B1257D">
        <w:t>within the L</w:t>
      </w:r>
      <w:r w:rsidR="000907F0">
        <w:t xml:space="preserve">ease </w:t>
      </w:r>
      <w:r w:rsidR="00CC7394">
        <w:t xml:space="preserve">by the lessor.  On the basis of the reasons set out above the decision of the delegate </w:t>
      </w:r>
      <w:r>
        <w:t>must t</w:t>
      </w:r>
      <w:r w:rsidR="000907F0">
        <w:t>herefore be overturned</w:t>
      </w:r>
      <w:r>
        <w:t xml:space="preserve">.  </w:t>
      </w:r>
    </w:p>
    <w:p w:rsidR="00CC7394" w:rsidRDefault="000F4322" w:rsidP="000F4322">
      <w:pPr>
        <w:pStyle w:val="NoSpacing"/>
        <w:rPr>
          <w:rFonts w:cs="Arial"/>
        </w:rPr>
      </w:pPr>
      <w:r>
        <w:t xml:space="preserve">As a consequence </w:t>
      </w:r>
      <w:r w:rsidR="00CC7394">
        <w:t>I intend to authorise the transfer of liquor licence number 8</w:t>
      </w:r>
      <w:r w:rsidR="00CC7394" w:rsidRPr="00CC7394">
        <w:rPr>
          <w:rFonts w:cs="Arial"/>
          <w:bCs/>
        </w:rPr>
        <w:t>1200994</w:t>
      </w:r>
      <w:r>
        <w:rPr>
          <w:rFonts w:cs="Arial"/>
        </w:rPr>
        <w:t xml:space="preserve"> </w:t>
      </w:r>
      <w:r w:rsidR="00B1257D">
        <w:rPr>
          <w:rFonts w:cs="Arial"/>
        </w:rPr>
        <w:t xml:space="preserve">which is attached to the Premises </w:t>
      </w:r>
      <w:r w:rsidR="00CC7394">
        <w:rPr>
          <w:rFonts w:cs="Arial"/>
        </w:rPr>
        <w:t xml:space="preserve">from </w:t>
      </w:r>
      <w:proofErr w:type="spellStart"/>
      <w:r w:rsidR="00CC7394">
        <w:rPr>
          <w:rFonts w:cs="Arial"/>
        </w:rPr>
        <w:t>TBHI</w:t>
      </w:r>
      <w:proofErr w:type="spellEnd"/>
      <w:r w:rsidR="00CC7394">
        <w:rPr>
          <w:rFonts w:cs="Arial"/>
        </w:rPr>
        <w:t xml:space="preserve"> to Mr and Mrs Fink as </w:t>
      </w:r>
      <w:r w:rsidR="00B1257D">
        <w:rPr>
          <w:rFonts w:cs="Arial"/>
        </w:rPr>
        <w:t>applied for under the power of attorney</w:t>
      </w:r>
      <w:r w:rsidR="00CC7394">
        <w:rPr>
          <w:rFonts w:cs="Arial"/>
        </w:rPr>
        <w:t>.</w:t>
      </w:r>
    </w:p>
    <w:p w:rsidR="009709C4" w:rsidRDefault="009709C4">
      <w:pPr>
        <w:spacing w:after="0"/>
        <w:jc w:val="left"/>
        <w:rPr>
          <w:rFonts w:ascii="Lato" w:eastAsia="Calibri" w:hAnsi="Lato"/>
          <w:b/>
          <w:sz w:val="22"/>
          <w:szCs w:val="22"/>
          <w:lang w:eastAsia="en-US"/>
        </w:rPr>
      </w:pPr>
    </w:p>
    <w:p w:rsidR="00563597" w:rsidRPr="00CC7394" w:rsidRDefault="00C4328F" w:rsidP="00047039">
      <w:pPr>
        <w:pStyle w:val="NoSpacing"/>
        <w:numPr>
          <w:ilvl w:val="0"/>
          <w:numId w:val="0"/>
        </w:numPr>
        <w:rPr>
          <w:b/>
        </w:rPr>
      </w:pPr>
      <w:r w:rsidRPr="00CC7394">
        <w:rPr>
          <w:b/>
        </w:rPr>
        <w:t>REVIEW OF DECISION</w:t>
      </w:r>
    </w:p>
    <w:p w:rsidR="00913DCB" w:rsidRDefault="00913DCB" w:rsidP="00047039">
      <w:pPr>
        <w:pStyle w:val="NoSpacing"/>
      </w:pPr>
      <w:r>
        <w:t xml:space="preserve">The Director-General has delegated her power to review the delegate’s decision to me pursuant to section 7 of the </w:t>
      </w:r>
      <w:r w:rsidRPr="00B1257D">
        <w:rPr>
          <w:i/>
        </w:rPr>
        <w:t>Licensing (Director-General) Act</w:t>
      </w:r>
      <w:r>
        <w:t>.  As a consequence of that delegation the wit</w:t>
      </w:r>
      <w:r w:rsidR="00B1257D">
        <w:t>h</w:t>
      </w:r>
      <w:r>
        <w:t>in decision is a decision of the Director-General</w:t>
      </w:r>
      <w:r w:rsidR="00B1257D">
        <w:t xml:space="preserve"> and not a delegate decision as that term is defined in the </w:t>
      </w:r>
      <w:r w:rsidR="00B1257D" w:rsidRPr="00B1257D">
        <w:rPr>
          <w:i/>
        </w:rPr>
        <w:t>Licensing (Director-General) Act</w:t>
      </w:r>
      <w:r>
        <w:t>.</w:t>
      </w:r>
    </w:p>
    <w:p w:rsidR="00F631F2" w:rsidRDefault="00913DCB" w:rsidP="00047039">
      <w:pPr>
        <w:pStyle w:val="NoSpacing"/>
      </w:pPr>
      <w:r>
        <w:t>Section</w:t>
      </w:r>
      <w:r w:rsidR="00134790" w:rsidRPr="00F634BB">
        <w:t xml:space="preserve"> </w:t>
      </w:r>
      <w:proofErr w:type="spellStart"/>
      <w:r w:rsidR="00134790" w:rsidRPr="00F634BB">
        <w:t>120ZA</w:t>
      </w:r>
      <w:proofErr w:type="spellEnd"/>
      <w:r w:rsidR="00134790" w:rsidRPr="00F634BB">
        <w:t xml:space="preserve"> of the </w:t>
      </w:r>
      <w:r w:rsidRPr="00913DCB">
        <w:rPr>
          <w:i/>
        </w:rPr>
        <w:t xml:space="preserve">Liquor </w:t>
      </w:r>
      <w:r w:rsidR="00134790" w:rsidRPr="00913DCB">
        <w:rPr>
          <w:i/>
        </w:rPr>
        <w:t>Act</w:t>
      </w:r>
      <w:r w:rsidR="00134790" w:rsidRPr="00F634BB">
        <w:t xml:space="preserve"> provides that a decision of the Director-General, as specified in the Schedule to the Act, is a reviewable decision.  </w:t>
      </w:r>
      <w:r w:rsidR="00474406">
        <w:t>A</w:t>
      </w:r>
      <w:r w:rsidR="00C92508" w:rsidRPr="00F634BB">
        <w:t xml:space="preserve"> decision by the Director-General to </w:t>
      </w:r>
      <w:r w:rsidR="00551F38">
        <w:t xml:space="preserve">refuse </w:t>
      </w:r>
      <w:r w:rsidR="00F631F2">
        <w:t>an application to transfer a liquor licence</w:t>
      </w:r>
      <w:r w:rsidR="00551F38">
        <w:t xml:space="preserve"> pursuant to section </w:t>
      </w:r>
      <w:r w:rsidR="00F631F2">
        <w:t>43(b</w:t>
      </w:r>
      <w:proofErr w:type="gramStart"/>
      <w:r w:rsidR="00F631F2">
        <w:t>)(</w:t>
      </w:r>
      <w:proofErr w:type="gramEnd"/>
      <w:r w:rsidR="00F631F2">
        <w:t>ii)</w:t>
      </w:r>
      <w:r w:rsidR="00551F38">
        <w:t xml:space="preserve"> of the Act is specified in the Schedule and is therefore</w:t>
      </w:r>
      <w:r w:rsidR="00D240F2">
        <w:t xml:space="preserve"> a reviewable decision.  </w:t>
      </w:r>
      <w:r w:rsidR="00474406">
        <w:t>However, a</w:t>
      </w:r>
      <w:r w:rsidR="00F631F2">
        <w:t xml:space="preserve"> decision by the Director-</w:t>
      </w:r>
      <w:r w:rsidR="00F631F2">
        <w:lastRenderedPageBreak/>
        <w:t>General to authorise the transfer of a liquor licence pursuant to section 43(1)(b)(</w:t>
      </w:r>
      <w:proofErr w:type="spellStart"/>
      <w:r w:rsidR="00F631F2">
        <w:t>i</w:t>
      </w:r>
      <w:proofErr w:type="spellEnd"/>
      <w:r w:rsidR="00F631F2">
        <w:t>) of the Act is not specified in the S</w:t>
      </w:r>
      <w:r w:rsidR="003B61DF">
        <w:t>c</w:t>
      </w:r>
      <w:r w:rsidR="00F631F2">
        <w:t>hedule to the Act and is therefore not a reviewable decision.</w:t>
      </w:r>
    </w:p>
    <w:p w:rsidR="00551F38" w:rsidRPr="00665A94" w:rsidRDefault="00F631F2" w:rsidP="00345562">
      <w:pPr>
        <w:pStyle w:val="NoSpacing"/>
      </w:pPr>
      <w:r>
        <w:t>A</w:t>
      </w:r>
      <w:r w:rsidR="00474406">
        <w:t xml:space="preserve">s a consequence </w:t>
      </w:r>
      <w:r>
        <w:t xml:space="preserve">this decision </w:t>
      </w:r>
      <w:r w:rsidR="00474406">
        <w:t>is not a decision for which a review may sought before</w:t>
      </w:r>
      <w:r>
        <w:t xml:space="preserve"> the NT Civil and Administrative Tribunal</w:t>
      </w:r>
      <w:r w:rsidR="00474406">
        <w:t>.</w:t>
      </w:r>
      <w:r>
        <w:t xml:space="preserve"> </w:t>
      </w:r>
      <w:bookmarkStart w:id="0" w:name="_GoBack"/>
      <w:bookmarkEnd w:id="0"/>
    </w:p>
    <w:p w:rsidR="0012380A" w:rsidRDefault="0012380A" w:rsidP="00047039">
      <w:pPr>
        <w:pStyle w:val="NoSpacing"/>
        <w:numPr>
          <w:ilvl w:val="0"/>
          <w:numId w:val="0"/>
        </w:numPr>
      </w:pPr>
    </w:p>
    <w:p w:rsidR="0012380A" w:rsidRDefault="0012380A" w:rsidP="00047039">
      <w:pPr>
        <w:pStyle w:val="NoSpacing"/>
        <w:numPr>
          <w:ilvl w:val="0"/>
          <w:numId w:val="0"/>
        </w:numPr>
      </w:pPr>
    </w:p>
    <w:p w:rsidR="00CC08E4" w:rsidRDefault="00CC08E4" w:rsidP="00047039">
      <w:pPr>
        <w:pStyle w:val="NoSpacing"/>
        <w:numPr>
          <w:ilvl w:val="0"/>
          <w:numId w:val="0"/>
        </w:numPr>
      </w:pPr>
    </w:p>
    <w:p w:rsidR="00C92508" w:rsidRPr="00CC08E4" w:rsidRDefault="00474406" w:rsidP="00047039">
      <w:pPr>
        <w:pStyle w:val="NoSpacing"/>
        <w:numPr>
          <w:ilvl w:val="0"/>
          <w:numId w:val="0"/>
        </w:numPr>
        <w:rPr>
          <w:b/>
        </w:rPr>
      </w:pPr>
      <w:r w:rsidRPr="00CC08E4">
        <w:rPr>
          <w:b/>
        </w:rPr>
        <w:t>Philip Timney</w:t>
      </w:r>
    </w:p>
    <w:p w:rsidR="00CC08E4" w:rsidRDefault="00474406" w:rsidP="00616EB4">
      <w:pPr>
        <w:spacing w:after="0"/>
        <w:ind w:right="1276"/>
        <w:rPr>
          <w:rFonts w:ascii="Lato" w:hAnsi="Lato" w:cs="Arial"/>
          <w:sz w:val="22"/>
          <w:szCs w:val="22"/>
        </w:rPr>
      </w:pPr>
      <w:r>
        <w:rPr>
          <w:rFonts w:ascii="Lato" w:hAnsi="Lato" w:cs="Arial"/>
          <w:sz w:val="22"/>
          <w:szCs w:val="22"/>
        </w:rPr>
        <w:t xml:space="preserve">Under delegation from </w:t>
      </w:r>
    </w:p>
    <w:p w:rsidR="00C92508" w:rsidRPr="00F634BB" w:rsidRDefault="00474406" w:rsidP="00616EB4">
      <w:pPr>
        <w:spacing w:after="0"/>
        <w:ind w:right="1276"/>
        <w:rPr>
          <w:rFonts w:ascii="Lato" w:hAnsi="Lato" w:cs="Arial"/>
          <w:sz w:val="22"/>
          <w:szCs w:val="22"/>
        </w:rPr>
      </w:pPr>
      <w:proofErr w:type="gramStart"/>
      <w:r>
        <w:rPr>
          <w:rFonts w:ascii="Lato" w:hAnsi="Lato" w:cs="Arial"/>
          <w:sz w:val="22"/>
          <w:szCs w:val="22"/>
        </w:rPr>
        <w:t>the</w:t>
      </w:r>
      <w:proofErr w:type="gramEnd"/>
      <w:r>
        <w:rPr>
          <w:rFonts w:ascii="Lato" w:hAnsi="Lato" w:cs="Arial"/>
          <w:sz w:val="22"/>
          <w:szCs w:val="22"/>
        </w:rPr>
        <w:t xml:space="preserve"> </w:t>
      </w:r>
      <w:r w:rsidR="00C92508" w:rsidRPr="00F634BB">
        <w:rPr>
          <w:rFonts w:ascii="Lato" w:hAnsi="Lato" w:cs="Arial"/>
          <w:sz w:val="22"/>
          <w:szCs w:val="22"/>
        </w:rPr>
        <w:t>Director-General of Licensing</w:t>
      </w:r>
    </w:p>
    <w:p w:rsidR="00616EB4" w:rsidRPr="00F634BB" w:rsidRDefault="00616EB4" w:rsidP="00616EB4">
      <w:pPr>
        <w:spacing w:after="0"/>
        <w:ind w:right="1276"/>
        <w:rPr>
          <w:rFonts w:ascii="Lato" w:hAnsi="Lato" w:cs="Arial"/>
          <w:sz w:val="22"/>
          <w:szCs w:val="22"/>
        </w:rPr>
      </w:pPr>
    </w:p>
    <w:p w:rsidR="00C92508" w:rsidRPr="00F634BB" w:rsidRDefault="00474406" w:rsidP="00616EB4">
      <w:pPr>
        <w:spacing w:after="0"/>
        <w:ind w:right="1276"/>
        <w:rPr>
          <w:rFonts w:ascii="Lato" w:hAnsi="Lato" w:cs="Arial"/>
          <w:sz w:val="22"/>
          <w:szCs w:val="22"/>
        </w:rPr>
      </w:pPr>
      <w:r>
        <w:rPr>
          <w:rFonts w:ascii="Lato" w:hAnsi="Lato" w:cs="Arial"/>
          <w:sz w:val="22"/>
          <w:szCs w:val="22"/>
        </w:rPr>
        <w:t>27</w:t>
      </w:r>
      <w:r w:rsidR="00E236B2">
        <w:rPr>
          <w:rFonts w:ascii="Lato" w:hAnsi="Lato" w:cs="Arial"/>
          <w:sz w:val="22"/>
          <w:szCs w:val="22"/>
        </w:rPr>
        <w:t xml:space="preserve"> </w:t>
      </w:r>
      <w:r w:rsidR="0012380A">
        <w:rPr>
          <w:rFonts w:ascii="Lato" w:hAnsi="Lato" w:cs="Arial"/>
          <w:sz w:val="22"/>
          <w:szCs w:val="22"/>
        </w:rPr>
        <w:t>July</w:t>
      </w:r>
      <w:r w:rsidR="00551F38">
        <w:rPr>
          <w:rFonts w:ascii="Lato" w:hAnsi="Lato" w:cs="Arial"/>
          <w:sz w:val="22"/>
          <w:szCs w:val="22"/>
        </w:rPr>
        <w:t xml:space="preserve"> 2017</w:t>
      </w:r>
    </w:p>
    <w:sectPr w:rsidR="00C92508" w:rsidRPr="00F634BB" w:rsidSect="00EA59A3">
      <w:footerReference w:type="default" r:id="rId12"/>
      <w:headerReference w:type="first" r:id="rId13"/>
      <w:footerReference w:type="first" r:id="rId14"/>
      <w:pgSz w:w="11906" w:h="16838" w:code="9"/>
      <w:pgMar w:top="992" w:right="1133"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1E5D" w:rsidRDefault="00E81E5D" w:rsidP="00293A72">
      <w:r>
        <w:separator/>
      </w:r>
    </w:p>
  </w:endnote>
  <w:endnote w:type="continuationSeparator" w:id="0">
    <w:p w:rsidR="00E81E5D" w:rsidRDefault="00E81E5D"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ato">
    <w:panose1 w:val="020F0502020204030203"/>
    <w:charset w:val="00"/>
    <w:family w:val="swiss"/>
    <w:pitch w:val="variable"/>
    <w:sig w:usb0="E10002FF" w:usb1="5000ECFF" w:usb2="0000002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entury">
    <w:panose1 w:val="0204060405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562" w:rsidRDefault="00345562" w:rsidP="00FD3FF0">
    <w:pPr>
      <w:tabs>
        <w:tab w:val="right" w:pos="9638"/>
      </w:tabs>
      <w:spacing w:after="0"/>
      <w:rPr>
        <w:rFonts w:ascii="Lato" w:hAnsi="Lato"/>
        <w:sz w:val="18"/>
        <w:szCs w:val="18"/>
      </w:rPr>
    </w:pPr>
  </w:p>
  <w:p w:rsidR="00345562" w:rsidRPr="00EA59A3" w:rsidRDefault="00345562" w:rsidP="00311C08">
    <w:pPr>
      <w:pBdr>
        <w:top w:val="single" w:sz="4" w:space="1" w:color="auto"/>
      </w:pBdr>
      <w:tabs>
        <w:tab w:val="right" w:pos="9638"/>
      </w:tabs>
      <w:spacing w:after="0"/>
      <w:rPr>
        <w:rFonts w:ascii="Lato" w:hAnsi="Lato"/>
        <w:sz w:val="18"/>
        <w:szCs w:val="18"/>
      </w:rPr>
    </w:pPr>
    <w:r w:rsidRPr="004F018A">
      <w:rPr>
        <w:rFonts w:ascii="Lato" w:hAnsi="Lato"/>
        <w:sz w:val="18"/>
        <w:szCs w:val="18"/>
      </w:rPr>
      <w:t>Decision - Review of Delega</w:t>
    </w:r>
    <w:r>
      <w:rPr>
        <w:rFonts w:ascii="Lato" w:hAnsi="Lato"/>
        <w:sz w:val="18"/>
        <w:szCs w:val="18"/>
      </w:rPr>
      <w:t>te Decision – Refusal to transfer liquor licence</w:t>
    </w:r>
    <w:r>
      <w:rPr>
        <w:rFonts w:ascii="Lato" w:hAnsi="Lato"/>
        <w:sz w:val="18"/>
        <w:szCs w:val="18"/>
      </w:rPr>
      <w:tab/>
      <w:t xml:space="preserve">Date of Decision: </w:t>
    </w:r>
    <w:r w:rsidRPr="0026325D">
      <w:rPr>
        <w:rFonts w:ascii="Lato" w:hAnsi="Lato"/>
        <w:sz w:val="18"/>
        <w:szCs w:val="18"/>
      </w:rPr>
      <w:t>27</w:t>
    </w:r>
    <w:r>
      <w:rPr>
        <w:rFonts w:ascii="Lato" w:hAnsi="Lato"/>
        <w:sz w:val="18"/>
        <w:szCs w:val="18"/>
      </w:rPr>
      <w:t xml:space="preserve"> July 2017</w:t>
    </w:r>
  </w:p>
  <w:p w:rsidR="00345562" w:rsidRPr="00FD3FF0" w:rsidRDefault="00345562" w:rsidP="00311C08">
    <w:pPr>
      <w:tabs>
        <w:tab w:val="right" w:pos="9638"/>
      </w:tabs>
      <w:rPr>
        <w:rFonts w:ascii="Lato" w:hAnsi="Lato"/>
        <w:sz w:val="18"/>
        <w:szCs w:val="18"/>
      </w:rPr>
    </w:pPr>
    <w:r>
      <w:rPr>
        <w:rFonts w:ascii="Lato" w:hAnsi="Lato"/>
        <w:sz w:val="18"/>
        <w:szCs w:val="18"/>
      </w:rPr>
      <w:t xml:space="preserve">Bark Hut Inn - </w:t>
    </w:r>
    <w:r w:rsidRPr="00EA59A3">
      <w:rPr>
        <w:rFonts w:ascii="Lato" w:hAnsi="Lato"/>
        <w:sz w:val="18"/>
        <w:szCs w:val="18"/>
      </w:rPr>
      <w:t xml:space="preserve">Ref# </w:t>
    </w:r>
    <w:proofErr w:type="spellStart"/>
    <w:r>
      <w:rPr>
        <w:rFonts w:ascii="Lato" w:hAnsi="Lato"/>
        <w:sz w:val="18"/>
        <w:szCs w:val="18"/>
      </w:rPr>
      <w:t>DTBI2017</w:t>
    </w:r>
    <w:proofErr w:type="spellEnd"/>
    <w:r>
      <w:rPr>
        <w:rFonts w:ascii="Lato" w:hAnsi="Lato"/>
        <w:sz w:val="18"/>
        <w:szCs w:val="18"/>
      </w:rPr>
      <w:t>/05906</w:t>
    </w:r>
    <w:r w:rsidRPr="00EA59A3">
      <w:rPr>
        <w:rFonts w:ascii="Lato" w:hAnsi="Lato"/>
        <w:sz w:val="18"/>
        <w:szCs w:val="18"/>
      </w:rPr>
      <w:tab/>
    </w:r>
    <w:r w:rsidRPr="00EA59A3">
      <w:rPr>
        <w:rFonts w:ascii="Lato" w:hAnsi="Lato"/>
        <w:sz w:val="18"/>
        <w:szCs w:val="18"/>
      </w:rPr>
      <w:fldChar w:fldCharType="begin"/>
    </w:r>
    <w:r w:rsidRPr="00EA59A3">
      <w:rPr>
        <w:rFonts w:ascii="Lato" w:hAnsi="Lato"/>
        <w:sz w:val="18"/>
        <w:szCs w:val="18"/>
      </w:rPr>
      <w:instrText xml:space="preserve"> PAGE   \* MERGEFORMAT </w:instrText>
    </w:r>
    <w:r w:rsidRPr="00EA59A3">
      <w:rPr>
        <w:rFonts w:ascii="Lato" w:hAnsi="Lato"/>
        <w:sz w:val="18"/>
        <w:szCs w:val="18"/>
      </w:rPr>
      <w:fldChar w:fldCharType="separate"/>
    </w:r>
    <w:r w:rsidR="001873B0" w:rsidRPr="001873B0">
      <w:rPr>
        <w:noProof/>
        <w:sz w:val="18"/>
        <w:szCs w:val="18"/>
      </w:rPr>
      <w:t>7</w:t>
    </w:r>
    <w:r w:rsidRPr="00EA59A3">
      <w:rPr>
        <w:rFonts w:ascii="Lato" w:hAnsi="Lato"/>
        <w:noProof/>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562" w:rsidRDefault="00345562" w:rsidP="00EA59A3">
    <w:pPr>
      <w:tabs>
        <w:tab w:val="right" w:pos="9638"/>
      </w:tabs>
      <w:spacing w:after="0"/>
      <w:rPr>
        <w:rFonts w:ascii="Lato" w:hAnsi="Lato"/>
        <w:sz w:val="18"/>
        <w:szCs w:val="18"/>
      </w:rPr>
    </w:pPr>
  </w:p>
  <w:p w:rsidR="00345562" w:rsidRPr="00EA59A3" w:rsidRDefault="00345562" w:rsidP="004F018A">
    <w:pPr>
      <w:pBdr>
        <w:top w:val="single" w:sz="4" w:space="1" w:color="auto"/>
      </w:pBdr>
      <w:tabs>
        <w:tab w:val="right" w:pos="9638"/>
      </w:tabs>
      <w:spacing w:after="0"/>
      <w:rPr>
        <w:rFonts w:ascii="Lato" w:hAnsi="Lato"/>
        <w:sz w:val="18"/>
        <w:szCs w:val="18"/>
      </w:rPr>
    </w:pPr>
    <w:r w:rsidRPr="004F018A">
      <w:rPr>
        <w:rFonts w:ascii="Lato" w:hAnsi="Lato"/>
        <w:sz w:val="18"/>
        <w:szCs w:val="18"/>
      </w:rPr>
      <w:t>Decision - Review of Delega</w:t>
    </w:r>
    <w:r>
      <w:rPr>
        <w:rFonts w:ascii="Lato" w:hAnsi="Lato"/>
        <w:sz w:val="18"/>
        <w:szCs w:val="18"/>
      </w:rPr>
      <w:t>te Decision – Refusal to transfer liquor licence</w:t>
    </w:r>
    <w:r>
      <w:rPr>
        <w:rFonts w:ascii="Lato" w:hAnsi="Lato"/>
        <w:sz w:val="18"/>
        <w:szCs w:val="18"/>
      </w:rPr>
      <w:tab/>
      <w:t xml:space="preserve">Date of Decision: </w:t>
    </w:r>
    <w:r w:rsidRPr="0026325D">
      <w:rPr>
        <w:rFonts w:ascii="Lato" w:hAnsi="Lato"/>
        <w:sz w:val="18"/>
        <w:szCs w:val="18"/>
      </w:rPr>
      <w:t>27</w:t>
    </w:r>
    <w:r>
      <w:rPr>
        <w:rFonts w:ascii="Lato" w:hAnsi="Lato"/>
        <w:sz w:val="18"/>
        <w:szCs w:val="18"/>
      </w:rPr>
      <w:t xml:space="preserve"> July 2017</w:t>
    </w:r>
  </w:p>
  <w:p w:rsidR="00345562" w:rsidRPr="00EA59A3" w:rsidRDefault="00345562" w:rsidP="004F018A">
    <w:pPr>
      <w:tabs>
        <w:tab w:val="right" w:pos="9638"/>
      </w:tabs>
      <w:rPr>
        <w:rFonts w:ascii="Lato" w:hAnsi="Lato"/>
        <w:sz w:val="18"/>
        <w:szCs w:val="18"/>
      </w:rPr>
    </w:pPr>
    <w:r>
      <w:rPr>
        <w:rFonts w:ascii="Lato" w:hAnsi="Lato"/>
        <w:sz w:val="18"/>
        <w:szCs w:val="18"/>
      </w:rPr>
      <w:t xml:space="preserve">Bark Hut Inn - </w:t>
    </w:r>
    <w:r w:rsidRPr="00EA59A3">
      <w:rPr>
        <w:rFonts w:ascii="Lato" w:hAnsi="Lato"/>
        <w:sz w:val="18"/>
        <w:szCs w:val="18"/>
      </w:rPr>
      <w:t xml:space="preserve">Ref# </w:t>
    </w:r>
    <w:proofErr w:type="spellStart"/>
    <w:r>
      <w:rPr>
        <w:rFonts w:ascii="Lato" w:hAnsi="Lato"/>
        <w:sz w:val="18"/>
        <w:szCs w:val="18"/>
      </w:rPr>
      <w:t>DTBI2017</w:t>
    </w:r>
    <w:proofErr w:type="spellEnd"/>
    <w:r>
      <w:rPr>
        <w:rFonts w:ascii="Lato" w:hAnsi="Lato"/>
        <w:sz w:val="18"/>
        <w:szCs w:val="18"/>
      </w:rPr>
      <w:t>/05906</w:t>
    </w:r>
    <w:r w:rsidRPr="00EA59A3">
      <w:rPr>
        <w:rFonts w:ascii="Lato" w:hAnsi="Lato"/>
        <w:sz w:val="18"/>
        <w:szCs w:val="18"/>
      </w:rPr>
      <w:tab/>
    </w:r>
    <w:r w:rsidRPr="00EA59A3">
      <w:rPr>
        <w:rFonts w:ascii="Lato" w:hAnsi="Lato"/>
        <w:sz w:val="18"/>
        <w:szCs w:val="18"/>
      </w:rPr>
      <w:fldChar w:fldCharType="begin"/>
    </w:r>
    <w:r w:rsidRPr="00EA59A3">
      <w:rPr>
        <w:rFonts w:ascii="Lato" w:hAnsi="Lato"/>
        <w:sz w:val="18"/>
        <w:szCs w:val="18"/>
      </w:rPr>
      <w:instrText xml:space="preserve"> PAGE   \* MERGEFORMAT </w:instrText>
    </w:r>
    <w:r w:rsidRPr="00EA59A3">
      <w:rPr>
        <w:rFonts w:ascii="Lato" w:hAnsi="Lato"/>
        <w:sz w:val="18"/>
        <w:szCs w:val="18"/>
      </w:rPr>
      <w:fldChar w:fldCharType="separate"/>
    </w:r>
    <w:r w:rsidR="001873B0" w:rsidRPr="001873B0">
      <w:rPr>
        <w:noProof/>
        <w:sz w:val="18"/>
        <w:szCs w:val="18"/>
      </w:rPr>
      <w:t>1</w:t>
    </w:r>
    <w:r w:rsidRPr="00EA59A3">
      <w:rPr>
        <w:rFonts w:ascii="Lato" w:hAnsi="Lato"/>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1E5D" w:rsidRDefault="00E81E5D" w:rsidP="00293A72">
      <w:r>
        <w:separator/>
      </w:r>
    </w:p>
  </w:footnote>
  <w:footnote w:type="continuationSeparator" w:id="0">
    <w:p w:rsidR="00E81E5D" w:rsidRDefault="00E81E5D" w:rsidP="00293A72">
      <w:r>
        <w:continuationSeparator/>
      </w:r>
    </w:p>
  </w:footnote>
  <w:footnote w:id="1">
    <w:p w:rsidR="00345562" w:rsidRPr="005C3C99" w:rsidRDefault="00345562">
      <w:pPr>
        <w:pStyle w:val="FootnoteText"/>
        <w:rPr>
          <w:sz w:val="16"/>
          <w:szCs w:val="16"/>
        </w:rPr>
      </w:pPr>
      <w:r>
        <w:rPr>
          <w:rStyle w:val="FootnoteReference"/>
        </w:rPr>
        <w:footnoteRef/>
      </w:r>
      <w:r>
        <w:t xml:space="preserve"> </w:t>
      </w:r>
      <w:r w:rsidRPr="005C3C99">
        <w:rPr>
          <w:sz w:val="16"/>
          <w:szCs w:val="16"/>
        </w:rPr>
        <w:t xml:space="preserve">The reference to the (Licensing) Commission now refers to the Director-General of Licensing following the repeal of the </w:t>
      </w:r>
      <w:r w:rsidRPr="005C3C99">
        <w:rPr>
          <w:i/>
          <w:sz w:val="16"/>
          <w:szCs w:val="16"/>
        </w:rPr>
        <w:t>N</w:t>
      </w:r>
      <w:r>
        <w:rPr>
          <w:i/>
          <w:sz w:val="16"/>
          <w:szCs w:val="16"/>
        </w:rPr>
        <w:t xml:space="preserve">orthern </w:t>
      </w:r>
      <w:r w:rsidRPr="005C3C99">
        <w:rPr>
          <w:i/>
          <w:sz w:val="16"/>
          <w:szCs w:val="16"/>
        </w:rPr>
        <w:t>T</w:t>
      </w:r>
      <w:r>
        <w:rPr>
          <w:i/>
          <w:sz w:val="16"/>
          <w:szCs w:val="16"/>
        </w:rPr>
        <w:t xml:space="preserve">erritory </w:t>
      </w:r>
      <w:r w:rsidRPr="005C3C99">
        <w:rPr>
          <w:i/>
          <w:sz w:val="16"/>
          <w:szCs w:val="16"/>
        </w:rPr>
        <w:t>Licensing Commission Act</w:t>
      </w:r>
      <w:r w:rsidRPr="005C3C99">
        <w:rPr>
          <w:sz w:val="16"/>
          <w:szCs w:val="16"/>
        </w:rPr>
        <w:t xml:space="preserve"> in 2015</w:t>
      </w:r>
    </w:p>
  </w:footnote>
  <w:footnote w:id="2">
    <w:p w:rsidR="00345562" w:rsidRPr="00E45A78" w:rsidRDefault="00345562">
      <w:pPr>
        <w:pStyle w:val="FootnoteText"/>
        <w:rPr>
          <w:sz w:val="16"/>
          <w:szCs w:val="16"/>
        </w:rPr>
      </w:pPr>
      <w:r>
        <w:rPr>
          <w:rStyle w:val="FootnoteReference"/>
        </w:rPr>
        <w:footnoteRef/>
      </w:r>
      <w:r>
        <w:t xml:space="preserve"> </w:t>
      </w:r>
      <w:r w:rsidRPr="00E45A78">
        <w:rPr>
          <w:sz w:val="16"/>
          <w:szCs w:val="16"/>
        </w:rPr>
        <w:t xml:space="preserve">Again, the reference to the </w:t>
      </w:r>
      <w:r>
        <w:rPr>
          <w:sz w:val="16"/>
          <w:szCs w:val="16"/>
        </w:rPr>
        <w:t>“</w:t>
      </w:r>
      <w:r w:rsidR="005C3298">
        <w:rPr>
          <w:sz w:val="16"/>
          <w:szCs w:val="16"/>
        </w:rPr>
        <w:t>Registrar of L</w:t>
      </w:r>
      <w:r w:rsidRPr="00E45A78">
        <w:rPr>
          <w:sz w:val="16"/>
          <w:szCs w:val="16"/>
        </w:rPr>
        <w:t>icensing</w:t>
      </w:r>
      <w:r>
        <w:rPr>
          <w:sz w:val="16"/>
          <w:szCs w:val="16"/>
        </w:rPr>
        <w:t>”</w:t>
      </w:r>
      <w:r w:rsidRPr="00E45A78">
        <w:rPr>
          <w:sz w:val="16"/>
          <w:szCs w:val="16"/>
        </w:rPr>
        <w:t xml:space="preserve"> is now to be read as a reference to the Director-General of Licensing following the creation of that statutory position in 2015.</w:t>
      </w:r>
    </w:p>
  </w:footnote>
  <w:footnote w:id="3">
    <w:p w:rsidR="00345562" w:rsidRPr="00CC08E4" w:rsidRDefault="00345562">
      <w:pPr>
        <w:pStyle w:val="FootnoteText"/>
        <w:rPr>
          <w:sz w:val="16"/>
          <w:szCs w:val="16"/>
        </w:rPr>
      </w:pPr>
      <w:r>
        <w:rPr>
          <w:rStyle w:val="FootnoteReference"/>
        </w:rPr>
        <w:footnoteRef/>
      </w:r>
      <w:r>
        <w:t xml:space="preserve"> </w:t>
      </w:r>
      <w:proofErr w:type="spellStart"/>
      <w:r w:rsidRPr="00CC08E4">
        <w:rPr>
          <w:rFonts w:eastAsia="Calibri"/>
          <w:i/>
          <w:sz w:val="16"/>
          <w:szCs w:val="16"/>
        </w:rPr>
        <w:t>Slatter</w:t>
      </w:r>
      <w:proofErr w:type="spellEnd"/>
      <w:r w:rsidRPr="00CC08E4">
        <w:rPr>
          <w:rFonts w:eastAsia="Calibri"/>
          <w:i/>
          <w:sz w:val="16"/>
          <w:szCs w:val="16"/>
        </w:rPr>
        <w:t xml:space="preserve"> v Commissioner for Railways</w:t>
      </w:r>
      <w:r w:rsidRPr="00CC08E4">
        <w:rPr>
          <w:rFonts w:eastAsia="Calibri"/>
          <w:sz w:val="16"/>
          <w:szCs w:val="16"/>
        </w:rPr>
        <w:t xml:space="preserve"> NSW (1931) 45 </w:t>
      </w:r>
      <w:proofErr w:type="spellStart"/>
      <w:r w:rsidRPr="00CC08E4">
        <w:rPr>
          <w:rFonts w:eastAsia="Calibri"/>
          <w:sz w:val="16"/>
          <w:szCs w:val="16"/>
        </w:rPr>
        <w:t>CLR</w:t>
      </w:r>
      <w:proofErr w:type="spellEnd"/>
      <w:r w:rsidRPr="00CC08E4">
        <w:rPr>
          <w:rFonts w:eastAsia="Calibri"/>
          <w:sz w:val="16"/>
          <w:szCs w:val="16"/>
        </w:rPr>
        <w:t xml:space="preserve"> 68; </w:t>
      </w:r>
      <w:r w:rsidRPr="00CC08E4">
        <w:rPr>
          <w:rFonts w:eastAsia="Calibri"/>
          <w:i/>
          <w:sz w:val="16"/>
          <w:szCs w:val="16"/>
        </w:rPr>
        <w:t xml:space="preserve">R v Victorian Licensing Court; ex parte </w:t>
      </w:r>
      <w:proofErr w:type="spellStart"/>
      <w:r w:rsidRPr="00CC08E4">
        <w:rPr>
          <w:rFonts w:eastAsia="Calibri"/>
          <w:i/>
          <w:sz w:val="16"/>
          <w:szCs w:val="16"/>
        </w:rPr>
        <w:t>Beggs</w:t>
      </w:r>
      <w:proofErr w:type="spellEnd"/>
      <w:r w:rsidRPr="00CC08E4">
        <w:rPr>
          <w:rFonts w:eastAsia="Calibri"/>
          <w:sz w:val="16"/>
          <w:szCs w:val="16"/>
        </w:rPr>
        <w:t xml:space="preserve"> [1964] VR 48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562" w:rsidRPr="00611615" w:rsidRDefault="00345562" w:rsidP="00EA59A3">
    <w:pPr>
      <w:pStyle w:val="Header"/>
    </w:pPr>
    <w:r>
      <w:rPr>
        <w:noProof/>
      </w:rPr>
      <w:drawing>
        <wp:anchor distT="0" distB="0" distL="114300" distR="114300" simplePos="0" relativeHeight="251659264" behindDoc="0" locked="0" layoutInCell="1" allowOverlap="1" wp14:anchorId="762E73AF" wp14:editId="6F1906B1">
          <wp:simplePos x="0" y="0"/>
          <wp:positionH relativeFrom="column">
            <wp:posOffset>-204518</wp:posOffset>
          </wp:positionH>
          <wp:positionV relativeFrom="paragraph">
            <wp:posOffset>-452755</wp:posOffset>
          </wp:positionV>
          <wp:extent cx="6739075" cy="1109965"/>
          <wp:effectExtent l="0" t="0" r="0" b="0"/>
          <wp:wrapNone/>
          <wp:docPr id="3" name="Picture 3" descr="P:\Branding\NTG_newBranding\AGD_branding_2016\agd_letterHead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Branding\NTG_newBranding\AGD_branding_2016\agd_letterHead2016.pn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39075" cy="1109965"/>
                  </a:xfrm>
                  <a:prstGeom prst="rect">
                    <a:avLst/>
                  </a:prstGeom>
                  <a:noFill/>
                  <a:ln>
                    <a:noFill/>
                  </a:ln>
                </pic:spPr>
              </pic:pic>
            </a:graphicData>
          </a:graphic>
        </wp:anchor>
      </w:drawing>
    </w:r>
  </w:p>
  <w:p w:rsidR="00345562" w:rsidRDefault="00345562" w:rsidP="00CC3330">
    <w:pPr>
      <w:pStyle w:val="DecisionTitle"/>
      <w:tabs>
        <w:tab w:val="clear" w:pos="904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23967B9"/>
    <w:multiLevelType w:val="hybridMultilevel"/>
    <w:tmpl w:val="4796C8A0"/>
    <w:lvl w:ilvl="0" w:tplc="3D4CDCA0">
      <w:start w:val="1"/>
      <w:numFmt w:val="decimal"/>
      <w:lvlText w:val="%1."/>
      <w:lvlJc w:val="left"/>
      <w:pPr>
        <w:ind w:left="6031"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C421DD"/>
    <w:multiLevelType w:val="hybridMultilevel"/>
    <w:tmpl w:val="B1A6CD32"/>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 w15:restartNumberingAfterBreak="0">
    <w:nsid w:val="13C51A87"/>
    <w:multiLevelType w:val="hybridMultilevel"/>
    <w:tmpl w:val="EE2A7AA2"/>
    <w:lvl w:ilvl="0" w:tplc="C2B67970">
      <w:start w:val="1"/>
      <w:numFmt w:val="decimal"/>
      <w:lvlText w:val="%1)"/>
      <w:lvlJc w:val="left"/>
      <w:pPr>
        <w:ind w:left="6598"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B74FA4"/>
    <w:multiLevelType w:val="hybridMultilevel"/>
    <w:tmpl w:val="0F56C4D2"/>
    <w:lvl w:ilvl="0" w:tplc="0C090017">
      <w:start w:val="1"/>
      <w:numFmt w:val="lowerLetter"/>
      <w:lvlText w:val="%1)"/>
      <w:lvlJc w:val="left"/>
      <w:pPr>
        <w:ind w:left="1571" w:hanging="360"/>
      </w:pPr>
      <w:rPr>
        <w:rFonts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5" w15:restartNumberingAfterBreak="0">
    <w:nsid w:val="24DA04F1"/>
    <w:multiLevelType w:val="hybridMultilevel"/>
    <w:tmpl w:val="C63A47A4"/>
    <w:lvl w:ilvl="0" w:tplc="CE9E1B66">
      <w:start w:val="1"/>
      <w:numFmt w:val="decimal"/>
      <w:pStyle w:val="NoSpacing"/>
      <w:lvlText w:val="%1)"/>
      <w:lvlJc w:val="left"/>
      <w:pPr>
        <w:ind w:left="6598" w:hanging="360"/>
      </w:pPr>
      <w:rPr>
        <w:rFonts w:cs="Times New Roman"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33E68C1"/>
    <w:multiLevelType w:val="hybridMultilevel"/>
    <w:tmpl w:val="15DCE99E"/>
    <w:lvl w:ilvl="0" w:tplc="EE221DB6">
      <w:start w:val="1"/>
      <w:numFmt w:val="bullet"/>
      <w:pStyle w:val="BulletPoint"/>
      <w:lvlText w:val=""/>
      <w:lvlJc w:val="left"/>
      <w:pPr>
        <w:ind w:left="-198" w:hanging="360"/>
      </w:pPr>
      <w:rPr>
        <w:rFonts w:ascii="Symbol" w:hAnsi="Symbol" w:hint="default"/>
      </w:rPr>
    </w:lvl>
    <w:lvl w:ilvl="1" w:tplc="0C090003" w:tentative="1">
      <w:start w:val="1"/>
      <w:numFmt w:val="bullet"/>
      <w:lvlText w:val="o"/>
      <w:lvlJc w:val="left"/>
      <w:pPr>
        <w:ind w:left="522" w:hanging="360"/>
      </w:pPr>
      <w:rPr>
        <w:rFonts w:ascii="Courier New" w:hAnsi="Courier New" w:cs="Courier New" w:hint="default"/>
      </w:rPr>
    </w:lvl>
    <w:lvl w:ilvl="2" w:tplc="0C090005" w:tentative="1">
      <w:start w:val="1"/>
      <w:numFmt w:val="bullet"/>
      <w:lvlText w:val=""/>
      <w:lvlJc w:val="left"/>
      <w:pPr>
        <w:ind w:left="1242" w:hanging="360"/>
      </w:pPr>
      <w:rPr>
        <w:rFonts w:ascii="Wingdings" w:hAnsi="Wingdings" w:hint="default"/>
      </w:rPr>
    </w:lvl>
    <w:lvl w:ilvl="3" w:tplc="0C090001" w:tentative="1">
      <w:start w:val="1"/>
      <w:numFmt w:val="bullet"/>
      <w:lvlText w:val=""/>
      <w:lvlJc w:val="left"/>
      <w:pPr>
        <w:ind w:left="1962" w:hanging="360"/>
      </w:pPr>
      <w:rPr>
        <w:rFonts w:ascii="Symbol" w:hAnsi="Symbol" w:hint="default"/>
      </w:rPr>
    </w:lvl>
    <w:lvl w:ilvl="4" w:tplc="0C090003" w:tentative="1">
      <w:start w:val="1"/>
      <w:numFmt w:val="bullet"/>
      <w:lvlText w:val="o"/>
      <w:lvlJc w:val="left"/>
      <w:pPr>
        <w:ind w:left="2682" w:hanging="360"/>
      </w:pPr>
      <w:rPr>
        <w:rFonts w:ascii="Courier New" w:hAnsi="Courier New" w:cs="Courier New" w:hint="default"/>
      </w:rPr>
    </w:lvl>
    <w:lvl w:ilvl="5" w:tplc="0C090005" w:tentative="1">
      <w:start w:val="1"/>
      <w:numFmt w:val="bullet"/>
      <w:lvlText w:val=""/>
      <w:lvlJc w:val="left"/>
      <w:pPr>
        <w:ind w:left="3402" w:hanging="360"/>
      </w:pPr>
      <w:rPr>
        <w:rFonts w:ascii="Wingdings" w:hAnsi="Wingdings" w:hint="default"/>
      </w:rPr>
    </w:lvl>
    <w:lvl w:ilvl="6" w:tplc="0C090001" w:tentative="1">
      <w:start w:val="1"/>
      <w:numFmt w:val="bullet"/>
      <w:lvlText w:val=""/>
      <w:lvlJc w:val="left"/>
      <w:pPr>
        <w:ind w:left="4122" w:hanging="360"/>
      </w:pPr>
      <w:rPr>
        <w:rFonts w:ascii="Symbol" w:hAnsi="Symbol" w:hint="default"/>
      </w:rPr>
    </w:lvl>
    <w:lvl w:ilvl="7" w:tplc="0C090003" w:tentative="1">
      <w:start w:val="1"/>
      <w:numFmt w:val="bullet"/>
      <w:lvlText w:val="o"/>
      <w:lvlJc w:val="left"/>
      <w:pPr>
        <w:ind w:left="4842" w:hanging="360"/>
      </w:pPr>
      <w:rPr>
        <w:rFonts w:ascii="Courier New" w:hAnsi="Courier New" w:cs="Courier New" w:hint="default"/>
      </w:rPr>
    </w:lvl>
    <w:lvl w:ilvl="8" w:tplc="0C090005" w:tentative="1">
      <w:start w:val="1"/>
      <w:numFmt w:val="bullet"/>
      <w:lvlText w:val=""/>
      <w:lvlJc w:val="left"/>
      <w:pPr>
        <w:ind w:left="5562" w:hanging="360"/>
      </w:pPr>
      <w:rPr>
        <w:rFonts w:ascii="Wingdings" w:hAnsi="Wingdings" w:hint="default"/>
      </w:rPr>
    </w:lvl>
  </w:abstractNum>
  <w:abstractNum w:abstractNumId="7" w15:restartNumberingAfterBreak="0">
    <w:nsid w:val="610662EC"/>
    <w:multiLevelType w:val="hybridMultilevel"/>
    <w:tmpl w:val="0C684592"/>
    <w:lvl w:ilvl="0" w:tplc="5CDA6B96">
      <w:start w:val="1"/>
      <w:numFmt w:val="decimal"/>
      <w:lvlText w:val="%1."/>
      <w:lvlJc w:val="left"/>
      <w:pPr>
        <w:ind w:left="3196"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8" w15:restartNumberingAfterBreak="0">
    <w:nsid w:val="6FD687C3"/>
    <w:multiLevelType w:val="hybridMultilevel"/>
    <w:tmpl w:val="E251DD7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76ED26B4"/>
    <w:multiLevelType w:val="hybridMultilevel"/>
    <w:tmpl w:val="1C320774"/>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0" w15:restartNumberingAfterBreak="0">
    <w:nsid w:val="77E85977"/>
    <w:multiLevelType w:val="hybridMultilevel"/>
    <w:tmpl w:val="05D2B6EA"/>
    <w:lvl w:ilvl="0" w:tplc="0C090001">
      <w:start w:val="1"/>
      <w:numFmt w:val="bullet"/>
      <w:lvlText w:val=""/>
      <w:lvlJc w:val="left"/>
      <w:pPr>
        <w:ind w:left="6598" w:hanging="360"/>
      </w:pPr>
      <w:rPr>
        <w:rFonts w:ascii="Symbol" w:hAnsi="Symbol"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CF81B8A"/>
    <w:multiLevelType w:val="hybridMultilevel"/>
    <w:tmpl w:val="4C247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11"/>
  </w:num>
  <w:num w:numId="5">
    <w:abstractNumId w:val="4"/>
  </w:num>
  <w:num w:numId="6">
    <w:abstractNumId w:val="2"/>
  </w:num>
  <w:num w:numId="7">
    <w:abstractNumId w:val="1"/>
  </w:num>
  <w:num w:numId="8">
    <w:abstractNumId w:val="5"/>
  </w:num>
  <w:num w:numId="9">
    <w:abstractNumId w:val="10"/>
  </w:num>
  <w:num w:numId="10">
    <w:abstractNumId w:val="8"/>
  </w:num>
  <w:num w:numId="11">
    <w:abstractNumId w:val="9"/>
  </w:num>
  <w:num w:numId="12">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B27"/>
    <w:rsid w:val="0000001B"/>
    <w:rsid w:val="00000FA1"/>
    <w:rsid w:val="000033F2"/>
    <w:rsid w:val="000214A6"/>
    <w:rsid w:val="00021D2A"/>
    <w:rsid w:val="000220F5"/>
    <w:rsid w:val="00024E62"/>
    <w:rsid w:val="000344A4"/>
    <w:rsid w:val="00035093"/>
    <w:rsid w:val="000369BD"/>
    <w:rsid w:val="00037217"/>
    <w:rsid w:val="00037E79"/>
    <w:rsid w:val="00042221"/>
    <w:rsid w:val="00047039"/>
    <w:rsid w:val="00053796"/>
    <w:rsid w:val="00053CE4"/>
    <w:rsid w:val="0007259C"/>
    <w:rsid w:val="00081D90"/>
    <w:rsid w:val="000827B1"/>
    <w:rsid w:val="0008625B"/>
    <w:rsid w:val="000907F0"/>
    <w:rsid w:val="00092897"/>
    <w:rsid w:val="00096C2E"/>
    <w:rsid w:val="00096EF4"/>
    <w:rsid w:val="000A1538"/>
    <w:rsid w:val="000A2A38"/>
    <w:rsid w:val="000A4A94"/>
    <w:rsid w:val="000A5093"/>
    <w:rsid w:val="000A7DC6"/>
    <w:rsid w:val="000B024A"/>
    <w:rsid w:val="000B150E"/>
    <w:rsid w:val="000C5F6A"/>
    <w:rsid w:val="000C7E17"/>
    <w:rsid w:val="000D0B4E"/>
    <w:rsid w:val="000D10CF"/>
    <w:rsid w:val="000E28E9"/>
    <w:rsid w:val="000F0DBE"/>
    <w:rsid w:val="000F3957"/>
    <w:rsid w:val="000F4322"/>
    <w:rsid w:val="001034AC"/>
    <w:rsid w:val="00104AE3"/>
    <w:rsid w:val="00117743"/>
    <w:rsid w:val="00117F5B"/>
    <w:rsid w:val="00121F27"/>
    <w:rsid w:val="0012380A"/>
    <w:rsid w:val="00133490"/>
    <w:rsid w:val="00134790"/>
    <w:rsid w:val="001370B8"/>
    <w:rsid w:val="00137394"/>
    <w:rsid w:val="001531F5"/>
    <w:rsid w:val="0015405F"/>
    <w:rsid w:val="001552A6"/>
    <w:rsid w:val="001620E9"/>
    <w:rsid w:val="00162B3F"/>
    <w:rsid w:val="00164F56"/>
    <w:rsid w:val="00173E7B"/>
    <w:rsid w:val="001834DE"/>
    <w:rsid w:val="001873B0"/>
    <w:rsid w:val="001924E0"/>
    <w:rsid w:val="00194D7F"/>
    <w:rsid w:val="00196092"/>
    <w:rsid w:val="001960C6"/>
    <w:rsid w:val="001A2B7F"/>
    <w:rsid w:val="001A31FA"/>
    <w:rsid w:val="001A4B2F"/>
    <w:rsid w:val="001A6129"/>
    <w:rsid w:val="001B3490"/>
    <w:rsid w:val="001C4158"/>
    <w:rsid w:val="001D0676"/>
    <w:rsid w:val="001D36CD"/>
    <w:rsid w:val="001D5DB0"/>
    <w:rsid w:val="001D5DE0"/>
    <w:rsid w:val="001D658B"/>
    <w:rsid w:val="001D6838"/>
    <w:rsid w:val="001D7F9A"/>
    <w:rsid w:val="001F0739"/>
    <w:rsid w:val="001F1D5F"/>
    <w:rsid w:val="00212607"/>
    <w:rsid w:val="00222520"/>
    <w:rsid w:val="002311A7"/>
    <w:rsid w:val="00231E4B"/>
    <w:rsid w:val="00232E27"/>
    <w:rsid w:val="00235E16"/>
    <w:rsid w:val="00242CA1"/>
    <w:rsid w:val="00243DF5"/>
    <w:rsid w:val="002604D0"/>
    <w:rsid w:val="00262300"/>
    <w:rsid w:val="0026325D"/>
    <w:rsid w:val="00264A65"/>
    <w:rsid w:val="00267F47"/>
    <w:rsid w:val="00270B29"/>
    <w:rsid w:val="00272C2B"/>
    <w:rsid w:val="0027644D"/>
    <w:rsid w:val="002800A7"/>
    <w:rsid w:val="0028097E"/>
    <w:rsid w:val="00280B2F"/>
    <w:rsid w:val="00287663"/>
    <w:rsid w:val="0029365B"/>
    <w:rsid w:val="00293A72"/>
    <w:rsid w:val="002A302E"/>
    <w:rsid w:val="002A548A"/>
    <w:rsid w:val="002A6262"/>
    <w:rsid w:val="002A65B5"/>
    <w:rsid w:val="002B0DEC"/>
    <w:rsid w:val="002C0156"/>
    <w:rsid w:val="002C37AF"/>
    <w:rsid w:val="002D069A"/>
    <w:rsid w:val="002D3D3F"/>
    <w:rsid w:val="002E2C1D"/>
    <w:rsid w:val="002E2DEB"/>
    <w:rsid w:val="002E5256"/>
    <w:rsid w:val="002E54E7"/>
    <w:rsid w:val="002E5818"/>
    <w:rsid w:val="002E5A84"/>
    <w:rsid w:val="002F2885"/>
    <w:rsid w:val="002F69B1"/>
    <w:rsid w:val="003030B6"/>
    <w:rsid w:val="00311C08"/>
    <w:rsid w:val="00315827"/>
    <w:rsid w:val="003175BF"/>
    <w:rsid w:val="003178AD"/>
    <w:rsid w:val="00330CAB"/>
    <w:rsid w:val="003321DB"/>
    <w:rsid w:val="00335E52"/>
    <w:rsid w:val="00342283"/>
    <w:rsid w:val="003437FA"/>
    <w:rsid w:val="00345437"/>
    <w:rsid w:val="00345562"/>
    <w:rsid w:val="00347B47"/>
    <w:rsid w:val="00350A34"/>
    <w:rsid w:val="00353CC9"/>
    <w:rsid w:val="00354BF1"/>
    <w:rsid w:val="0036353F"/>
    <w:rsid w:val="0037257A"/>
    <w:rsid w:val="00375674"/>
    <w:rsid w:val="00381DF7"/>
    <w:rsid w:val="00384600"/>
    <w:rsid w:val="00394AAF"/>
    <w:rsid w:val="003A14F1"/>
    <w:rsid w:val="003A21D9"/>
    <w:rsid w:val="003A4836"/>
    <w:rsid w:val="003B2184"/>
    <w:rsid w:val="003B24E6"/>
    <w:rsid w:val="003B3D6B"/>
    <w:rsid w:val="003B573E"/>
    <w:rsid w:val="003B61DF"/>
    <w:rsid w:val="003B78F4"/>
    <w:rsid w:val="003C7BE6"/>
    <w:rsid w:val="003D1DFB"/>
    <w:rsid w:val="003D2181"/>
    <w:rsid w:val="003D66CF"/>
    <w:rsid w:val="003E0AC8"/>
    <w:rsid w:val="003E1739"/>
    <w:rsid w:val="003E3397"/>
    <w:rsid w:val="003E5BE5"/>
    <w:rsid w:val="003E6406"/>
    <w:rsid w:val="0040222A"/>
    <w:rsid w:val="004047BC"/>
    <w:rsid w:val="00412A63"/>
    <w:rsid w:val="00426E25"/>
    <w:rsid w:val="004373EE"/>
    <w:rsid w:val="004415DE"/>
    <w:rsid w:val="004423E6"/>
    <w:rsid w:val="004430C6"/>
    <w:rsid w:val="00444818"/>
    <w:rsid w:val="004544F7"/>
    <w:rsid w:val="0045699C"/>
    <w:rsid w:val="004618F9"/>
    <w:rsid w:val="00461BFF"/>
    <w:rsid w:val="00464612"/>
    <w:rsid w:val="00472785"/>
    <w:rsid w:val="00474406"/>
    <w:rsid w:val="00497F3A"/>
    <w:rsid w:val="004A0A99"/>
    <w:rsid w:val="004A0B48"/>
    <w:rsid w:val="004B4E55"/>
    <w:rsid w:val="004B5E81"/>
    <w:rsid w:val="004C1FF2"/>
    <w:rsid w:val="004C2599"/>
    <w:rsid w:val="004C4ED4"/>
    <w:rsid w:val="004D11F3"/>
    <w:rsid w:val="004D45EB"/>
    <w:rsid w:val="004D603D"/>
    <w:rsid w:val="004E1CF4"/>
    <w:rsid w:val="004E2627"/>
    <w:rsid w:val="004E38A0"/>
    <w:rsid w:val="004E5AB7"/>
    <w:rsid w:val="004F018A"/>
    <w:rsid w:val="00501CA7"/>
    <w:rsid w:val="0050712D"/>
    <w:rsid w:val="00515CC3"/>
    <w:rsid w:val="0052286C"/>
    <w:rsid w:val="00523D81"/>
    <w:rsid w:val="00525D9B"/>
    <w:rsid w:val="005268D6"/>
    <w:rsid w:val="00527AE0"/>
    <w:rsid w:val="00527B62"/>
    <w:rsid w:val="00531DC8"/>
    <w:rsid w:val="0053276F"/>
    <w:rsid w:val="00551B79"/>
    <w:rsid w:val="00551F38"/>
    <w:rsid w:val="00556B7C"/>
    <w:rsid w:val="00560AAB"/>
    <w:rsid w:val="00563597"/>
    <w:rsid w:val="005654B8"/>
    <w:rsid w:val="00571311"/>
    <w:rsid w:val="00574BBD"/>
    <w:rsid w:val="0058285A"/>
    <w:rsid w:val="005835D1"/>
    <w:rsid w:val="00585C2A"/>
    <w:rsid w:val="0059167F"/>
    <w:rsid w:val="00591B49"/>
    <w:rsid w:val="005A2E95"/>
    <w:rsid w:val="005A5A92"/>
    <w:rsid w:val="005A6D6D"/>
    <w:rsid w:val="005A77CA"/>
    <w:rsid w:val="005B07F0"/>
    <w:rsid w:val="005B1919"/>
    <w:rsid w:val="005B2560"/>
    <w:rsid w:val="005B5AC2"/>
    <w:rsid w:val="005B6EE4"/>
    <w:rsid w:val="005B72D7"/>
    <w:rsid w:val="005C15C1"/>
    <w:rsid w:val="005C3298"/>
    <w:rsid w:val="005C3C99"/>
    <w:rsid w:val="005C5F79"/>
    <w:rsid w:val="005D1E4B"/>
    <w:rsid w:val="005E0A33"/>
    <w:rsid w:val="005E2A09"/>
    <w:rsid w:val="005E2FD6"/>
    <w:rsid w:val="005F2F8B"/>
    <w:rsid w:val="005F3731"/>
    <w:rsid w:val="005F77E9"/>
    <w:rsid w:val="006031ED"/>
    <w:rsid w:val="00604646"/>
    <w:rsid w:val="00610A02"/>
    <w:rsid w:val="00610A0E"/>
    <w:rsid w:val="00610CDA"/>
    <w:rsid w:val="0061340A"/>
    <w:rsid w:val="006147A7"/>
    <w:rsid w:val="00616EB4"/>
    <w:rsid w:val="00621E0F"/>
    <w:rsid w:val="006228EE"/>
    <w:rsid w:val="0062533A"/>
    <w:rsid w:val="006326C4"/>
    <w:rsid w:val="00635916"/>
    <w:rsid w:val="00641A05"/>
    <w:rsid w:val="0064353F"/>
    <w:rsid w:val="00645449"/>
    <w:rsid w:val="00647053"/>
    <w:rsid w:val="0065042B"/>
    <w:rsid w:val="00650F5B"/>
    <w:rsid w:val="0065210B"/>
    <w:rsid w:val="006523A0"/>
    <w:rsid w:val="006564A9"/>
    <w:rsid w:val="00657381"/>
    <w:rsid w:val="0066190B"/>
    <w:rsid w:val="00661EC9"/>
    <w:rsid w:val="006719EA"/>
    <w:rsid w:val="006836DC"/>
    <w:rsid w:val="00687B96"/>
    <w:rsid w:val="0069109E"/>
    <w:rsid w:val="00694440"/>
    <w:rsid w:val="006A2235"/>
    <w:rsid w:val="006A3E4E"/>
    <w:rsid w:val="006B2C7A"/>
    <w:rsid w:val="006B47EF"/>
    <w:rsid w:val="006B5E3A"/>
    <w:rsid w:val="006C0174"/>
    <w:rsid w:val="006C1EFF"/>
    <w:rsid w:val="006C2902"/>
    <w:rsid w:val="006C5B3E"/>
    <w:rsid w:val="006C5D66"/>
    <w:rsid w:val="006C66D4"/>
    <w:rsid w:val="006D10BF"/>
    <w:rsid w:val="006D1255"/>
    <w:rsid w:val="006E126E"/>
    <w:rsid w:val="006F0AD3"/>
    <w:rsid w:val="006F18E9"/>
    <w:rsid w:val="006F353B"/>
    <w:rsid w:val="006F4C88"/>
    <w:rsid w:val="006F4CEE"/>
    <w:rsid w:val="006F634B"/>
    <w:rsid w:val="00706909"/>
    <w:rsid w:val="00711EE9"/>
    <w:rsid w:val="0071663E"/>
    <w:rsid w:val="00722DDB"/>
    <w:rsid w:val="00731515"/>
    <w:rsid w:val="00735B50"/>
    <w:rsid w:val="007408F5"/>
    <w:rsid w:val="007518D9"/>
    <w:rsid w:val="007533A9"/>
    <w:rsid w:val="007641E2"/>
    <w:rsid w:val="00765DF2"/>
    <w:rsid w:val="00767960"/>
    <w:rsid w:val="00770045"/>
    <w:rsid w:val="00770589"/>
    <w:rsid w:val="00771D02"/>
    <w:rsid w:val="00777576"/>
    <w:rsid w:val="0078192A"/>
    <w:rsid w:val="007A021B"/>
    <w:rsid w:val="007A1C5E"/>
    <w:rsid w:val="007B15F1"/>
    <w:rsid w:val="007B473F"/>
    <w:rsid w:val="007C0597"/>
    <w:rsid w:val="007C4943"/>
    <w:rsid w:val="007C6A10"/>
    <w:rsid w:val="007D0582"/>
    <w:rsid w:val="007D1C96"/>
    <w:rsid w:val="007D4605"/>
    <w:rsid w:val="007D7398"/>
    <w:rsid w:val="007E6630"/>
    <w:rsid w:val="007E7758"/>
    <w:rsid w:val="007F0344"/>
    <w:rsid w:val="008014FD"/>
    <w:rsid w:val="008015DE"/>
    <w:rsid w:val="00805323"/>
    <w:rsid w:val="00806246"/>
    <w:rsid w:val="00827837"/>
    <w:rsid w:val="00831007"/>
    <w:rsid w:val="008313C4"/>
    <w:rsid w:val="00831452"/>
    <w:rsid w:val="00832466"/>
    <w:rsid w:val="008353BE"/>
    <w:rsid w:val="008364FD"/>
    <w:rsid w:val="00851EEE"/>
    <w:rsid w:val="00856E33"/>
    <w:rsid w:val="00861DC3"/>
    <w:rsid w:val="00870125"/>
    <w:rsid w:val="008701BF"/>
    <w:rsid w:val="00873DC5"/>
    <w:rsid w:val="008757FE"/>
    <w:rsid w:val="00881AFA"/>
    <w:rsid w:val="00881BD8"/>
    <w:rsid w:val="00893A15"/>
    <w:rsid w:val="00894779"/>
    <w:rsid w:val="008A0EC1"/>
    <w:rsid w:val="008D64FF"/>
    <w:rsid w:val="008D6FD2"/>
    <w:rsid w:val="008E0AF6"/>
    <w:rsid w:val="008E3421"/>
    <w:rsid w:val="008E5B27"/>
    <w:rsid w:val="008E740E"/>
    <w:rsid w:val="0090381F"/>
    <w:rsid w:val="00913DCB"/>
    <w:rsid w:val="00930D60"/>
    <w:rsid w:val="00934A1B"/>
    <w:rsid w:val="009361E4"/>
    <w:rsid w:val="00936A77"/>
    <w:rsid w:val="0094204E"/>
    <w:rsid w:val="00942103"/>
    <w:rsid w:val="00951D16"/>
    <w:rsid w:val="009554EC"/>
    <w:rsid w:val="00955D1F"/>
    <w:rsid w:val="009616DF"/>
    <w:rsid w:val="00963080"/>
    <w:rsid w:val="009709C4"/>
    <w:rsid w:val="009749CE"/>
    <w:rsid w:val="0097645C"/>
    <w:rsid w:val="009765BA"/>
    <w:rsid w:val="00977D75"/>
    <w:rsid w:val="00980B3A"/>
    <w:rsid w:val="00981E52"/>
    <w:rsid w:val="00982681"/>
    <w:rsid w:val="0098695F"/>
    <w:rsid w:val="00991992"/>
    <w:rsid w:val="009B0C6E"/>
    <w:rsid w:val="009D02FF"/>
    <w:rsid w:val="009D1B3A"/>
    <w:rsid w:val="009D65D7"/>
    <w:rsid w:val="009D7391"/>
    <w:rsid w:val="009E0A39"/>
    <w:rsid w:val="00A02271"/>
    <w:rsid w:val="00A100E9"/>
    <w:rsid w:val="00A121CA"/>
    <w:rsid w:val="00A13CE5"/>
    <w:rsid w:val="00A20BAF"/>
    <w:rsid w:val="00A23E0E"/>
    <w:rsid w:val="00A25CCD"/>
    <w:rsid w:val="00A27CC9"/>
    <w:rsid w:val="00A37DDA"/>
    <w:rsid w:val="00A42B56"/>
    <w:rsid w:val="00A42E7B"/>
    <w:rsid w:val="00A447A9"/>
    <w:rsid w:val="00A45F5F"/>
    <w:rsid w:val="00A50022"/>
    <w:rsid w:val="00A55393"/>
    <w:rsid w:val="00A64280"/>
    <w:rsid w:val="00A73FAF"/>
    <w:rsid w:val="00A745CE"/>
    <w:rsid w:val="00A91440"/>
    <w:rsid w:val="00A96E8A"/>
    <w:rsid w:val="00AB052A"/>
    <w:rsid w:val="00AB0C6A"/>
    <w:rsid w:val="00AB7DBB"/>
    <w:rsid w:val="00AC371D"/>
    <w:rsid w:val="00AD06A3"/>
    <w:rsid w:val="00AD5DA7"/>
    <w:rsid w:val="00AE0112"/>
    <w:rsid w:val="00AE3C85"/>
    <w:rsid w:val="00AE58B5"/>
    <w:rsid w:val="00AF524B"/>
    <w:rsid w:val="00B0116C"/>
    <w:rsid w:val="00B04948"/>
    <w:rsid w:val="00B105D6"/>
    <w:rsid w:val="00B1257D"/>
    <w:rsid w:val="00B12609"/>
    <w:rsid w:val="00B23377"/>
    <w:rsid w:val="00B26A9D"/>
    <w:rsid w:val="00B276F6"/>
    <w:rsid w:val="00B338B9"/>
    <w:rsid w:val="00B61B26"/>
    <w:rsid w:val="00B636AD"/>
    <w:rsid w:val="00B65EE2"/>
    <w:rsid w:val="00B71C29"/>
    <w:rsid w:val="00B757EE"/>
    <w:rsid w:val="00B81980"/>
    <w:rsid w:val="00B83482"/>
    <w:rsid w:val="00B93EF2"/>
    <w:rsid w:val="00B967E7"/>
    <w:rsid w:val="00B97413"/>
    <w:rsid w:val="00BA2BB1"/>
    <w:rsid w:val="00BA64DD"/>
    <w:rsid w:val="00BB0A00"/>
    <w:rsid w:val="00BB3F69"/>
    <w:rsid w:val="00BB442D"/>
    <w:rsid w:val="00BB4846"/>
    <w:rsid w:val="00BB496D"/>
    <w:rsid w:val="00BB696D"/>
    <w:rsid w:val="00BC1846"/>
    <w:rsid w:val="00BC3C06"/>
    <w:rsid w:val="00BC4320"/>
    <w:rsid w:val="00BD0D97"/>
    <w:rsid w:val="00BD3355"/>
    <w:rsid w:val="00BD407C"/>
    <w:rsid w:val="00BE2BED"/>
    <w:rsid w:val="00BE440B"/>
    <w:rsid w:val="00BE4D37"/>
    <w:rsid w:val="00BF2CFA"/>
    <w:rsid w:val="00BF426D"/>
    <w:rsid w:val="00BF62D3"/>
    <w:rsid w:val="00C0473C"/>
    <w:rsid w:val="00C04D9C"/>
    <w:rsid w:val="00C05ED3"/>
    <w:rsid w:val="00C060B9"/>
    <w:rsid w:val="00C14913"/>
    <w:rsid w:val="00C1505C"/>
    <w:rsid w:val="00C20DBB"/>
    <w:rsid w:val="00C21A7F"/>
    <w:rsid w:val="00C2668B"/>
    <w:rsid w:val="00C2670C"/>
    <w:rsid w:val="00C27706"/>
    <w:rsid w:val="00C34512"/>
    <w:rsid w:val="00C3491A"/>
    <w:rsid w:val="00C4328F"/>
    <w:rsid w:val="00C515AD"/>
    <w:rsid w:val="00C53E15"/>
    <w:rsid w:val="00C5462D"/>
    <w:rsid w:val="00C55FE5"/>
    <w:rsid w:val="00C60086"/>
    <w:rsid w:val="00C62099"/>
    <w:rsid w:val="00C654BF"/>
    <w:rsid w:val="00C65AF2"/>
    <w:rsid w:val="00C67CBC"/>
    <w:rsid w:val="00C71593"/>
    <w:rsid w:val="00C73704"/>
    <w:rsid w:val="00C7455F"/>
    <w:rsid w:val="00C75E81"/>
    <w:rsid w:val="00C82D5A"/>
    <w:rsid w:val="00C8663D"/>
    <w:rsid w:val="00C90C22"/>
    <w:rsid w:val="00C91B09"/>
    <w:rsid w:val="00C92508"/>
    <w:rsid w:val="00C97899"/>
    <w:rsid w:val="00CA0FA4"/>
    <w:rsid w:val="00CA2548"/>
    <w:rsid w:val="00CA297E"/>
    <w:rsid w:val="00CA4AB6"/>
    <w:rsid w:val="00CB1726"/>
    <w:rsid w:val="00CB27DC"/>
    <w:rsid w:val="00CC08E4"/>
    <w:rsid w:val="00CC3330"/>
    <w:rsid w:val="00CC7394"/>
    <w:rsid w:val="00CD451C"/>
    <w:rsid w:val="00CD4BA1"/>
    <w:rsid w:val="00CD6AE8"/>
    <w:rsid w:val="00CE351F"/>
    <w:rsid w:val="00CE4511"/>
    <w:rsid w:val="00CE6812"/>
    <w:rsid w:val="00CE78EA"/>
    <w:rsid w:val="00CF3EF2"/>
    <w:rsid w:val="00CF52FB"/>
    <w:rsid w:val="00D02AA7"/>
    <w:rsid w:val="00D044AA"/>
    <w:rsid w:val="00D10F1E"/>
    <w:rsid w:val="00D129ED"/>
    <w:rsid w:val="00D14F45"/>
    <w:rsid w:val="00D16572"/>
    <w:rsid w:val="00D21A9E"/>
    <w:rsid w:val="00D240F2"/>
    <w:rsid w:val="00D34064"/>
    <w:rsid w:val="00D51E69"/>
    <w:rsid w:val="00D53758"/>
    <w:rsid w:val="00D56EBC"/>
    <w:rsid w:val="00D57D6C"/>
    <w:rsid w:val="00D61DF6"/>
    <w:rsid w:val="00D63B54"/>
    <w:rsid w:val="00D7286E"/>
    <w:rsid w:val="00D75F4D"/>
    <w:rsid w:val="00D8583A"/>
    <w:rsid w:val="00D86DA0"/>
    <w:rsid w:val="00D92D22"/>
    <w:rsid w:val="00D953ED"/>
    <w:rsid w:val="00D975C0"/>
    <w:rsid w:val="00DA5F4F"/>
    <w:rsid w:val="00DA7D3C"/>
    <w:rsid w:val="00DB0D61"/>
    <w:rsid w:val="00DB0E74"/>
    <w:rsid w:val="00DB65F5"/>
    <w:rsid w:val="00DC471E"/>
    <w:rsid w:val="00DC5DD9"/>
    <w:rsid w:val="00DD3C96"/>
    <w:rsid w:val="00DD6871"/>
    <w:rsid w:val="00DE45C3"/>
    <w:rsid w:val="00DE518D"/>
    <w:rsid w:val="00DE58BA"/>
    <w:rsid w:val="00DE5CB0"/>
    <w:rsid w:val="00DF0487"/>
    <w:rsid w:val="00DF36FC"/>
    <w:rsid w:val="00DF5712"/>
    <w:rsid w:val="00DF6A0E"/>
    <w:rsid w:val="00E14F63"/>
    <w:rsid w:val="00E21D21"/>
    <w:rsid w:val="00E236B2"/>
    <w:rsid w:val="00E2635D"/>
    <w:rsid w:val="00E32A2F"/>
    <w:rsid w:val="00E33D4F"/>
    <w:rsid w:val="00E45A78"/>
    <w:rsid w:val="00E47727"/>
    <w:rsid w:val="00E52FAC"/>
    <w:rsid w:val="00E65E6E"/>
    <w:rsid w:val="00E664E1"/>
    <w:rsid w:val="00E76967"/>
    <w:rsid w:val="00E802BE"/>
    <w:rsid w:val="00E80FAD"/>
    <w:rsid w:val="00E81E5D"/>
    <w:rsid w:val="00E823AF"/>
    <w:rsid w:val="00E851C1"/>
    <w:rsid w:val="00E8640A"/>
    <w:rsid w:val="00E866AE"/>
    <w:rsid w:val="00E91E69"/>
    <w:rsid w:val="00E972CD"/>
    <w:rsid w:val="00EA1A20"/>
    <w:rsid w:val="00EA59A3"/>
    <w:rsid w:val="00EA6226"/>
    <w:rsid w:val="00EA74EC"/>
    <w:rsid w:val="00EB1C9E"/>
    <w:rsid w:val="00EB61EB"/>
    <w:rsid w:val="00EC313B"/>
    <w:rsid w:val="00EC394E"/>
    <w:rsid w:val="00EC72F3"/>
    <w:rsid w:val="00ED248D"/>
    <w:rsid w:val="00ED74DC"/>
    <w:rsid w:val="00EE4474"/>
    <w:rsid w:val="00EF3D2D"/>
    <w:rsid w:val="00F117DE"/>
    <w:rsid w:val="00F13B4A"/>
    <w:rsid w:val="00F15C5F"/>
    <w:rsid w:val="00F34A68"/>
    <w:rsid w:val="00F404BA"/>
    <w:rsid w:val="00F40B96"/>
    <w:rsid w:val="00F414D9"/>
    <w:rsid w:val="00F41832"/>
    <w:rsid w:val="00F4663F"/>
    <w:rsid w:val="00F5013E"/>
    <w:rsid w:val="00F601BD"/>
    <w:rsid w:val="00F62295"/>
    <w:rsid w:val="00F631F2"/>
    <w:rsid w:val="00F634BB"/>
    <w:rsid w:val="00F824ED"/>
    <w:rsid w:val="00F90F48"/>
    <w:rsid w:val="00F94746"/>
    <w:rsid w:val="00F95818"/>
    <w:rsid w:val="00FB6DA5"/>
    <w:rsid w:val="00FC2890"/>
    <w:rsid w:val="00FC32C1"/>
    <w:rsid w:val="00FD19CE"/>
    <w:rsid w:val="00FD3FF0"/>
    <w:rsid w:val="00FE5C86"/>
    <w:rsid w:val="00FE6571"/>
    <w:rsid w:val="00FE6ABF"/>
    <w:rsid w:val="00FF562F"/>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74C950F7-0333-43E5-BF22-BA56144EC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AU"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1BFF"/>
    <w:pPr>
      <w:spacing w:after="200"/>
      <w:jc w:val="both"/>
    </w:pPr>
    <w:rPr>
      <w:rFonts w:ascii="Arial" w:eastAsia="Times New Roman" w:hAnsi="Arial"/>
      <w:sz w:val="24"/>
      <w:lang w:eastAsia="en-AU"/>
    </w:rPr>
  </w:style>
  <w:style w:type="paragraph" w:styleId="Heading1">
    <w:name w:val="heading 1"/>
    <w:basedOn w:val="Normal"/>
    <w:next w:val="Normal"/>
    <w:link w:val="Heading1Char"/>
    <w:uiPriority w:val="99"/>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uiPriority w:val="99"/>
    <w:qFormat/>
    <w:rsid w:val="00BB4846"/>
    <w:pPr>
      <w:keepNext/>
      <w:spacing w:before="360" w:after="120"/>
      <w:outlineLvl w:val="2"/>
    </w:pPr>
    <w:rPr>
      <w:rFonts w:cs="Arial"/>
      <w:b/>
      <w:bCs/>
      <w:sz w:val="26"/>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paragraph" w:styleId="Heading5">
    <w:name w:val="heading 5"/>
    <w:basedOn w:val="Normal"/>
    <w:next w:val="Normal"/>
    <w:link w:val="Heading5Char"/>
    <w:uiPriority w:val="99"/>
    <w:qFormat/>
    <w:rsid w:val="002604D0"/>
    <w:pPr>
      <w:spacing w:before="240" w:after="60"/>
      <w:jc w:val="left"/>
      <w:outlineLvl w:val="4"/>
    </w:pPr>
    <w:rPr>
      <w:rFonts w:ascii="Times New Roman" w:hAnsi="Times New Roman"/>
      <w:b/>
      <w:bCs/>
      <w:i/>
      <w:iCs/>
      <w:sz w:val="26"/>
      <w:szCs w:val="26"/>
    </w:rPr>
  </w:style>
  <w:style w:type="paragraph" w:styleId="Heading6">
    <w:name w:val="heading 6"/>
    <w:basedOn w:val="Normal"/>
    <w:next w:val="Normal"/>
    <w:link w:val="Heading6Char"/>
    <w:uiPriority w:val="9"/>
    <w:semiHidden/>
    <w:unhideWhenUsed/>
    <w:qFormat/>
    <w:rsid w:val="002D3D3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umbered - normal"/>
    <w:autoRedefine/>
    <w:uiPriority w:val="1"/>
    <w:qFormat/>
    <w:rsid w:val="00047039"/>
    <w:pPr>
      <w:numPr>
        <w:numId w:val="8"/>
      </w:numPr>
      <w:autoSpaceDE w:val="0"/>
      <w:autoSpaceDN w:val="0"/>
      <w:adjustRightInd w:val="0"/>
      <w:spacing w:after="120"/>
      <w:ind w:left="426" w:hanging="426"/>
    </w:pPr>
    <w:rPr>
      <w:rFonts w:ascii="Lato" w:hAnsi="Lato"/>
      <w:sz w:val="22"/>
      <w:szCs w:val="22"/>
    </w:rPr>
  </w:style>
  <w:style w:type="character" w:customStyle="1" w:styleId="Heading1Char">
    <w:name w:val="Heading 1 Char"/>
    <w:basedOn w:val="DefaultParagraphFont"/>
    <w:link w:val="Heading1"/>
    <w:uiPriority w:val="9"/>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uiPriority w:val="9"/>
    <w:rsid w:val="00BB4846"/>
    <w:rPr>
      <w:rFonts w:ascii="Arial" w:eastAsia="Times New Roman" w:hAnsi="Arial" w:cs="Arial"/>
      <w:b/>
      <w:bCs/>
      <w:sz w:val="26"/>
      <w:szCs w:val="26"/>
      <w:lang w:eastAsia="en-AU"/>
    </w:rPr>
  </w:style>
  <w:style w:type="paragraph" w:styleId="BlockText">
    <w:name w:val="Block Text"/>
    <w:basedOn w:val="Normal"/>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uiPriority w:val="99"/>
    <w:rsid w:val="00CC3330"/>
    <w:rPr>
      <w:rFonts w:ascii="Arial" w:hAnsi="Arial"/>
      <w:sz w:val="22"/>
    </w:rPr>
  </w:style>
  <w:style w:type="paragraph" w:customStyle="1" w:styleId="Tabformatting">
    <w:name w:val="Tab formatting"/>
    <w:basedOn w:val="Normal"/>
    <w:rsid w:val="00D02AA7"/>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link w:val="ListParagraphChar"/>
    <w:uiPriority w:val="34"/>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character" w:customStyle="1" w:styleId="Heading5Char">
    <w:name w:val="Heading 5 Char"/>
    <w:basedOn w:val="DefaultParagraphFont"/>
    <w:link w:val="Heading5"/>
    <w:uiPriority w:val="99"/>
    <w:rsid w:val="002604D0"/>
    <w:rPr>
      <w:rFonts w:eastAsia="Times New Roman"/>
      <w:b/>
      <w:bCs/>
      <w:i/>
      <w:iCs/>
      <w:sz w:val="26"/>
      <w:szCs w:val="26"/>
      <w:lang w:eastAsia="en-AU"/>
    </w:rPr>
  </w:style>
  <w:style w:type="table" w:styleId="TableGrid">
    <w:name w:val="Table Grid"/>
    <w:basedOn w:val="TableNormal"/>
    <w:uiPriority w:val="99"/>
    <w:rsid w:val="002604D0"/>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encyName">
    <w:name w:val="AgencyName"/>
    <w:basedOn w:val="Normal"/>
    <w:link w:val="AgencyNameChar"/>
    <w:uiPriority w:val="99"/>
    <w:rsid w:val="002604D0"/>
    <w:pPr>
      <w:spacing w:after="120"/>
      <w:jc w:val="left"/>
    </w:pPr>
    <w:rPr>
      <w:color w:val="FFFFFF"/>
      <w:spacing w:val="8"/>
      <w:sz w:val="26"/>
    </w:rPr>
  </w:style>
  <w:style w:type="paragraph" w:customStyle="1" w:styleId="AgencyNameBold">
    <w:name w:val="AgencyNameBold"/>
    <w:basedOn w:val="AgencyName"/>
    <w:link w:val="AgencyNameBoldChar"/>
    <w:uiPriority w:val="99"/>
    <w:rsid w:val="002604D0"/>
    <w:rPr>
      <w:b/>
      <w:spacing w:val="16"/>
    </w:rPr>
  </w:style>
  <w:style w:type="character" w:customStyle="1" w:styleId="AgencyNameChar">
    <w:name w:val="AgencyName Char"/>
    <w:link w:val="AgencyName"/>
    <w:uiPriority w:val="99"/>
    <w:locked/>
    <w:rsid w:val="002604D0"/>
    <w:rPr>
      <w:rFonts w:ascii="Arial" w:eastAsia="Times New Roman" w:hAnsi="Arial"/>
      <w:color w:val="FFFFFF"/>
      <w:spacing w:val="8"/>
      <w:sz w:val="26"/>
      <w:lang w:eastAsia="en-AU"/>
    </w:rPr>
  </w:style>
  <w:style w:type="character" w:customStyle="1" w:styleId="AgencyNameBoldChar">
    <w:name w:val="AgencyNameBold Char"/>
    <w:link w:val="AgencyNameBold"/>
    <w:uiPriority w:val="99"/>
    <w:locked/>
    <w:rsid w:val="002604D0"/>
    <w:rPr>
      <w:rFonts w:ascii="Arial" w:eastAsia="Times New Roman" w:hAnsi="Arial"/>
      <w:b/>
      <w:color w:val="FFFFFF"/>
      <w:spacing w:val="16"/>
      <w:sz w:val="26"/>
      <w:lang w:eastAsia="en-AU"/>
    </w:rPr>
  </w:style>
  <w:style w:type="paragraph" w:customStyle="1" w:styleId="Contactdetails">
    <w:name w:val="Contact details"/>
    <w:basedOn w:val="Normal"/>
    <w:uiPriority w:val="99"/>
    <w:rsid w:val="002604D0"/>
    <w:pPr>
      <w:autoSpaceDE w:val="0"/>
      <w:autoSpaceDN w:val="0"/>
      <w:adjustRightInd w:val="0"/>
      <w:spacing w:after="0" w:line="240" w:lineRule="atLeast"/>
      <w:jc w:val="right"/>
      <w:textAlignment w:val="center"/>
    </w:pPr>
    <w:rPr>
      <w:color w:val="000000"/>
      <w:sz w:val="16"/>
      <w:szCs w:val="16"/>
    </w:rPr>
  </w:style>
  <w:style w:type="character" w:styleId="Hyperlink">
    <w:name w:val="Hyperlink"/>
    <w:basedOn w:val="DefaultParagraphFont"/>
    <w:uiPriority w:val="99"/>
    <w:rsid w:val="002604D0"/>
    <w:rPr>
      <w:rFonts w:cs="Times New Roman"/>
      <w:color w:val="0000FF"/>
      <w:u w:val="single"/>
    </w:rPr>
  </w:style>
  <w:style w:type="paragraph" w:styleId="BodyText">
    <w:name w:val="Body Text"/>
    <w:basedOn w:val="Normal"/>
    <w:link w:val="BodyTextChar"/>
    <w:uiPriority w:val="99"/>
    <w:rsid w:val="002604D0"/>
    <w:pPr>
      <w:spacing w:after="120"/>
    </w:pPr>
    <w:rPr>
      <w:rFonts w:ascii="Times New Roman" w:hAnsi="Times New Roman"/>
    </w:rPr>
  </w:style>
  <w:style w:type="character" w:customStyle="1" w:styleId="BodyTextChar">
    <w:name w:val="Body Text Char"/>
    <w:basedOn w:val="DefaultParagraphFont"/>
    <w:link w:val="BodyText"/>
    <w:uiPriority w:val="99"/>
    <w:rsid w:val="002604D0"/>
    <w:rPr>
      <w:rFonts w:eastAsia="Times New Roman"/>
      <w:sz w:val="24"/>
      <w:lang w:eastAsia="en-AU"/>
    </w:rPr>
  </w:style>
  <w:style w:type="paragraph" w:styleId="BodyText3">
    <w:name w:val="Body Text 3"/>
    <w:basedOn w:val="Normal"/>
    <w:link w:val="BodyText3Char"/>
    <w:rsid w:val="002604D0"/>
    <w:pPr>
      <w:spacing w:after="120"/>
      <w:jc w:val="left"/>
    </w:pPr>
    <w:rPr>
      <w:sz w:val="16"/>
      <w:szCs w:val="16"/>
    </w:rPr>
  </w:style>
  <w:style w:type="character" w:customStyle="1" w:styleId="BodyText3Char">
    <w:name w:val="Body Text 3 Char"/>
    <w:basedOn w:val="DefaultParagraphFont"/>
    <w:link w:val="BodyText3"/>
    <w:rsid w:val="002604D0"/>
    <w:rPr>
      <w:rFonts w:ascii="Arial" w:eastAsia="Times New Roman" w:hAnsi="Arial"/>
      <w:sz w:val="16"/>
      <w:szCs w:val="16"/>
      <w:lang w:eastAsia="en-AU"/>
    </w:rPr>
  </w:style>
  <w:style w:type="paragraph" w:styleId="BodyTextIndent">
    <w:name w:val="Body Text Indent"/>
    <w:basedOn w:val="Normal"/>
    <w:link w:val="BodyTextIndentChar"/>
    <w:rsid w:val="002604D0"/>
    <w:pPr>
      <w:spacing w:after="120"/>
      <w:ind w:left="283"/>
      <w:jc w:val="left"/>
    </w:pPr>
    <w:rPr>
      <w:szCs w:val="24"/>
    </w:rPr>
  </w:style>
  <w:style w:type="character" w:customStyle="1" w:styleId="BodyTextIndentChar">
    <w:name w:val="Body Text Indent Char"/>
    <w:basedOn w:val="DefaultParagraphFont"/>
    <w:link w:val="BodyTextIndent"/>
    <w:rsid w:val="002604D0"/>
    <w:rPr>
      <w:rFonts w:ascii="Arial" w:eastAsia="Times New Roman" w:hAnsi="Arial"/>
      <w:sz w:val="24"/>
      <w:szCs w:val="24"/>
      <w:lang w:eastAsia="en-AU"/>
    </w:rPr>
  </w:style>
  <w:style w:type="paragraph" w:styleId="BodyTextIndent3">
    <w:name w:val="Body Text Indent 3"/>
    <w:basedOn w:val="Normal"/>
    <w:link w:val="BodyTextIndent3Char"/>
    <w:rsid w:val="002604D0"/>
    <w:pPr>
      <w:spacing w:after="120"/>
      <w:ind w:left="283"/>
      <w:jc w:val="left"/>
    </w:pPr>
    <w:rPr>
      <w:sz w:val="16"/>
      <w:szCs w:val="16"/>
    </w:rPr>
  </w:style>
  <w:style w:type="character" w:customStyle="1" w:styleId="BodyTextIndent3Char">
    <w:name w:val="Body Text Indent 3 Char"/>
    <w:basedOn w:val="DefaultParagraphFont"/>
    <w:link w:val="BodyTextIndent3"/>
    <w:rsid w:val="002604D0"/>
    <w:rPr>
      <w:rFonts w:ascii="Arial" w:eastAsia="Times New Roman" w:hAnsi="Arial"/>
      <w:sz w:val="16"/>
      <w:szCs w:val="16"/>
      <w:lang w:eastAsia="en-AU"/>
    </w:rPr>
  </w:style>
  <w:style w:type="paragraph" w:styleId="FootnoteText">
    <w:name w:val="footnote text"/>
    <w:basedOn w:val="Normal"/>
    <w:link w:val="FootnoteTextChar"/>
    <w:uiPriority w:val="99"/>
    <w:semiHidden/>
    <w:unhideWhenUsed/>
    <w:rsid w:val="00FF562F"/>
    <w:pPr>
      <w:spacing w:after="0"/>
    </w:pPr>
    <w:rPr>
      <w:sz w:val="20"/>
    </w:rPr>
  </w:style>
  <w:style w:type="character" w:customStyle="1" w:styleId="FootnoteTextChar">
    <w:name w:val="Footnote Text Char"/>
    <w:basedOn w:val="DefaultParagraphFont"/>
    <w:link w:val="FootnoteText"/>
    <w:uiPriority w:val="99"/>
    <w:semiHidden/>
    <w:rsid w:val="00FF562F"/>
    <w:rPr>
      <w:rFonts w:ascii="Arial" w:eastAsia="Times New Roman" w:hAnsi="Arial"/>
      <w:lang w:eastAsia="en-AU"/>
    </w:rPr>
  </w:style>
  <w:style w:type="character" w:styleId="FootnoteReference">
    <w:name w:val="footnote reference"/>
    <w:basedOn w:val="DefaultParagraphFont"/>
    <w:uiPriority w:val="99"/>
    <w:semiHidden/>
    <w:unhideWhenUsed/>
    <w:rsid w:val="00FF562F"/>
    <w:rPr>
      <w:vertAlign w:val="superscript"/>
    </w:rPr>
  </w:style>
  <w:style w:type="paragraph" w:customStyle="1" w:styleId="Paragraph">
    <w:name w:val="Paragraph"/>
    <w:basedOn w:val="Normal"/>
    <w:link w:val="ParagraphChar"/>
    <w:rsid w:val="003A4836"/>
    <w:pPr>
      <w:widowControl w:val="0"/>
      <w:spacing w:after="240"/>
      <w:ind w:left="1667" w:hanging="567"/>
    </w:pPr>
    <w:rPr>
      <w:rFonts w:ascii="Helvetica" w:hAnsi="Helvetica"/>
      <w:szCs w:val="24"/>
    </w:rPr>
  </w:style>
  <w:style w:type="character" w:customStyle="1" w:styleId="ParagraphChar">
    <w:name w:val="Paragraph Char"/>
    <w:link w:val="Paragraph"/>
    <w:rsid w:val="003A4836"/>
    <w:rPr>
      <w:rFonts w:ascii="Helvetica" w:eastAsia="Times New Roman" w:hAnsi="Helvetica"/>
      <w:sz w:val="24"/>
      <w:szCs w:val="24"/>
      <w:lang w:eastAsia="en-AU"/>
    </w:rPr>
  </w:style>
  <w:style w:type="character" w:customStyle="1" w:styleId="SubsectionChar">
    <w:name w:val="Subsection Char"/>
    <w:link w:val="Subsection"/>
    <w:rsid w:val="006B5E3A"/>
    <w:rPr>
      <w:rFonts w:ascii="Helvetica" w:hAnsi="Helvetica"/>
      <w:sz w:val="24"/>
      <w:szCs w:val="24"/>
    </w:rPr>
  </w:style>
  <w:style w:type="paragraph" w:customStyle="1" w:styleId="Subsection">
    <w:name w:val="Subsection"/>
    <w:basedOn w:val="Normal"/>
    <w:link w:val="SubsectionChar"/>
    <w:rsid w:val="006B5E3A"/>
    <w:pPr>
      <w:widowControl w:val="0"/>
      <w:tabs>
        <w:tab w:val="right" w:pos="902"/>
      </w:tabs>
      <w:spacing w:after="240"/>
      <w:ind w:left="1100" w:hanging="1100"/>
    </w:pPr>
    <w:rPr>
      <w:rFonts w:ascii="Helvetica" w:eastAsia="Calibri" w:hAnsi="Helvetica"/>
      <w:szCs w:val="24"/>
      <w:lang w:eastAsia="en-US"/>
    </w:rPr>
  </w:style>
  <w:style w:type="paragraph" w:customStyle="1" w:styleId="NewSectionHeading">
    <w:name w:val="New Section Heading"/>
    <w:basedOn w:val="Normal"/>
    <w:next w:val="Normal"/>
    <w:link w:val="NewSectionHeadingChar"/>
    <w:rsid w:val="00881BD8"/>
    <w:pPr>
      <w:keepNext/>
      <w:keepLines/>
      <w:widowControl w:val="0"/>
      <w:spacing w:after="240"/>
      <w:ind w:left="1100" w:hanging="1100"/>
      <w:jc w:val="left"/>
      <w:outlineLvl w:val="4"/>
    </w:pPr>
    <w:rPr>
      <w:rFonts w:ascii="Helvetica" w:hAnsi="Helvetica"/>
      <w:b/>
      <w:szCs w:val="24"/>
    </w:rPr>
  </w:style>
  <w:style w:type="character" w:customStyle="1" w:styleId="NewSectionHeadingChar">
    <w:name w:val="New Section Heading Char"/>
    <w:link w:val="NewSectionHeading"/>
    <w:rsid w:val="00881BD8"/>
    <w:rPr>
      <w:rFonts w:ascii="Helvetica" w:eastAsia="Times New Roman" w:hAnsi="Helvetica"/>
      <w:b/>
      <w:sz w:val="24"/>
      <w:szCs w:val="24"/>
      <w:lang w:eastAsia="en-AU"/>
    </w:rPr>
  </w:style>
  <w:style w:type="character" w:customStyle="1" w:styleId="Heading6Char">
    <w:name w:val="Heading 6 Char"/>
    <w:basedOn w:val="DefaultParagraphFont"/>
    <w:link w:val="Heading6"/>
    <w:uiPriority w:val="9"/>
    <w:semiHidden/>
    <w:rsid w:val="002D3D3F"/>
    <w:rPr>
      <w:rFonts w:asciiTheme="majorHAnsi" w:eastAsiaTheme="majorEastAsia" w:hAnsiTheme="majorHAnsi" w:cstheme="majorBidi"/>
      <w:i/>
      <w:iCs/>
      <w:color w:val="243F60" w:themeColor="accent1" w:themeShade="7F"/>
      <w:sz w:val="24"/>
      <w:lang w:eastAsia="en-AU"/>
    </w:rPr>
  </w:style>
  <w:style w:type="paragraph" w:styleId="BodyTextIndent2">
    <w:name w:val="Body Text Indent 2"/>
    <w:basedOn w:val="Normal"/>
    <w:link w:val="BodyTextIndent2Char"/>
    <w:uiPriority w:val="99"/>
    <w:semiHidden/>
    <w:unhideWhenUsed/>
    <w:rsid w:val="002D3D3F"/>
    <w:pPr>
      <w:spacing w:after="120" w:line="480" w:lineRule="auto"/>
      <w:ind w:left="283"/>
    </w:pPr>
  </w:style>
  <w:style w:type="character" w:customStyle="1" w:styleId="BodyTextIndent2Char">
    <w:name w:val="Body Text Indent 2 Char"/>
    <w:basedOn w:val="DefaultParagraphFont"/>
    <w:link w:val="BodyTextIndent2"/>
    <w:uiPriority w:val="99"/>
    <w:semiHidden/>
    <w:rsid w:val="002D3D3F"/>
    <w:rPr>
      <w:rFonts w:ascii="Arial" w:eastAsia="Times New Roman" w:hAnsi="Arial"/>
      <w:sz w:val="24"/>
      <w:lang w:eastAsia="en-AU"/>
    </w:rPr>
  </w:style>
  <w:style w:type="paragraph" w:customStyle="1" w:styleId="Default">
    <w:name w:val="Default"/>
    <w:rsid w:val="00BB696D"/>
    <w:pPr>
      <w:autoSpaceDE w:val="0"/>
      <w:autoSpaceDN w:val="0"/>
      <w:adjustRightInd w:val="0"/>
    </w:pPr>
    <w:rPr>
      <w:rFonts w:ascii="Arial" w:hAnsi="Arial" w:cs="Arial"/>
      <w:color w:val="000000"/>
      <w:sz w:val="24"/>
      <w:szCs w:val="24"/>
    </w:rPr>
  </w:style>
  <w:style w:type="paragraph" w:styleId="PlainText">
    <w:name w:val="Plain Text"/>
    <w:basedOn w:val="Normal"/>
    <w:link w:val="PlainTextChar"/>
    <w:uiPriority w:val="99"/>
    <w:unhideWhenUsed/>
    <w:rsid w:val="004B4E55"/>
    <w:pPr>
      <w:spacing w:after="0"/>
      <w:jc w:val="left"/>
    </w:pPr>
    <w:rPr>
      <w:rFonts w:ascii="Calibri" w:eastAsiaTheme="minorHAnsi" w:hAnsi="Calibri" w:cs="Calibri"/>
      <w:sz w:val="22"/>
      <w:szCs w:val="22"/>
      <w:lang w:eastAsia="en-US"/>
    </w:rPr>
  </w:style>
  <w:style w:type="character" w:customStyle="1" w:styleId="PlainTextChar">
    <w:name w:val="Plain Text Char"/>
    <w:basedOn w:val="DefaultParagraphFont"/>
    <w:link w:val="PlainText"/>
    <w:uiPriority w:val="99"/>
    <w:rsid w:val="004B4E55"/>
    <w:rPr>
      <w:rFonts w:ascii="Calibri" w:eastAsiaTheme="minorHAnsi" w:hAnsi="Calibri" w:cs="Calibri"/>
      <w:sz w:val="22"/>
      <w:szCs w:val="22"/>
    </w:rPr>
  </w:style>
  <w:style w:type="paragraph" w:customStyle="1" w:styleId="BulletPoint">
    <w:name w:val="Bullet Point"/>
    <w:basedOn w:val="ListParagraph"/>
    <w:link w:val="BulletPointChar"/>
    <w:autoRedefine/>
    <w:qFormat/>
    <w:rsid w:val="00F634BB"/>
    <w:pPr>
      <w:numPr>
        <w:numId w:val="2"/>
      </w:numPr>
      <w:tabs>
        <w:tab w:val="left" w:pos="3240"/>
      </w:tabs>
      <w:ind w:left="1134" w:hanging="567"/>
    </w:pPr>
    <w:rPr>
      <w:rFonts w:ascii="Lato" w:hAnsi="Lato"/>
      <w:sz w:val="22"/>
      <w:szCs w:val="22"/>
      <w:lang w:eastAsia="en-US"/>
    </w:rPr>
  </w:style>
  <w:style w:type="paragraph" w:customStyle="1" w:styleId="Heading2DN">
    <w:name w:val="Heading 2 DN"/>
    <w:basedOn w:val="ListParagraph"/>
    <w:link w:val="Heading2DNChar"/>
    <w:qFormat/>
    <w:rsid w:val="00F634BB"/>
    <w:pPr>
      <w:ind w:left="0"/>
    </w:pPr>
    <w:rPr>
      <w:rFonts w:ascii="Lato" w:hAnsi="Lato"/>
      <w:b/>
      <w:sz w:val="22"/>
      <w:szCs w:val="22"/>
      <w:u w:val="single"/>
    </w:rPr>
  </w:style>
  <w:style w:type="character" w:customStyle="1" w:styleId="ListParagraphChar">
    <w:name w:val="List Paragraph Char"/>
    <w:basedOn w:val="DefaultParagraphFont"/>
    <w:link w:val="ListParagraph"/>
    <w:uiPriority w:val="34"/>
    <w:rsid w:val="00F634BB"/>
    <w:rPr>
      <w:rFonts w:ascii="Arial" w:eastAsia="Times New Roman" w:hAnsi="Arial"/>
      <w:sz w:val="24"/>
      <w:lang w:eastAsia="en-AU"/>
    </w:rPr>
  </w:style>
  <w:style w:type="character" w:customStyle="1" w:styleId="BulletPointChar">
    <w:name w:val="Bullet Point Char"/>
    <w:basedOn w:val="ListParagraphChar"/>
    <w:link w:val="BulletPoint"/>
    <w:rsid w:val="00F634BB"/>
    <w:rPr>
      <w:rFonts w:ascii="Lato" w:eastAsia="Times New Roman" w:hAnsi="Lato"/>
      <w:sz w:val="22"/>
      <w:szCs w:val="22"/>
      <w:lang w:eastAsia="en-AU"/>
    </w:rPr>
  </w:style>
  <w:style w:type="character" w:customStyle="1" w:styleId="Heading2DNChar">
    <w:name w:val="Heading 2 DN Char"/>
    <w:basedOn w:val="ListParagraphChar"/>
    <w:link w:val="Heading2DN"/>
    <w:rsid w:val="00F634BB"/>
    <w:rPr>
      <w:rFonts w:ascii="Lato" w:eastAsia="Times New Roman" w:hAnsi="Lato"/>
      <w:b/>
      <w:sz w:val="22"/>
      <w:szCs w:val="22"/>
      <w:u w:val="single"/>
      <w:lang w:eastAsia="en-AU"/>
    </w:rPr>
  </w:style>
  <w:style w:type="paragraph" w:customStyle="1" w:styleId="cunumber3">
    <w:name w:val="cunumber3"/>
    <w:basedOn w:val="Normal"/>
    <w:rsid w:val="003C7BE6"/>
    <w:pPr>
      <w:spacing w:before="100" w:beforeAutospacing="1" w:after="100" w:afterAutospacing="1"/>
      <w:jc w:val="left"/>
    </w:pPr>
    <w:rPr>
      <w:rFonts w:ascii="Times New Roman" w:hAnsi="Times New Roman"/>
      <w:szCs w:val="24"/>
    </w:rPr>
  </w:style>
  <w:style w:type="paragraph" w:customStyle="1" w:styleId="Penalty">
    <w:name w:val="Penalty"/>
    <w:basedOn w:val="Normal"/>
    <w:next w:val="Normal"/>
    <w:rsid w:val="008014FD"/>
    <w:pPr>
      <w:widowControl w:val="0"/>
      <w:spacing w:after="240"/>
      <w:ind w:left="3600" w:hanging="2500"/>
      <w:jc w:val="left"/>
    </w:pPr>
    <w:rPr>
      <w:rFonts w:ascii="Helvetica" w:hAnsi="Helvetica"/>
      <w:szCs w:val="24"/>
    </w:rPr>
  </w:style>
  <w:style w:type="character" w:customStyle="1" w:styleId="SectiontextChar">
    <w:name w:val="Section text Char"/>
    <w:link w:val="Sectiontext"/>
    <w:rsid w:val="00A447A9"/>
    <w:rPr>
      <w:rFonts w:ascii="Helvetica" w:hAnsi="Helvetica"/>
      <w:sz w:val="24"/>
      <w:szCs w:val="24"/>
    </w:rPr>
  </w:style>
  <w:style w:type="paragraph" w:customStyle="1" w:styleId="Sectiontext">
    <w:name w:val="Section text"/>
    <w:basedOn w:val="Normal"/>
    <w:link w:val="SectiontextChar"/>
    <w:rsid w:val="00A447A9"/>
    <w:pPr>
      <w:widowControl w:val="0"/>
      <w:spacing w:after="240"/>
      <w:ind w:left="1100"/>
    </w:pPr>
    <w:rPr>
      <w:rFonts w:ascii="Helvetica" w:eastAsia="Calibri" w:hAnsi="Helvetica"/>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9525344">
      <w:bodyDiv w:val="1"/>
      <w:marLeft w:val="0"/>
      <w:marRight w:val="0"/>
      <w:marTop w:val="0"/>
      <w:marBottom w:val="0"/>
      <w:divBdr>
        <w:top w:val="none" w:sz="0" w:space="0" w:color="auto"/>
        <w:left w:val="none" w:sz="0" w:space="0" w:color="auto"/>
        <w:bottom w:val="none" w:sz="0" w:space="0" w:color="auto"/>
        <w:right w:val="none" w:sz="0" w:space="0" w:color="auto"/>
      </w:divBdr>
      <w:divsChild>
        <w:div w:id="1055399149">
          <w:marLeft w:val="0"/>
          <w:marRight w:val="0"/>
          <w:marTop w:val="0"/>
          <w:marBottom w:val="0"/>
          <w:divBdr>
            <w:top w:val="none" w:sz="0" w:space="0" w:color="auto"/>
            <w:left w:val="none" w:sz="0" w:space="0" w:color="auto"/>
            <w:bottom w:val="none" w:sz="0" w:space="0" w:color="auto"/>
            <w:right w:val="none" w:sz="0" w:space="0" w:color="auto"/>
          </w:divBdr>
          <w:divsChild>
            <w:div w:id="1765875993">
              <w:marLeft w:val="0"/>
              <w:marRight w:val="0"/>
              <w:marTop w:val="0"/>
              <w:marBottom w:val="0"/>
              <w:divBdr>
                <w:top w:val="none" w:sz="0" w:space="0" w:color="auto"/>
                <w:left w:val="none" w:sz="0" w:space="0" w:color="auto"/>
                <w:bottom w:val="none" w:sz="0" w:space="0" w:color="auto"/>
                <w:right w:val="none" w:sz="0" w:space="0" w:color="auto"/>
              </w:divBdr>
              <w:divsChild>
                <w:div w:id="988434393">
                  <w:marLeft w:val="0"/>
                  <w:marRight w:val="0"/>
                  <w:marTop w:val="0"/>
                  <w:marBottom w:val="0"/>
                  <w:divBdr>
                    <w:top w:val="none" w:sz="0" w:space="0" w:color="auto"/>
                    <w:left w:val="none" w:sz="0" w:space="0" w:color="auto"/>
                    <w:bottom w:val="none" w:sz="0" w:space="0" w:color="auto"/>
                    <w:right w:val="none" w:sz="0" w:space="0" w:color="auto"/>
                  </w:divBdr>
                  <w:divsChild>
                    <w:div w:id="1249340495">
                      <w:marLeft w:val="0"/>
                      <w:marRight w:val="0"/>
                      <w:marTop w:val="0"/>
                      <w:marBottom w:val="0"/>
                      <w:divBdr>
                        <w:top w:val="none" w:sz="0" w:space="0" w:color="auto"/>
                        <w:left w:val="none" w:sz="0" w:space="0" w:color="auto"/>
                        <w:bottom w:val="none" w:sz="0" w:space="0" w:color="auto"/>
                        <w:right w:val="none" w:sz="0" w:space="0" w:color="auto"/>
                      </w:divBdr>
                      <w:divsChild>
                        <w:div w:id="592200897">
                          <w:marLeft w:val="0"/>
                          <w:marRight w:val="0"/>
                          <w:marTop w:val="0"/>
                          <w:marBottom w:val="0"/>
                          <w:divBdr>
                            <w:top w:val="none" w:sz="0" w:space="0" w:color="auto"/>
                            <w:left w:val="none" w:sz="0" w:space="0" w:color="auto"/>
                            <w:bottom w:val="none" w:sz="0" w:space="0" w:color="auto"/>
                            <w:right w:val="none" w:sz="0" w:space="0" w:color="auto"/>
                          </w:divBdr>
                          <w:divsChild>
                            <w:div w:id="192546063">
                              <w:marLeft w:val="0"/>
                              <w:marRight w:val="0"/>
                              <w:marTop w:val="0"/>
                              <w:marBottom w:val="0"/>
                              <w:divBdr>
                                <w:top w:val="none" w:sz="0" w:space="0" w:color="auto"/>
                                <w:left w:val="none" w:sz="0" w:space="0" w:color="auto"/>
                                <w:bottom w:val="none" w:sz="0" w:space="0" w:color="auto"/>
                                <w:right w:val="none" w:sz="0" w:space="0" w:color="auto"/>
                              </w:divBdr>
                              <w:divsChild>
                                <w:div w:id="20935351">
                                  <w:marLeft w:val="0"/>
                                  <w:marRight w:val="0"/>
                                  <w:marTop w:val="0"/>
                                  <w:marBottom w:val="0"/>
                                  <w:divBdr>
                                    <w:top w:val="none" w:sz="0" w:space="0" w:color="auto"/>
                                    <w:left w:val="none" w:sz="0" w:space="0" w:color="auto"/>
                                    <w:bottom w:val="none" w:sz="0" w:space="0" w:color="auto"/>
                                    <w:right w:val="none" w:sz="0" w:space="0" w:color="auto"/>
                                  </w:divBdr>
                                  <w:divsChild>
                                    <w:div w:id="1532188024">
                                      <w:marLeft w:val="0"/>
                                      <w:marRight w:val="0"/>
                                      <w:marTop w:val="0"/>
                                      <w:marBottom w:val="0"/>
                                      <w:divBdr>
                                        <w:top w:val="none" w:sz="0" w:space="0" w:color="auto"/>
                                        <w:left w:val="none" w:sz="0" w:space="0" w:color="auto"/>
                                        <w:bottom w:val="none" w:sz="0" w:space="0" w:color="auto"/>
                                        <w:right w:val="none" w:sz="0" w:space="0" w:color="auto"/>
                                      </w:divBdr>
                                      <w:divsChild>
                                        <w:div w:id="2129539475">
                                          <w:marLeft w:val="0"/>
                                          <w:marRight w:val="0"/>
                                          <w:marTop w:val="0"/>
                                          <w:marBottom w:val="0"/>
                                          <w:divBdr>
                                            <w:top w:val="none" w:sz="0" w:space="0" w:color="auto"/>
                                            <w:left w:val="none" w:sz="0" w:space="0" w:color="auto"/>
                                            <w:bottom w:val="none" w:sz="0" w:space="0" w:color="auto"/>
                                            <w:right w:val="none" w:sz="0" w:space="0" w:color="auto"/>
                                          </w:divBdr>
                                          <w:divsChild>
                                            <w:div w:id="959141457">
                                              <w:marLeft w:val="0"/>
                                              <w:marRight w:val="0"/>
                                              <w:marTop w:val="0"/>
                                              <w:marBottom w:val="0"/>
                                              <w:divBdr>
                                                <w:top w:val="none" w:sz="0" w:space="0" w:color="auto"/>
                                                <w:left w:val="none" w:sz="0" w:space="0" w:color="auto"/>
                                                <w:bottom w:val="none" w:sz="0" w:space="0" w:color="auto"/>
                                                <w:right w:val="none" w:sz="0" w:space="0" w:color="auto"/>
                                              </w:divBdr>
                                              <w:divsChild>
                                                <w:div w:id="737437578">
                                                  <w:marLeft w:val="0"/>
                                                  <w:marRight w:val="0"/>
                                                  <w:marTop w:val="0"/>
                                                  <w:marBottom w:val="0"/>
                                                  <w:divBdr>
                                                    <w:top w:val="none" w:sz="0" w:space="0" w:color="auto"/>
                                                    <w:left w:val="none" w:sz="0" w:space="0" w:color="auto"/>
                                                    <w:bottom w:val="none" w:sz="0" w:space="0" w:color="auto"/>
                                                    <w:right w:val="none" w:sz="0" w:space="0" w:color="auto"/>
                                                  </w:divBdr>
                                                  <w:divsChild>
                                                    <w:div w:id="1559128556">
                                                      <w:marLeft w:val="0"/>
                                                      <w:marRight w:val="0"/>
                                                      <w:marTop w:val="0"/>
                                                      <w:marBottom w:val="0"/>
                                                      <w:divBdr>
                                                        <w:top w:val="none" w:sz="0" w:space="0" w:color="auto"/>
                                                        <w:left w:val="none" w:sz="0" w:space="0" w:color="auto"/>
                                                        <w:bottom w:val="none" w:sz="0" w:space="0" w:color="auto"/>
                                                        <w:right w:val="none" w:sz="0" w:space="0" w:color="auto"/>
                                                      </w:divBdr>
                                                      <w:divsChild>
                                                        <w:div w:id="210830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7035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Corporate%20Communications\DBE\CLIENTS\GAMBLING%20&amp;%20LICENSING\Web\Licensing%20Commission\Decisions\Decision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2013-04-04T14:30:00+00:00</Hearing_x0020_Date>
    <Decision_x0020_Category xmlns="28e3188d-fccf-4e87-a6b6-2e446be4517c">Liquor</Decision_x0020_Category>
    <_dlc_DocId xmlns="28e3188d-fccf-4e87-a6b6-2e446be4517c">2AXQX2YYQNYC-455-1270</_dlc_DocId>
    <_dlc_DocIdUrl xmlns="28e3188d-fccf-4e87-a6b6-2e446be4517c">
      <Url>http://www.dob.nt.gov.au/gambling-licensing/licensing-commission/hearings-decisions/_layouts/DocIdRedir.aspx?ID=2AXQX2YYQNYC-455-1270</Url>
      <Description>2AXQX2YYQNYC-455-1270</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2DCE5-E506-4157-B5DE-2240BC7B6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e3188d-fccf-4e87-a6b6-2e446be451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3B16F0-69F7-4BDB-93B4-2F887647A7BB}">
  <ds:schemaRefs>
    <ds:schemaRef ds:uri="http://purl.org/dc/terms/"/>
    <ds:schemaRef ds:uri="28e3188d-fccf-4e87-a6b6-2e446be4517c"/>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A5980B6-E921-4174-95C6-4174FB6F06FD}">
  <ds:schemaRefs>
    <ds:schemaRef ds:uri="http://schemas.microsoft.com/sharepoint/events"/>
  </ds:schemaRefs>
</ds:datastoreItem>
</file>

<file path=customXml/itemProps4.xml><?xml version="1.0" encoding="utf-8"?>
<ds:datastoreItem xmlns:ds="http://schemas.openxmlformats.org/officeDocument/2006/customXml" ds:itemID="{3033A192-4515-4152-8B6C-99C22895A312}">
  <ds:schemaRefs>
    <ds:schemaRef ds:uri="http://schemas.microsoft.com/sharepoint/v3/contenttype/forms"/>
  </ds:schemaRefs>
</ds:datastoreItem>
</file>

<file path=customXml/itemProps5.xml><?xml version="1.0" encoding="utf-8"?>
<ds:datastoreItem xmlns:ds="http://schemas.openxmlformats.org/officeDocument/2006/customXml" ds:itemID="{224F0B95-D4A2-4D69-968F-5B1726FEE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Decisions Template</Template>
  <TotalTime>2</TotalTime>
  <Pages>7</Pages>
  <Words>3255</Words>
  <Characters>18554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Decision Notice - United Wycliffe Well &amp; Devils Marbles Hotel</vt:lpstr>
    </vt:vector>
  </TitlesOfParts>
  <Company>Northern Territory Government</Company>
  <LinksUpToDate>false</LinksUpToDate>
  <CharactersWithSpaces>21766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Notice - United Wycliffe Well &amp; Devils Marbles Hotel</dc:title>
  <dc:creator>Marlene Woods</dc:creator>
  <cp:lastModifiedBy>Judith Boiteau</cp:lastModifiedBy>
  <cp:revision>3</cp:revision>
  <cp:lastPrinted>2017-07-27T01:49:00Z</cp:lastPrinted>
  <dcterms:created xsi:type="dcterms:W3CDTF">2017-08-02T01:09:00Z</dcterms:created>
  <dcterms:modified xsi:type="dcterms:W3CDTF">2017-08-02T06:22:00Z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41cfb481-d29b-4fbc-87af-dd80563dcc96</vt:lpwstr>
  </property>
</Properties>
</file>