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1FF" w:rsidRDefault="00DD72D2" w:rsidP="00E30632">
      <w:pPr>
        <w:pStyle w:val="Title"/>
        <w:spacing w:after="0" w:line="360" w:lineRule="auto"/>
        <w:jc w:val="center"/>
        <w:rPr>
          <w:bCs/>
        </w:rPr>
      </w:pPr>
      <w:r>
        <w:rPr>
          <w:bCs/>
        </w:rPr>
        <w:t>Director-General of Licensing</w:t>
      </w:r>
    </w:p>
    <w:p w:rsidR="00DD72D2" w:rsidRPr="00DD72D2" w:rsidRDefault="00DD72D2" w:rsidP="00DD72D2">
      <w:pPr>
        <w:pStyle w:val="Title"/>
        <w:pBdr>
          <w:bottom w:val="single" w:sz="4" w:space="1" w:color="auto"/>
        </w:pBdr>
        <w:spacing w:after="0" w:line="240" w:lineRule="auto"/>
        <w:jc w:val="center"/>
        <w:rPr>
          <w:bCs/>
        </w:rPr>
      </w:pPr>
      <w:r w:rsidRPr="00DD72D2">
        <w:rPr>
          <w:bCs/>
        </w:rPr>
        <w:t>Decision Notice</w:t>
      </w:r>
    </w:p>
    <w:p w:rsidR="00F161FF" w:rsidRPr="00DD72D2" w:rsidRDefault="00DD72D2" w:rsidP="00DD72D2">
      <w:pPr>
        <w:tabs>
          <w:tab w:val="left" w:pos="2835"/>
        </w:tabs>
        <w:spacing w:before="240" w:after="240"/>
      </w:pPr>
      <w:r>
        <w:rPr>
          <w:b/>
        </w:rPr>
        <w:t>M</w:t>
      </w:r>
      <w:bookmarkStart w:id="0" w:name="_GoBack"/>
      <w:bookmarkEnd w:id="0"/>
      <w:r>
        <w:rPr>
          <w:b/>
        </w:rPr>
        <w:t>ATTER:</w:t>
      </w:r>
      <w:r>
        <w:rPr>
          <w:b/>
        </w:rPr>
        <w:tab/>
      </w:r>
      <w:r w:rsidR="004C6233" w:rsidRPr="004A405E">
        <w:t>Cancellation of Liquor and Gaming Machine Licences</w:t>
      </w:r>
    </w:p>
    <w:p w:rsidR="00F161FF" w:rsidRPr="00DD72D2" w:rsidRDefault="00DD72D2" w:rsidP="00DD72D2">
      <w:pPr>
        <w:tabs>
          <w:tab w:val="left" w:pos="2835"/>
        </w:tabs>
        <w:spacing w:before="240" w:after="240"/>
        <w:rPr>
          <w:b/>
        </w:rPr>
      </w:pPr>
      <w:r w:rsidRPr="00DD72D2">
        <w:rPr>
          <w:b/>
        </w:rPr>
        <w:t>PREMISES:</w:t>
      </w:r>
      <w:r w:rsidRPr="00DD72D2">
        <w:rPr>
          <w:b/>
        </w:rPr>
        <w:tab/>
      </w:r>
      <w:r w:rsidR="004C6233" w:rsidRPr="004A405E">
        <w:t>Katherine Sports &amp; Recreation Club</w:t>
      </w:r>
    </w:p>
    <w:p w:rsidR="00F161FF" w:rsidRPr="00DD72D2" w:rsidRDefault="004C6233" w:rsidP="00DD72D2">
      <w:pPr>
        <w:tabs>
          <w:tab w:val="left" w:pos="2835"/>
        </w:tabs>
        <w:spacing w:before="240" w:after="240"/>
        <w:rPr>
          <w:b/>
        </w:rPr>
      </w:pPr>
      <w:r>
        <w:rPr>
          <w:b/>
        </w:rPr>
        <w:t>LICENSEE</w:t>
      </w:r>
      <w:r w:rsidR="00DD72D2" w:rsidRPr="00DD72D2">
        <w:rPr>
          <w:b/>
        </w:rPr>
        <w:t>:</w:t>
      </w:r>
      <w:r w:rsidR="00DD72D2" w:rsidRPr="00DD72D2">
        <w:rPr>
          <w:b/>
        </w:rPr>
        <w:tab/>
      </w:r>
      <w:r w:rsidRPr="004A405E">
        <w:t>Katherine Sports &amp; Recreation Club Inc.</w:t>
      </w:r>
    </w:p>
    <w:p w:rsidR="00F161FF" w:rsidRPr="00DD72D2" w:rsidRDefault="00DD72D2" w:rsidP="00DD72D2">
      <w:pPr>
        <w:tabs>
          <w:tab w:val="left" w:pos="2835"/>
        </w:tabs>
        <w:spacing w:before="240" w:after="240"/>
        <w:rPr>
          <w:b/>
        </w:rPr>
      </w:pPr>
      <w:r w:rsidRPr="00DD72D2">
        <w:rPr>
          <w:b/>
        </w:rPr>
        <w:t>NOMINEE:</w:t>
      </w:r>
      <w:r w:rsidRPr="00DD72D2">
        <w:rPr>
          <w:b/>
        </w:rPr>
        <w:tab/>
      </w:r>
      <w:r w:rsidR="004C6233" w:rsidRPr="004A405E">
        <w:t>Ms Megan Coutts</w:t>
      </w:r>
    </w:p>
    <w:p w:rsidR="00DD72D2" w:rsidRPr="00626FEE" w:rsidRDefault="00DD72D2" w:rsidP="00DD72D2">
      <w:pPr>
        <w:tabs>
          <w:tab w:val="left" w:pos="2835"/>
        </w:tabs>
        <w:spacing w:before="240" w:after="240"/>
        <w:rPr>
          <w:b/>
        </w:rPr>
      </w:pPr>
      <w:r w:rsidRPr="00DD72D2">
        <w:rPr>
          <w:b/>
        </w:rPr>
        <w:t>LEGISLATION:</w:t>
      </w:r>
      <w:r w:rsidRPr="00DD72D2">
        <w:rPr>
          <w:b/>
        </w:rPr>
        <w:tab/>
      </w:r>
      <w:r w:rsidR="004C6233" w:rsidRPr="004A405E">
        <w:t xml:space="preserve">Section 47 of the </w:t>
      </w:r>
      <w:r w:rsidR="004C6233" w:rsidRPr="004A405E">
        <w:rPr>
          <w:i/>
        </w:rPr>
        <w:t>Liquor Act</w:t>
      </w:r>
      <w:r w:rsidR="00626FEE" w:rsidRPr="004A405E">
        <w:t xml:space="preserve">, Section 48 of the </w:t>
      </w:r>
      <w:r w:rsidR="00626FEE" w:rsidRPr="004A405E">
        <w:rPr>
          <w:i/>
        </w:rPr>
        <w:t>Gaming Machine Act</w:t>
      </w:r>
    </w:p>
    <w:p w:rsidR="00DD72D2" w:rsidRDefault="00DD72D2" w:rsidP="00DD72D2">
      <w:pPr>
        <w:tabs>
          <w:tab w:val="left" w:pos="2835"/>
        </w:tabs>
        <w:spacing w:before="240" w:after="240"/>
      </w:pPr>
      <w:r w:rsidRPr="00DD72D2">
        <w:rPr>
          <w:b/>
        </w:rPr>
        <w:t>DECISION OF:</w:t>
      </w:r>
      <w:r>
        <w:tab/>
        <w:t>Director-General of Licensing</w:t>
      </w:r>
    </w:p>
    <w:p w:rsidR="00DD72D2" w:rsidRPr="004A405E" w:rsidRDefault="00DD72D2" w:rsidP="00DD72D2">
      <w:pPr>
        <w:tabs>
          <w:tab w:val="left" w:pos="2835"/>
        </w:tabs>
        <w:spacing w:before="240" w:after="0"/>
      </w:pPr>
      <w:r w:rsidRPr="00DD72D2">
        <w:rPr>
          <w:b/>
        </w:rPr>
        <w:t>DATE OF DECISION:</w:t>
      </w:r>
      <w:r w:rsidRPr="00DD72D2">
        <w:rPr>
          <w:b/>
        </w:rPr>
        <w:tab/>
      </w:r>
      <w:r w:rsidR="004A405E" w:rsidRPr="004A405E">
        <w:t>6</w:t>
      </w:r>
      <w:r w:rsidR="004C6233" w:rsidRPr="004A405E">
        <w:t xml:space="preserve"> October 2016</w:t>
      </w:r>
    </w:p>
    <w:p w:rsidR="00F161FF" w:rsidRPr="00F161FF" w:rsidRDefault="00F161FF" w:rsidP="00F161FF">
      <w:pPr>
        <w:pBdr>
          <w:bottom w:val="single" w:sz="4" w:space="1" w:color="auto"/>
        </w:pBdr>
        <w:rPr>
          <w:b/>
        </w:rPr>
      </w:pPr>
    </w:p>
    <w:p w:rsidR="00F161FF" w:rsidRPr="00F161FF" w:rsidRDefault="00F161FF" w:rsidP="00F161FF"/>
    <w:p w:rsidR="00F161FF" w:rsidRPr="00DD72D2" w:rsidRDefault="00DD72D2" w:rsidP="00DD72D2">
      <w:pPr>
        <w:pStyle w:val="Heading2"/>
        <w:spacing w:after="240"/>
      </w:pPr>
      <w:bookmarkStart w:id="1" w:name="TypeHere"/>
      <w:bookmarkEnd w:id="1"/>
      <w:r w:rsidRPr="00DD72D2">
        <w:t>BACKGROUND</w:t>
      </w:r>
    </w:p>
    <w:p w:rsidR="00F161FF" w:rsidRDefault="004C6233" w:rsidP="00DD72D2">
      <w:pPr>
        <w:pStyle w:val="ListParagraph"/>
        <w:numPr>
          <w:ilvl w:val="0"/>
          <w:numId w:val="2"/>
        </w:numPr>
        <w:spacing w:after="240"/>
        <w:ind w:left="567" w:hanging="567"/>
        <w:contextualSpacing w:val="0"/>
      </w:pPr>
      <w:r>
        <w:t xml:space="preserve">On 18 December 2015 the Katherine Sports &amp; Recreation Club ceased trading as the association had come to the decision they could no longer </w:t>
      </w:r>
      <w:r w:rsidR="00106D89">
        <w:t>guarantee the premises would be trading in a solvent capacity.</w:t>
      </w:r>
    </w:p>
    <w:p w:rsidR="00BC0E51" w:rsidRDefault="00BC0E51" w:rsidP="00DD72D2">
      <w:pPr>
        <w:pStyle w:val="ListParagraph"/>
        <w:numPr>
          <w:ilvl w:val="0"/>
          <w:numId w:val="2"/>
        </w:numPr>
        <w:spacing w:after="240"/>
        <w:ind w:left="567" w:hanging="567"/>
        <w:contextualSpacing w:val="0"/>
      </w:pPr>
      <w:r>
        <w:t xml:space="preserve">The Katherine Sports &amp; Recreation Club Inc. </w:t>
      </w:r>
      <w:r w:rsidR="004A405E">
        <w:t>holds Liquor</w:t>
      </w:r>
      <w:r>
        <w:t xml:space="preserve"> </w:t>
      </w:r>
      <w:r w:rsidR="000A46FE">
        <w:t>L</w:t>
      </w:r>
      <w:r>
        <w:t xml:space="preserve">icence, 81401019 and </w:t>
      </w:r>
      <w:r w:rsidR="000A46FE">
        <w:t>G</w:t>
      </w:r>
      <w:r>
        <w:t xml:space="preserve">aming </w:t>
      </w:r>
      <w:r w:rsidR="000A46FE">
        <w:t>M</w:t>
      </w:r>
      <w:r>
        <w:t xml:space="preserve">achine </w:t>
      </w:r>
      <w:r w:rsidR="000A46FE">
        <w:t>L</w:t>
      </w:r>
      <w:r>
        <w:t>icence GM126.</w:t>
      </w:r>
    </w:p>
    <w:p w:rsidR="00DD72D2" w:rsidRDefault="00106D89" w:rsidP="00DD72D2">
      <w:pPr>
        <w:pStyle w:val="ListParagraph"/>
        <w:numPr>
          <w:ilvl w:val="0"/>
          <w:numId w:val="2"/>
        </w:numPr>
        <w:spacing w:after="240"/>
        <w:ind w:left="567" w:hanging="567"/>
        <w:contextualSpacing w:val="0"/>
      </w:pPr>
      <w:r>
        <w:t xml:space="preserve">The licensee commenced winding </w:t>
      </w:r>
      <w:r w:rsidR="009778B8">
        <w:t xml:space="preserve">up of the premises and </w:t>
      </w:r>
      <w:r w:rsidR="004A405E">
        <w:t>incorporated</w:t>
      </w:r>
      <w:r w:rsidR="000A46FE">
        <w:t xml:space="preserve"> </w:t>
      </w:r>
      <w:r w:rsidR="009778B8">
        <w:t>association</w:t>
      </w:r>
      <w:r w:rsidR="00BC0E51">
        <w:t>.  All assets of the licensee were sold to the Katherine Golf Club save for the gaming machines</w:t>
      </w:r>
      <w:r w:rsidR="000A46FE">
        <w:t>,</w:t>
      </w:r>
      <w:r w:rsidR="00BC0E51">
        <w:t xml:space="preserve"> which were returned to the licensed supplier Ainsworth in satisfaction of the debt owed for recently replaced machines.</w:t>
      </w:r>
    </w:p>
    <w:p w:rsidR="00BC0E51" w:rsidRDefault="00BC0E51" w:rsidP="00DD72D2">
      <w:pPr>
        <w:pStyle w:val="ListParagraph"/>
        <w:numPr>
          <w:ilvl w:val="0"/>
          <w:numId w:val="2"/>
        </w:numPr>
        <w:spacing w:after="240"/>
        <w:ind w:left="567" w:hanging="567"/>
        <w:contextualSpacing w:val="0"/>
      </w:pPr>
      <w:r>
        <w:t>The licensee sought to surrender both licences to the Director-General and a report was prepared in relation to this matter.</w:t>
      </w:r>
    </w:p>
    <w:p w:rsidR="00BC0E51" w:rsidRDefault="00BC0E51" w:rsidP="00DD72D2">
      <w:pPr>
        <w:pStyle w:val="ListParagraph"/>
        <w:numPr>
          <w:ilvl w:val="0"/>
          <w:numId w:val="2"/>
        </w:numPr>
        <w:spacing w:after="240"/>
        <w:ind w:left="567" w:hanging="567"/>
        <w:contextualSpacing w:val="0"/>
      </w:pPr>
      <w:r>
        <w:t>On 23 December 2015 it was determined the surrender of the licences was not accepted.  The basis for the refusal to accept the surrender</w:t>
      </w:r>
      <w:r w:rsidR="000A46FE">
        <w:t>s</w:t>
      </w:r>
      <w:r>
        <w:t xml:space="preserve"> was that the transfer of any remaining jackpot money from the gaming machine</w:t>
      </w:r>
      <w:r w:rsidR="000A46FE">
        <w:t>’</w:t>
      </w:r>
      <w:r>
        <w:t>s Linked Jackpot</w:t>
      </w:r>
      <w:r w:rsidR="000A46FE">
        <w:t xml:space="preserve"> System</w:t>
      </w:r>
      <w:r>
        <w:t xml:space="preserve"> had yet to be confirmed and paid into the Community Benefit Fund.</w:t>
      </w:r>
    </w:p>
    <w:p w:rsidR="00BC0E51" w:rsidRPr="00F161FF" w:rsidRDefault="00BC0E51" w:rsidP="00DD72D2">
      <w:pPr>
        <w:pStyle w:val="ListParagraph"/>
        <w:numPr>
          <w:ilvl w:val="0"/>
          <w:numId w:val="2"/>
        </w:numPr>
        <w:spacing w:after="240"/>
        <w:ind w:left="567" w:hanging="567"/>
        <w:contextualSpacing w:val="0"/>
      </w:pPr>
      <w:r>
        <w:t xml:space="preserve">It was expected all remaining monies would be realised and </w:t>
      </w:r>
      <w:r w:rsidR="004A405E">
        <w:t>dispersed</w:t>
      </w:r>
      <w:r>
        <w:t xml:space="preserve"> accordingly </w:t>
      </w:r>
      <w:r w:rsidR="000A46FE">
        <w:t>by early 2016 at which time the surrenders may be accepted.</w:t>
      </w:r>
    </w:p>
    <w:p w:rsidR="00F161FF" w:rsidRPr="00DD72D2" w:rsidRDefault="00DD72D2" w:rsidP="00DD72D2">
      <w:pPr>
        <w:pStyle w:val="Heading2"/>
        <w:spacing w:after="240"/>
      </w:pPr>
      <w:r w:rsidRPr="00DD72D2">
        <w:lastRenderedPageBreak/>
        <w:t>CURRENT SITUATION</w:t>
      </w:r>
    </w:p>
    <w:p w:rsidR="00DD72D2" w:rsidRDefault="00BC0E51" w:rsidP="00DD72D2">
      <w:pPr>
        <w:pStyle w:val="ListParagraph"/>
        <w:numPr>
          <w:ilvl w:val="0"/>
          <w:numId w:val="2"/>
        </w:numPr>
        <w:spacing w:after="240"/>
        <w:ind w:left="567" w:hanging="567"/>
        <w:contextualSpacing w:val="0"/>
      </w:pPr>
      <w:r>
        <w:t>The licensee surrendered possession of the premises to the landlord</w:t>
      </w:r>
      <w:r w:rsidR="000A46FE">
        <w:t>,</w:t>
      </w:r>
      <w:r>
        <w:t xml:space="preserve"> being the Northern Territory Government upon discharge of an historic mortgage with the ANZ Bank</w:t>
      </w:r>
      <w:r w:rsidR="00820205">
        <w:t xml:space="preserve"> in March 2016.</w:t>
      </w:r>
    </w:p>
    <w:p w:rsidR="00DD72D2" w:rsidRPr="00F161FF" w:rsidRDefault="00820205" w:rsidP="00DD72D2">
      <w:pPr>
        <w:pStyle w:val="ListParagraph"/>
        <w:numPr>
          <w:ilvl w:val="0"/>
          <w:numId w:val="2"/>
        </w:numPr>
        <w:spacing w:after="240"/>
        <w:ind w:left="567" w:hanging="567"/>
        <w:contextualSpacing w:val="0"/>
      </w:pPr>
      <w:r>
        <w:t xml:space="preserve">On 14 September 2016 the Katherine Sports &amp; Recreation Club </w:t>
      </w:r>
      <w:r w:rsidR="000A46FE">
        <w:t>I</w:t>
      </w:r>
      <w:r>
        <w:t>nc</w:t>
      </w:r>
      <w:r w:rsidR="000A46FE">
        <w:t>.</w:t>
      </w:r>
      <w:r>
        <w:t xml:space="preserve"> was formally dissolved by publication in Government Gazette No. G37 pursuant to Section 65(5) of the </w:t>
      </w:r>
      <w:r w:rsidRPr="00820205">
        <w:rPr>
          <w:i/>
        </w:rPr>
        <w:t>Associations Act.</w:t>
      </w:r>
    </w:p>
    <w:p w:rsidR="00F161FF" w:rsidRPr="00DD72D2" w:rsidRDefault="00DD72D2" w:rsidP="00DD72D2">
      <w:pPr>
        <w:pStyle w:val="Heading2"/>
        <w:spacing w:after="240"/>
      </w:pPr>
      <w:r w:rsidRPr="00DD72D2">
        <w:t>ASSESSMENT OF MATTER</w:t>
      </w:r>
    </w:p>
    <w:p w:rsidR="00DD72D2" w:rsidRDefault="00820205" w:rsidP="00DD72D2">
      <w:pPr>
        <w:pStyle w:val="ListParagraph"/>
        <w:numPr>
          <w:ilvl w:val="0"/>
          <w:numId w:val="2"/>
        </w:numPr>
        <w:spacing w:after="240"/>
        <w:ind w:left="567" w:hanging="567"/>
        <w:contextualSpacing w:val="0"/>
      </w:pPr>
      <w:r>
        <w:t>The premises have not been operational since 18 December 2015 and the licensee has divested themselves of all assets with which they may conduct the business of the licensee.</w:t>
      </w:r>
    </w:p>
    <w:p w:rsidR="00820205" w:rsidRDefault="00820205" w:rsidP="00DD72D2">
      <w:pPr>
        <w:pStyle w:val="ListParagraph"/>
        <w:numPr>
          <w:ilvl w:val="0"/>
          <w:numId w:val="2"/>
        </w:numPr>
        <w:spacing w:after="240"/>
        <w:ind w:left="567" w:hanging="567"/>
        <w:contextualSpacing w:val="0"/>
      </w:pPr>
      <w:r>
        <w:t xml:space="preserve">The </w:t>
      </w:r>
      <w:r w:rsidRPr="000A46FE">
        <w:rPr>
          <w:i/>
        </w:rPr>
        <w:t>Liquor Act</w:t>
      </w:r>
      <w:r>
        <w:t xml:space="preserve"> prescribes the following in relation to the conduct of the business of a licensee;</w:t>
      </w:r>
    </w:p>
    <w:p w:rsidR="00820205" w:rsidRPr="00820205" w:rsidRDefault="00820205" w:rsidP="00820205">
      <w:pPr>
        <w:pStyle w:val="NoSpacing"/>
        <w:ind w:left="1440"/>
        <w:rPr>
          <w:b/>
          <w:sz w:val="18"/>
          <w:szCs w:val="18"/>
        </w:rPr>
      </w:pPr>
      <w:r w:rsidRPr="00820205">
        <w:rPr>
          <w:b/>
          <w:sz w:val="18"/>
          <w:szCs w:val="18"/>
        </w:rPr>
        <w:t>47 Acting licensee</w:t>
      </w:r>
    </w:p>
    <w:p w:rsidR="00820205" w:rsidRDefault="00820205" w:rsidP="00820205">
      <w:pPr>
        <w:pStyle w:val="NoSpacing"/>
        <w:ind w:left="1440"/>
        <w:rPr>
          <w:sz w:val="18"/>
          <w:szCs w:val="18"/>
        </w:rPr>
      </w:pPr>
    </w:p>
    <w:p w:rsidR="00820205" w:rsidRPr="00820205" w:rsidRDefault="00820205" w:rsidP="00820205">
      <w:pPr>
        <w:pStyle w:val="NoSpacing"/>
        <w:ind w:left="1440"/>
        <w:rPr>
          <w:sz w:val="18"/>
          <w:szCs w:val="18"/>
        </w:rPr>
      </w:pPr>
      <w:r w:rsidRPr="00820205">
        <w:rPr>
          <w:sz w:val="18"/>
          <w:szCs w:val="18"/>
        </w:rPr>
        <w:t>(1) If a licensee is, or is expected to be, unable for any reason to conduct the business of the licensee during any period of time, the licensee must:</w:t>
      </w:r>
    </w:p>
    <w:p w:rsidR="00820205" w:rsidRDefault="00820205" w:rsidP="00820205">
      <w:pPr>
        <w:pStyle w:val="NoSpacing"/>
        <w:ind w:left="2160"/>
        <w:rPr>
          <w:sz w:val="18"/>
          <w:szCs w:val="18"/>
        </w:rPr>
      </w:pPr>
    </w:p>
    <w:p w:rsidR="00820205" w:rsidRPr="00820205" w:rsidRDefault="00820205" w:rsidP="00820205">
      <w:pPr>
        <w:pStyle w:val="NoSpacing"/>
        <w:ind w:left="2160"/>
        <w:rPr>
          <w:sz w:val="18"/>
          <w:szCs w:val="18"/>
        </w:rPr>
      </w:pPr>
      <w:r w:rsidRPr="00820205">
        <w:rPr>
          <w:sz w:val="18"/>
          <w:szCs w:val="18"/>
        </w:rPr>
        <w:t xml:space="preserve">(a) </w:t>
      </w:r>
      <w:proofErr w:type="gramStart"/>
      <w:r w:rsidRPr="00820205">
        <w:rPr>
          <w:sz w:val="18"/>
          <w:szCs w:val="18"/>
        </w:rPr>
        <w:t>appoint</w:t>
      </w:r>
      <w:proofErr w:type="gramEnd"/>
      <w:r w:rsidRPr="00820205">
        <w:rPr>
          <w:sz w:val="18"/>
          <w:szCs w:val="18"/>
        </w:rPr>
        <w:t xml:space="preserve"> a person to act as the licensee to conduct the licensee's business during that period; and</w:t>
      </w:r>
    </w:p>
    <w:p w:rsidR="00820205" w:rsidRDefault="00820205" w:rsidP="00820205">
      <w:pPr>
        <w:pStyle w:val="NoSpacing"/>
        <w:ind w:left="2160"/>
        <w:rPr>
          <w:sz w:val="18"/>
          <w:szCs w:val="18"/>
        </w:rPr>
      </w:pPr>
    </w:p>
    <w:p w:rsidR="00820205" w:rsidRPr="00820205" w:rsidRDefault="00820205" w:rsidP="00820205">
      <w:pPr>
        <w:pStyle w:val="NoSpacing"/>
        <w:ind w:left="2160"/>
        <w:rPr>
          <w:sz w:val="18"/>
          <w:szCs w:val="18"/>
        </w:rPr>
      </w:pPr>
      <w:r w:rsidRPr="00820205">
        <w:rPr>
          <w:sz w:val="18"/>
          <w:szCs w:val="18"/>
        </w:rPr>
        <w:t xml:space="preserve">(b) </w:t>
      </w:r>
      <w:proofErr w:type="gramStart"/>
      <w:r w:rsidRPr="00820205">
        <w:rPr>
          <w:sz w:val="18"/>
          <w:szCs w:val="18"/>
        </w:rPr>
        <w:t>give</w:t>
      </w:r>
      <w:proofErr w:type="gramEnd"/>
      <w:r w:rsidRPr="00820205">
        <w:rPr>
          <w:sz w:val="18"/>
          <w:szCs w:val="18"/>
        </w:rPr>
        <w:t xml:space="preserve"> written notice to the Director-General of the full name, address and occupation of the person within 3 days after the date of the appointment.</w:t>
      </w:r>
    </w:p>
    <w:p w:rsidR="00820205" w:rsidRDefault="00820205" w:rsidP="00820205">
      <w:pPr>
        <w:pStyle w:val="NoSpacing"/>
        <w:ind w:left="1440"/>
        <w:rPr>
          <w:sz w:val="18"/>
          <w:szCs w:val="18"/>
        </w:rPr>
      </w:pPr>
      <w:r w:rsidRPr="00820205">
        <w:rPr>
          <w:sz w:val="18"/>
          <w:szCs w:val="18"/>
        </w:rPr>
        <w:t>…</w:t>
      </w:r>
    </w:p>
    <w:p w:rsidR="00820205" w:rsidRDefault="00820205" w:rsidP="00820205">
      <w:pPr>
        <w:pStyle w:val="NoSpacing"/>
        <w:ind w:left="1440"/>
        <w:rPr>
          <w:sz w:val="18"/>
          <w:szCs w:val="18"/>
        </w:rPr>
      </w:pPr>
      <w:r w:rsidRPr="00820205">
        <w:rPr>
          <w:sz w:val="18"/>
          <w:szCs w:val="18"/>
        </w:rPr>
        <w:t>(4) Unless the Director-General otherwise determines, a person appointed under subsection (1) or (2) must not act as a licensee for more than 42 days during any period of 12 months that the licence is in force.</w:t>
      </w:r>
    </w:p>
    <w:p w:rsidR="00820205" w:rsidRDefault="00820205" w:rsidP="00820205">
      <w:pPr>
        <w:pStyle w:val="NoSpacing"/>
        <w:ind w:left="1440"/>
        <w:rPr>
          <w:sz w:val="18"/>
          <w:szCs w:val="18"/>
        </w:rPr>
      </w:pPr>
    </w:p>
    <w:p w:rsidR="00820205" w:rsidRPr="00820205" w:rsidRDefault="00820205" w:rsidP="00820205">
      <w:pPr>
        <w:pStyle w:val="NoSpacing"/>
        <w:ind w:left="1440"/>
        <w:rPr>
          <w:sz w:val="18"/>
          <w:szCs w:val="18"/>
        </w:rPr>
      </w:pPr>
      <w:r w:rsidRPr="00820205">
        <w:rPr>
          <w:sz w:val="18"/>
          <w:szCs w:val="18"/>
        </w:rPr>
        <w:t>(5) Where:</w:t>
      </w:r>
    </w:p>
    <w:p w:rsidR="00820205" w:rsidRDefault="00820205" w:rsidP="00820205">
      <w:pPr>
        <w:pStyle w:val="NoSpacing"/>
        <w:ind w:left="2160"/>
        <w:rPr>
          <w:sz w:val="18"/>
          <w:szCs w:val="18"/>
        </w:rPr>
      </w:pPr>
    </w:p>
    <w:p w:rsidR="00820205" w:rsidRDefault="00820205" w:rsidP="00820205">
      <w:pPr>
        <w:pStyle w:val="NoSpacing"/>
        <w:ind w:left="2160"/>
        <w:rPr>
          <w:sz w:val="18"/>
          <w:szCs w:val="18"/>
        </w:rPr>
      </w:pPr>
      <w:r w:rsidRPr="00820205">
        <w:rPr>
          <w:sz w:val="18"/>
          <w:szCs w:val="18"/>
        </w:rPr>
        <w:t xml:space="preserve">(a) </w:t>
      </w:r>
      <w:proofErr w:type="gramStart"/>
      <w:r w:rsidRPr="00820205">
        <w:rPr>
          <w:sz w:val="18"/>
          <w:szCs w:val="18"/>
        </w:rPr>
        <w:t>a</w:t>
      </w:r>
      <w:proofErr w:type="gramEnd"/>
      <w:r w:rsidRPr="00820205">
        <w:rPr>
          <w:sz w:val="18"/>
          <w:szCs w:val="18"/>
        </w:rPr>
        <w:t xml:space="preserve"> licensee's inability to conduct the business of a licensee is, or is expected to be, permanent; and</w:t>
      </w:r>
    </w:p>
    <w:p w:rsidR="00820205" w:rsidRDefault="00820205" w:rsidP="00820205">
      <w:pPr>
        <w:pStyle w:val="NoSpacing"/>
        <w:ind w:left="1440"/>
        <w:rPr>
          <w:sz w:val="18"/>
          <w:szCs w:val="18"/>
        </w:rPr>
      </w:pPr>
    </w:p>
    <w:p w:rsidR="00820205" w:rsidRPr="00820205" w:rsidRDefault="00820205" w:rsidP="00820205">
      <w:pPr>
        <w:pStyle w:val="NoSpacing"/>
        <w:ind w:left="2160"/>
        <w:rPr>
          <w:sz w:val="18"/>
          <w:szCs w:val="18"/>
        </w:rPr>
      </w:pPr>
      <w:r w:rsidRPr="00820205">
        <w:rPr>
          <w:sz w:val="18"/>
          <w:szCs w:val="18"/>
        </w:rPr>
        <w:t xml:space="preserve">(b) </w:t>
      </w:r>
      <w:proofErr w:type="gramStart"/>
      <w:r w:rsidRPr="00820205">
        <w:rPr>
          <w:sz w:val="18"/>
          <w:szCs w:val="18"/>
        </w:rPr>
        <w:t>an</w:t>
      </w:r>
      <w:proofErr w:type="gramEnd"/>
      <w:r w:rsidRPr="00820205">
        <w:rPr>
          <w:sz w:val="18"/>
          <w:szCs w:val="18"/>
        </w:rPr>
        <w:t xml:space="preserve"> application for transfer of the licence of that licensee is not made in accordance with section 41 within the period referred to in subsection (4) of this section,</w:t>
      </w:r>
    </w:p>
    <w:p w:rsidR="00820205" w:rsidRDefault="00820205" w:rsidP="00820205">
      <w:pPr>
        <w:pStyle w:val="NoSpacing"/>
        <w:ind w:left="1440"/>
        <w:rPr>
          <w:sz w:val="18"/>
          <w:szCs w:val="18"/>
        </w:rPr>
      </w:pPr>
    </w:p>
    <w:p w:rsidR="00820205" w:rsidRDefault="00820205" w:rsidP="00820205">
      <w:pPr>
        <w:pStyle w:val="NoSpacing"/>
        <w:ind w:left="1440"/>
        <w:rPr>
          <w:sz w:val="18"/>
          <w:szCs w:val="18"/>
        </w:rPr>
      </w:pPr>
      <w:proofErr w:type="gramStart"/>
      <w:r w:rsidRPr="00820205">
        <w:rPr>
          <w:sz w:val="18"/>
          <w:szCs w:val="18"/>
        </w:rPr>
        <w:t>the</w:t>
      </w:r>
      <w:proofErr w:type="gramEnd"/>
      <w:r w:rsidRPr="00820205">
        <w:rPr>
          <w:sz w:val="18"/>
          <w:szCs w:val="18"/>
        </w:rPr>
        <w:t xml:space="preserve"> Director-General must cancel that licence at the expiration of that period, unless arrangements which are satisfactory to the Director-General are made during that period to conduct the business of the licensee.</w:t>
      </w:r>
    </w:p>
    <w:p w:rsidR="00820205" w:rsidRPr="00820205" w:rsidRDefault="00820205" w:rsidP="00820205">
      <w:pPr>
        <w:pStyle w:val="NoSpacing"/>
        <w:ind w:left="1440"/>
        <w:rPr>
          <w:sz w:val="18"/>
          <w:szCs w:val="18"/>
        </w:rPr>
      </w:pPr>
    </w:p>
    <w:p w:rsidR="00820205" w:rsidRDefault="00820205" w:rsidP="00DD72D2">
      <w:pPr>
        <w:pStyle w:val="ListParagraph"/>
        <w:numPr>
          <w:ilvl w:val="0"/>
          <w:numId w:val="2"/>
        </w:numPr>
        <w:spacing w:after="240"/>
        <w:ind w:left="567" w:hanging="567"/>
        <w:contextualSpacing w:val="0"/>
      </w:pPr>
      <w:r>
        <w:t>Given the licensee has divested themselves of all assets, has been formally dissolved as an incorporated association and surrendered possession of the physical premises</w:t>
      </w:r>
      <w:r w:rsidR="00CE6DCF">
        <w:t>,</w:t>
      </w:r>
      <w:r>
        <w:t xml:space="preserve"> it may be accepted the </w:t>
      </w:r>
      <w:r w:rsidR="00CE6DCF">
        <w:t>licensee’s inability to conduct the business of a licensee is permanent.</w:t>
      </w:r>
    </w:p>
    <w:p w:rsidR="00CE6DCF" w:rsidRDefault="00820205" w:rsidP="00DD72D2">
      <w:pPr>
        <w:pStyle w:val="ListParagraph"/>
        <w:numPr>
          <w:ilvl w:val="0"/>
          <w:numId w:val="2"/>
        </w:numPr>
        <w:spacing w:after="240"/>
        <w:ind w:left="567" w:hanging="567"/>
        <w:contextualSpacing w:val="0"/>
      </w:pPr>
      <w:r>
        <w:t>There has been no application to transfer the li</w:t>
      </w:r>
      <w:r w:rsidR="00CE6DCF">
        <w:t>quor licence, nor has there been any arrangements proposed for approval to conduct the business of the licensee.</w:t>
      </w:r>
    </w:p>
    <w:p w:rsidR="00DD72D2" w:rsidRDefault="00CE6DCF" w:rsidP="00DD72D2">
      <w:pPr>
        <w:pStyle w:val="ListParagraph"/>
        <w:numPr>
          <w:ilvl w:val="0"/>
          <w:numId w:val="2"/>
        </w:numPr>
        <w:spacing w:after="240"/>
        <w:ind w:left="567" w:hanging="567"/>
        <w:contextualSpacing w:val="0"/>
      </w:pPr>
      <w:r>
        <w:t>Accordingly the liquor licence must be cancelled pursuant to Section 47(5).</w:t>
      </w:r>
    </w:p>
    <w:p w:rsidR="000A46FE" w:rsidRDefault="000A46FE">
      <w:pPr>
        <w:spacing w:after="0"/>
      </w:pPr>
      <w:r>
        <w:br w:type="page"/>
      </w:r>
    </w:p>
    <w:p w:rsidR="00CE6DCF" w:rsidRDefault="00CE6DCF" w:rsidP="00DD72D2">
      <w:pPr>
        <w:pStyle w:val="ListParagraph"/>
        <w:numPr>
          <w:ilvl w:val="0"/>
          <w:numId w:val="2"/>
        </w:numPr>
        <w:spacing w:after="240"/>
        <w:ind w:left="567" w:hanging="567"/>
        <w:contextualSpacing w:val="0"/>
      </w:pPr>
      <w:r>
        <w:lastRenderedPageBreak/>
        <w:t xml:space="preserve">The </w:t>
      </w:r>
      <w:r w:rsidRPr="000A46FE">
        <w:rPr>
          <w:i/>
        </w:rPr>
        <w:t>Gaming Machine Act</w:t>
      </w:r>
      <w:r>
        <w:t xml:space="preserve"> </w:t>
      </w:r>
      <w:r w:rsidR="00CB60C3">
        <w:t>prescribes the following in relation to cancellation of a gaming machine licence in certain circumstances;</w:t>
      </w:r>
    </w:p>
    <w:p w:rsidR="00CB60C3" w:rsidRPr="00CB60C3" w:rsidRDefault="00CB60C3" w:rsidP="00CB60C3">
      <w:pPr>
        <w:pStyle w:val="NoSpacing"/>
        <w:ind w:left="1440"/>
        <w:rPr>
          <w:b/>
          <w:sz w:val="18"/>
          <w:szCs w:val="18"/>
        </w:rPr>
      </w:pPr>
      <w:r w:rsidRPr="00CB60C3">
        <w:rPr>
          <w:b/>
          <w:sz w:val="18"/>
          <w:szCs w:val="18"/>
        </w:rPr>
        <w:t>48 Cancellation or suspension of gaming machine licences in certain circumstances</w:t>
      </w:r>
    </w:p>
    <w:p w:rsidR="00CB60C3" w:rsidRDefault="00CB60C3" w:rsidP="00CB60C3">
      <w:pPr>
        <w:pStyle w:val="NoSpacing"/>
        <w:ind w:left="1440"/>
        <w:rPr>
          <w:sz w:val="18"/>
          <w:szCs w:val="18"/>
        </w:rPr>
      </w:pPr>
    </w:p>
    <w:p w:rsidR="00CB60C3" w:rsidRPr="00CB60C3" w:rsidRDefault="00CB60C3" w:rsidP="00CB60C3">
      <w:pPr>
        <w:pStyle w:val="NoSpacing"/>
        <w:ind w:left="1440"/>
        <w:rPr>
          <w:sz w:val="18"/>
          <w:szCs w:val="18"/>
        </w:rPr>
      </w:pPr>
      <w:r w:rsidRPr="00CB60C3">
        <w:rPr>
          <w:sz w:val="18"/>
          <w:szCs w:val="18"/>
        </w:rPr>
        <w:t>If the liquor licence for premises licensed under this Act is:</w:t>
      </w:r>
    </w:p>
    <w:p w:rsidR="00CB60C3" w:rsidRDefault="00CB60C3" w:rsidP="00CB60C3">
      <w:pPr>
        <w:pStyle w:val="NoSpacing"/>
        <w:numPr>
          <w:ilvl w:val="0"/>
          <w:numId w:val="4"/>
        </w:numPr>
        <w:rPr>
          <w:sz w:val="18"/>
          <w:szCs w:val="18"/>
        </w:rPr>
      </w:pPr>
      <w:r w:rsidRPr="00CB60C3">
        <w:rPr>
          <w:sz w:val="18"/>
          <w:szCs w:val="18"/>
        </w:rPr>
        <w:t>cancelled, transferred or surrendered, the gaming machine licence for the premises is cancelled;</w:t>
      </w:r>
    </w:p>
    <w:p w:rsidR="00CB60C3" w:rsidRDefault="00CB60C3" w:rsidP="00D56DC6">
      <w:pPr>
        <w:pStyle w:val="NoSpacing"/>
        <w:ind w:left="1440"/>
      </w:pPr>
      <w:r>
        <w:rPr>
          <w:sz w:val="18"/>
          <w:szCs w:val="18"/>
        </w:rPr>
        <w:t>…</w:t>
      </w:r>
    </w:p>
    <w:p w:rsidR="00F161FF" w:rsidRPr="00DD72D2" w:rsidRDefault="00DD72D2" w:rsidP="004A405E">
      <w:pPr>
        <w:pStyle w:val="Heading2"/>
        <w:spacing w:before="360" w:after="240"/>
      </w:pPr>
      <w:r w:rsidRPr="00DD72D2">
        <w:t>CONSIDERATION CRITERIA</w:t>
      </w:r>
    </w:p>
    <w:p w:rsidR="00DD72D2" w:rsidRDefault="00D56DC6" w:rsidP="00DD72D2">
      <w:pPr>
        <w:pStyle w:val="ListParagraph"/>
        <w:numPr>
          <w:ilvl w:val="0"/>
          <w:numId w:val="2"/>
        </w:numPr>
        <w:spacing w:after="240"/>
        <w:ind w:left="567" w:hanging="567"/>
        <w:contextualSpacing w:val="0"/>
      </w:pPr>
      <w:r>
        <w:t xml:space="preserve">In considering this matter I must satisfy myself that the licensee </w:t>
      </w:r>
      <w:r w:rsidR="00CB60C3">
        <w:t>is unable to conduct the business of a licensee on a permanent basis, and there has been no application to transfer the licence.</w:t>
      </w:r>
    </w:p>
    <w:p w:rsidR="00DD72D2" w:rsidRPr="00F161FF" w:rsidRDefault="00D56DC6" w:rsidP="00DD72D2">
      <w:pPr>
        <w:pStyle w:val="ListParagraph"/>
        <w:numPr>
          <w:ilvl w:val="0"/>
          <w:numId w:val="2"/>
        </w:numPr>
        <w:spacing w:after="240"/>
        <w:ind w:left="567" w:hanging="567"/>
        <w:contextualSpacing w:val="0"/>
      </w:pPr>
      <w:r>
        <w:t>Further, that no other arrangements have been made to my satisfaction to conduct the business of the liquor licensee.</w:t>
      </w:r>
    </w:p>
    <w:p w:rsidR="00DD72D2" w:rsidRPr="00DD72D2" w:rsidRDefault="00DD72D2" w:rsidP="00DD72D2">
      <w:pPr>
        <w:pStyle w:val="Heading2"/>
        <w:spacing w:after="240"/>
      </w:pPr>
      <w:r>
        <w:t>SUMMARY</w:t>
      </w:r>
    </w:p>
    <w:p w:rsidR="00DD72D2" w:rsidRDefault="00D56DC6" w:rsidP="00DD72D2">
      <w:pPr>
        <w:pStyle w:val="ListParagraph"/>
        <w:numPr>
          <w:ilvl w:val="0"/>
          <w:numId w:val="2"/>
        </w:numPr>
        <w:spacing w:after="240"/>
        <w:ind w:left="567" w:hanging="567"/>
        <w:contextualSpacing w:val="0"/>
      </w:pPr>
      <w:r>
        <w:t>The licensee ceased trading in December 2015 and the incorporated association which held the liquor licence was dissolved on 14 September 2016.</w:t>
      </w:r>
    </w:p>
    <w:p w:rsidR="00D56DC6" w:rsidRDefault="00D56DC6" w:rsidP="00DD72D2">
      <w:pPr>
        <w:pStyle w:val="ListParagraph"/>
        <w:numPr>
          <w:ilvl w:val="0"/>
          <w:numId w:val="2"/>
        </w:numPr>
        <w:spacing w:after="240"/>
        <w:ind w:left="567" w:hanging="567"/>
        <w:contextualSpacing w:val="0"/>
      </w:pPr>
      <w:r>
        <w:t>The licensee has not conducted the business of the licensee since December 2015 and it is accepted this will not change.  The liquor licence has not been transferred to another licensee.</w:t>
      </w:r>
    </w:p>
    <w:p w:rsidR="00DD72D2" w:rsidRDefault="00D56DC6" w:rsidP="00DD72D2">
      <w:pPr>
        <w:pStyle w:val="ListParagraph"/>
        <w:numPr>
          <w:ilvl w:val="0"/>
          <w:numId w:val="2"/>
        </w:numPr>
        <w:spacing w:after="240"/>
        <w:ind w:left="567" w:hanging="567"/>
        <w:contextualSpacing w:val="0"/>
      </w:pPr>
      <w:r>
        <w:t xml:space="preserve">Accordingly, I am afforded no discretion in the matter and must cancel the liquor licence pursuant to Section 47(5) of the </w:t>
      </w:r>
      <w:r w:rsidRPr="00D56DC6">
        <w:rPr>
          <w:i/>
        </w:rPr>
        <w:t>Liquor Act</w:t>
      </w:r>
      <w:r>
        <w:t>.</w:t>
      </w:r>
    </w:p>
    <w:p w:rsidR="00877264" w:rsidRPr="00F161FF" w:rsidRDefault="00877264" w:rsidP="00DD72D2">
      <w:pPr>
        <w:pStyle w:val="ListParagraph"/>
        <w:numPr>
          <w:ilvl w:val="0"/>
          <w:numId w:val="2"/>
        </w:numPr>
        <w:spacing w:after="240"/>
        <w:ind w:left="567" w:hanging="567"/>
        <w:contextualSpacing w:val="0"/>
      </w:pPr>
      <w:r>
        <w:t xml:space="preserve">In the circumstance of a cancellation of a liquor licence the </w:t>
      </w:r>
      <w:r w:rsidRPr="00877264">
        <w:rPr>
          <w:i/>
        </w:rPr>
        <w:t>Gaming Machine Act</w:t>
      </w:r>
      <w:r>
        <w:t xml:space="preserve"> mandates the cancellation of the corresponding gaming machine licence.</w:t>
      </w:r>
    </w:p>
    <w:p w:rsidR="00DD72D2" w:rsidRPr="00DD72D2" w:rsidRDefault="00DD72D2" w:rsidP="00DD72D2">
      <w:pPr>
        <w:pStyle w:val="Heading2"/>
        <w:spacing w:after="240"/>
      </w:pPr>
      <w:r>
        <w:t>DECISION</w:t>
      </w:r>
    </w:p>
    <w:p w:rsidR="00DD72D2" w:rsidRDefault="00877264" w:rsidP="00DD72D2">
      <w:pPr>
        <w:pStyle w:val="ListParagraph"/>
        <w:numPr>
          <w:ilvl w:val="0"/>
          <w:numId w:val="2"/>
        </w:numPr>
        <w:spacing w:after="240"/>
        <w:ind w:left="567" w:hanging="567"/>
        <w:contextualSpacing w:val="0"/>
      </w:pPr>
      <w:r>
        <w:t>I am satisfied on the evidence available that the licensee in unable to conduct to the business of the liquor licence, accordingly I must cancel Liquor Licence 81401019, for the Katherine Sports &amp; Recreation Club, Katherine Sports &amp; Recreation Club Inc as the licensee.</w:t>
      </w:r>
    </w:p>
    <w:p w:rsidR="00DD72D2" w:rsidRDefault="00877264" w:rsidP="00DD72D2">
      <w:pPr>
        <w:pStyle w:val="ListParagraph"/>
        <w:numPr>
          <w:ilvl w:val="0"/>
          <w:numId w:val="2"/>
        </w:numPr>
        <w:spacing w:after="240"/>
        <w:ind w:left="567" w:hanging="567"/>
        <w:contextualSpacing w:val="0"/>
      </w:pPr>
      <w:r>
        <w:t xml:space="preserve">By effect of Section 47(5) of the </w:t>
      </w:r>
      <w:r w:rsidRPr="00877264">
        <w:rPr>
          <w:i/>
        </w:rPr>
        <w:t>Liquor Act</w:t>
      </w:r>
      <w:r>
        <w:t>, Liquor Licence 81401019 is cancelled as of the date of this decision.</w:t>
      </w:r>
    </w:p>
    <w:p w:rsidR="00877264" w:rsidRDefault="00877264" w:rsidP="00DD72D2">
      <w:pPr>
        <w:pStyle w:val="ListParagraph"/>
        <w:numPr>
          <w:ilvl w:val="0"/>
          <w:numId w:val="2"/>
        </w:numPr>
        <w:spacing w:after="240"/>
        <w:ind w:left="567" w:hanging="567"/>
        <w:contextualSpacing w:val="0"/>
      </w:pPr>
      <w:r>
        <w:t xml:space="preserve">A corollary effect of the aforementioned cancellation of Liquor Licence 81401019 is that Gaming Machine </w:t>
      </w:r>
      <w:proofErr w:type="gramStart"/>
      <w:r>
        <w:t>Licence,</w:t>
      </w:r>
      <w:proofErr w:type="gramEnd"/>
      <w:r>
        <w:t xml:space="preserve"> GM126 is cancelled pursuant to Section 48 of the </w:t>
      </w:r>
      <w:r w:rsidRPr="00877264">
        <w:rPr>
          <w:i/>
        </w:rPr>
        <w:t>Gaming Machine Act</w:t>
      </w:r>
      <w:r>
        <w:t xml:space="preserve"> </w:t>
      </w:r>
      <w:r w:rsidR="000A46FE">
        <w:t xml:space="preserve">also </w:t>
      </w:r>
      <w:r>
        <w:t>as at the date of this decision.</w:t>
      </w:r>
    </w:p>
    <w:p w:rsidR="004A405E" w:rsidRDefault="004A405E">
      <w:pPr>
        <w:spacing w:after="0"/>
        <w:rPr>
          <w:rFonts w:eastAsia="Times New Roman"/>
          <w:b/>
          <w:bCs/>
          <w:color w:val="606060"/>
          <w:sz w:val="28"/>
          <w:szCs w:val="26"/>
        </w:rPr>
      </w:pPr>
      <w:r>
        <w:br w:type="page"/>
      </w:r>
    </w:p>
    <w:p w:rsidR="00DD72D2" w:rsidRPr="00DD72D2" w:rsidRDefault="00DD72D2" w:rsidP="00DD72D2">
      <w:pPr>
        <w:pStyle w:val="Heading2"/>
        <w:spacing w:after="240"/>
      </w:pPr>
      <w:r>
        <w:lastRenderedPageBreak/>
        <w:t>REVIEW OF DECISION</w:t>
      </w:r>
    </w:p>
    <w:p w:rsidR="00196C75" w:rsidRDefault="00DD72D2" w:rsidP="00DD72D2">
      <w:pPr>
        <w:pStyle w:val="ListParagraph"/>
        <w:numPr>
          <w:ilvl w:val="0"/>
          <w:numId w:val="2"/>
        </w:numPr>
        <w:spacing w:after="240"/>
        <w:ind w:left="567" w:hanging="567"/>
        <w:contextualSpacing w:val="0"/>
      </w:pPr>
      <w:r w:rsidRPr="00DD72D2">
        <w:t xml:space="preserve">Section </w:t>
      </w:r>
      <w:r w:rsidR="00196C75">
        <w:t xml:space="preserve">120ZA </w:t>
      </w:r>
      <w:r w:rsidRPr="00DD72D2">
        <w:t xml:space="preserve">of the </w:t>
      </w:r>
      <w:r w:rsidR="00877264" w:rsidRPr="00196C75">
        <w:rPr>
          <w:i/>
        </w:rPr>
        <w:t xml:space="preserve">Liquor </w:t>
      </w:r>
      <w:r w:rsidRPr="00196C75">
        <w:rPr>
          <w:i/>
        </w:rPr>
        <w:t>Act</w:t>
      </w:r>
      <w:r w:rsidRPr="00DD72D2">
        <w:t xml:space="preserve"> provides that a decision of the Director-General, as specified in the Schedule to the Act, is a reviewable decision.  </w:t>
      </w:r>
      <w:r w:rsidR="00196C75">
        <w:t xml:space="preserve">The cancellation of a liquor licence </w:t>
      </w:r>
      <w:r w:rsidR="000A46FE">
        <w:t>pursuant to S</w:t>
      </w:r>
      <w:r w:rsidRPr="00DD72D2">
        <w:t xml:space="preserve">ection </w:t>
      </w:r>
      <w:r w:rsidR="00196C75">
        <w:t>47(5)</w:t>
      </w:r>
      <w:r w:rsidRPr="00DD72D2">
        <w:t xml:space="preserve"> of the </w:t>
      </w:r>
      <w:r w:rsidR="00196C75" w:rsidRPr="00196C75">
        <w:rPr>
          <w:i/>
        </w:rPr>
        <w:t xml:space="preserve">Liquor </w:t>
      </w:r>
      <w:r w:rsidRPr="00196C75">
        <w:rPr>
          <w:i/>
        </w:rPr>
        <w:t>Act</w:t>
      </w:r>
      <w:r w:rsidRPr="00DD72D2">
        <w:t xml:space="preserve"> is </w:t>
      </w:r>
      <w:r w:rsidR="00196C75">
        <w:t xml:space="preserve">NOT </w:t>
      </w:r>
      <w:r w:rsidRPr="00DD72D2">
        <w:t xml:space="preserve">specified in the Schedule and is </w:t>
      </w:r>
      <w:r w:rsidR="00196C75">
        <w:t xml:space="preserve">therefore NOT </w:t>
      </w:r>
      <w:r w:rsidRPr="00DD72D2">
        <w:t>a reviewable decision.</w:t>
      </w:r>
    </w:p>
    <w:p w:rsidR="00196C75" w:rsidRDefault="00196C75" w:rsidP="00DD72D2">
      <w:pPr>
        <w:pStyle w:val="ListParagraph"/>
        <w:numPr>
          <w:ilvl w:val="0"/>
          <w:numId w:val="2"/>
        </w:numPr>
        <w:spacing w:after="240"/>
        <w:ind w:left="567" w:hanging="567"/>
        <w:contextualSpacing w:val="0"/>
      </w:pPr>
      <w:r>
        <w:t xml:space="preserve">Section 166A of the </w:t>
      </w:r>
      <w:r w:rsidRPr="00196C75">
        <w:rPr>
          <w:i/>
        </w:rPr>
        <w:t>Gaming Machine Act</w:t>
      </w:r>
      <w:r>
        <w:t xml:space="preserve"> provides that a decision of the Director-General, as specified in the Schedule to the Act, is a reviewable decision.  The cancellation of a gaming ma</w:t>
      </w:r>
      <w:r w:rsidR="000A46FE">
        <w:t>chine licence pursuant to S</w:t>
      </w:r>
      <w:r>
        <w:t xml:space="preserve">ection 48 of the </w:t>
      </w:r>
      <w:r w:rsidRPr="00196C75">
        <w:rPr>
          <w:i/>
        </w:rPr>
        <w:t>Gaming Machine Act</w:t>
      </w:r>
      <w:r>
        <w:t xml:space="preserve"> is NOT specified in the Schedule and is therefore NOT a reviewable decision.</w:t>
      </w:r>
    </w:p>
    <w:p w:rsidR="00DD72D2" w:rsidRPr="001E6FF6" w:rsidRDefault="00DD72D2" w:rsidP="001E6FF6">
      <w:pPr>
        <w:spacing w:before="1600" w:after="0"/>
        <w:rPr>
          <w:b/>
        </w:rPr>
      </w:pPr>
      <w:r w:rsidRPr="001E6FF6">
        <w:rPr>
          <w:b/>
        </w:rPr>
        <w:t>Cindy Bravos</w:t>
      </w:r>
    </w:p>
    <w:p w:rsidR="00DD72D2" w:rsidRPr="00E30632" w:rsidRDefault="00DD72D2" w:rsidP="00DD72D2">
      <w:pPr>
        <w:spacing w:after="240"/>
      </w:pPr>
      <w:r w:rsidRPr="00E30632">
        <w:t>Director-General of Licensing</w:t>
      </w:r>
    </w:p>
    <w:p w:rsidR="00DD72D2" w:rsidRPr="00DD72D2" w:rsidRDefault="00A126F4" w:rsidP="00DD72D2">
      <w:pPr>
        <w:spacing w:after="240"/>
      </w:pPr>
      <w:r>
        <w:t>6</w:t>
      </w:r>
      <w:r w:rsidR="006909A8">
        <w:t xml:space="preserve"> October 2016</w:t>
      </w:r>
    </w:p>
    <w:sectPr w:rsidR="00DD72D2" w:rsidRPr="00DD72D2" w:rsidSect="00F75669">
      <w:headerReference w:type="default" r:id="rId12"/>
      <w:footerReference w:type="default" r:id="rId13"/>
      <w:headerReference w:type="first" r:id="rId14"/>
      <w:footerReference w:type="first" r:id="rId15"/>
      <w:pgSz w:w="11906" w:h="16838"/>
      <w:pgMar w:top="2127" w:right="1134" w:bottom="1440" w:left="1134" w:header="709" w:footer="4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CD9" w:rsidRDefault="00802CD9" w:rsidP="003E58C0">
      <w:pPr>
        <w:spacing w:after="0"/>
      </w:pPr>
      <w:r>
        <w:separator/>
      </w:r>
    </w:p>
  </w:endnote>
  <w:endnote w:type="continuationSeparator" w:id="0">
    <w:p w:rsidR="00802CD9" w:rsidRDefault="00802CD9" w:rsidP="003E58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w:panose1 w:val="020F0502020204030203"/>
    <w:charset w:val="00"/>
    <w:family w:val="swiss"/>
    <w:pitch w:val="variable"/>
    <w:sig w:usb0="E10002FF" w:usb1="5000ECFF" w:usb2="00000021" w:usb3="00000000" w:csb0="0000019F" w:csb1="00000000"/>
  </w:font>
  <w:font w:name="Lato Black">
    <w:altName w:val="Lato Black"/>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05E" w:rsidRPr="00825D0D" w:rsidRDefault="004A405E" w:rsidP="004A405E">
    <w:pPr>
      <w:pBdr>
        <w:top w:val="single" w:sz="4" w:space="1" w:color="auto"/>
      </w:pBdr>
      <w:tabs>
        <w:tab w:val="right" w:pos="9638"/>
      </w:tabs>
      <w:spacing w:after="0"/>
      <w:rPr>
        <w:sz w:val="18"/>
        <w:szCs w:val="18"/>
      </w:rPr>
    </w:pPr>
    <w:r>
      <w:rPr>
        <w:sz w:val="18"/>
        <w:szCs w:val="18"/>
      </w:rPr>
      <w:t>Decision for Katherine Sports &amp; Recreation Club Inc.</w:t>
    </w:r>
    <w:r w:rsidRPr="00825D0D">
      <w:rPr>
        <w:sz w:val="18"/>
        <w:szCs w:val="18"/>
      </w:rPr>
      <w:tab/>
      <w:t xml:space="preserve">Date of Decision: </w:t>
    </w:r>
    <w:r>
      <w:rPr>
        <w:sz w:val="18"/>
        <w:szCs w:val="18"/>
      </w:rPr>
      <w:t>6 October 2016</w:t>
    </w:r>
  </w:p>
  <w:p w:rsidR="004A405E" w:rsidRPr="00825D0D" w:rsidRDefault="004A405E" w:rsidP="004A405E">
    <w:pPr>
      <w:tabs>
        <w:tab w:val="right" w:pos="9638"/>
      </w:tabs>
      <w:rPr>
        <w:sz w:val="18"/>
        <w:szCs w:val="18"/>
      </w:rPr>
    </w:pPr>
    <w:r>
      <w:rPr>
        <w:sz w:val="18"/>
        <w:szCs w:val="18"/>
      </w:rPr>
      <w:t>Ref# DOB2015/00485-0041~0005</w:t>
    </w:r>
    <w:r w:rsidRPr="00825D0D">
      <w:rPr>
        <w:sz w:val="18"/>
        <w:szCs w:val="18"/>
      </w:rPr>
      <w:tab/>
    </w:r>
    <w:r w:rsidRPr="00825D0D">
      <w:rPr>
        <w:sz w:val="18"/>
        <w:szCs w:val="18"/>
      </w:rPr>
      <w:fldChar w:fldCharType="begin"/>
    </w:r>
    <w:r w:rsidRPr="00825D0D">
      <w:rPr>
        <w:sz w:val="18"/>
        <w:szCs w:val="18"/>
      </w:rPr>
      <w:instrText xml:space="preserve"> PAGE   \* MERGEFORMAT </w:instrText>
    </w:r>
    <w:r w:rsidRPr="00825D0D">
      <w:rPr>
        <w:sz w:val="18"/>
        <w:szCs w:val="18"/>
      </w:rPr>
      <w:fldChar w:fldCharType="separate"/>
    </w:r>
    <w:r w:rsidR="00130113">
      <w:rPr>
        <w:noProof/>
        <w:sz w:val="18"/>
        <w:szCs w:val="18"/>
      </w:rPr>
      <w:t>2</w:t>
    </w:r>
    <w:r w:rsidRPr="00825D0D">
      <w:rPr>
        <w:noProof/>
        <w:sz w:val="18"/>
        <w:szCs w:val="18"/>
      </w:rPr>
      <w:fldChar w:fldCharType="end"/>
    </w:r>
  </w:p>
  <w:p w:rsidR="00A66342" w:rsidRPr="004A405E" w:rsidRDefault="004A405E" w:rsidP="004A405E">
    <w:pPr>
      <w:tabs>
        <w:tab w:val="left" w:pos="4536"/>
        <w:tab w:val="left" w:pos="6946"/>
      </w:tabs>
      <w:jc w:val="right"/>
      <w:rPr>
        <w:sz w:val="15"/>
        <w:szCs w:val="15"/>
      </w:rPr>
    </w:pPr>
    <w:r w:rsidRPr="00F23CE7">
      <w:rPr>
        <w:rFonts w:ascii="Lato Black" w:hAnsi="Lato Black"/>
        <w:b/>
        <w:sz w:val="16"/>
        <w:szCs w:val="16"/>
      </w:rPr>
      <w:t>http://www.nt.gov.au/justice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D0D" w:rsidRPr="00825D0D" w:rsidRDefault="008A1618" w:rsidP="00825D0D">
    <w:pPr>
      <w:pBdr>
        <w:top w:val="single" w:sz="4" w:space="1" w:color="auto"/>
      </w:pBdr>
      <w:tabs>
        <w:tab w:val="right" w:pos="9638"/>
      </w:tabs>
      <w:spacing w:after="0"/>
      <w:rPr>
        <w:sz w:val="18"/>
        <w:szCs w:val="18"/>
      </w:rPr>
    </w:pPr>
    <w:r>
      <w:rPr>
        <w:sz w:val="18"/>
        <w:szCs w:val="18"/>
      </w:rPr>
      <w:t>Decision for Katherine Sports &amp; Recreation Club Inc.</w:t>
    </w:r>
    <w:r w:rsidR="00825D0D" w:rsidRPr="00825D0D">
      <w:rPr>
        <w:sz w:val="18"/>
        <w:szCs w:val="18"/>
      </w:rPr>
      <w:tab/>
      <w:t xml:space="preserve">Date of Decision: </w:t>
    </w:r>
    <w:r w:rsidR="004A405E">
      <w:rPr>
        <w:sz w:val="18"/>
        <w:szCs w:val="18"/>
      </w:rPr>
      <w:t>6</w:t>
    </w:r>
    <w:r>
      <w:rPr>
        <w:sz w:val="18"/>
        <w:szCs w:val="18"/>
      </w:rPr>
      <w:t xml:space="preserve"> October 2016</w:t>
    </w:r>
  </w:p>
  <w:p w:rsidR="00825D0D" w:rsidRPr="00825D0D" w:rsidRDefault="004A405E" w:rsidP="00825D0D">
    <w:pPr>
      <w:tabs>
        <w:tab w:val="right" w:pos="9638"/>
      </w:tabs>
      <w:rPr>
        <w:sz w:val="18"/>
        <w:szCs w:val="18"/>
      </w:rPr>
    </w:pPr>
    <w:r>
      <w:rPr>
        <w:sz w:val="18"/>
        <w:szCs w:val="18"/>
      </w:rPr>
      <w:t>Ref# DOB2015/00485-0041~0005</w:t>
    </w:r>
    <w:r w:rsidR="00825D0D" w:rsidRPr="00825D0D">
      <w:rPr>
        <w:sz w:val="18"/>
        <w:szCs w:val="18"/>
      </w:rPr>
      <w:tab/>
    </w:r>
    <w:r w:rsidR="00825D0D" w:rsidRPr="00825D0D">
      <w:rPr>
        <w:sz w:val="18"/>
        <w:szCs w:val="18"/>
      </w:rPr>
      <w:fldChar w:fldCharType="begin"/>
    </w:r>
    <w:r w:rsidR="00825D0D" w:rsidRPr="00825D0D">
      <w:rPr>
        <w:sz w:val="18"/>
        <w:szCs w:val="18"/>
      </w:rPr>
      <w:instrText xml:space="preserve"> PAGE   \* MERGEFORMAT </w:instrText>
    </w:r>
    <w:r w:rsidR="00825D0D" w:rsidRPr="00825D0D">
      <w:rPr>
        <w:sz w:val="18"/>
        <w:szCs w:val="18"/>
      </w:rPr>
      <w:fldChar w:fldCharType="separate"/>
    </w:r>
    <w:r w:rsidR="00130113">
      <w:rPr>
        <w:noProof/>
        <w:sz w:val="18"/>
        <w:szCs w:val="18"/>
      </w:rPr>
      <w:t>1</w:t>
    </w:r>
    <w:r w:rsidR="00825D0D" w:rsidRPr="00825D0D">
      <w:rPr>
        <w:noProof/>
        <w:sz w:val="18"/>
        <w:szCs w:val="18"/>
      </w:rPr>
      <w:fldChar w:fldCharType="end"/>
    </w:r>
  </w:p>
  <w:p w:rsidR="00A66342" w:rsidRPr="00825D0D" w:rsidRDefault="00825D0D" w:rsidP="00825D0D">
    <w:pPr>
      <w:tabs>
        <w:tab w:val="left" w:pos="4536"/>
        <w:tab w:val="left" w:pos="6946"/>
      </w:tabs>
      <w:jc w:val="right"/>
      <w:rPr>
        <w:sz w:val="15"/>
        <w:szCs w:val="15"/>
      </w:rPr>
    </w:pPr>
    <w:r w:rsidRPr="00F23CE7">
      <w:rPr>
        <w:rFonts w:ascii="Lato Black" w:hAnsi="Lato Black"/>
        <w:b/>
        <w:sz w:val="16"/>
        <w:szCs w:val="16"/>
      </w:rPr>
      <w:t>http://www.nt.gov.au/justice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CD9" w:rsidRDefault="00802CD9" w:rsidP="003E58C0">
      <w:pPr>
        <w:spacing w:after="0"/>
      </w:pPr>
      <w:r>
        <w:separator/>
      </w:r>
    </w:p>
  </w:footnote>
  <w:footnote w:type="continuationSeparator" w:id="0">
    <w:p w:rsidR="00802CD9" w:rsidRDefault="00802CD9" w:rsidP="003E58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3F0" w:rsidRDefault="008C03F0" w:rsidP="008C03F0">
    <w:pPr>
      <w:pStyle w:val="Header"/>
      <w:tabs>
        <w:tab w:val="clear" w:pos="4513"/>
        <w:tab w:val="clear"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342" w:rsidRPr="00611615" w:rsidRDefault="00F86B64" w:rsidP="00611615">
    <w:pPr>
      <w:pStyle w:val="Header"/>
    </w:pPr>
    <w:r>
      <w:rPr>
        <w:noProof/>
        <w:szCs w:val="20"/>
        <w:lang w:eastAsia="en-AU"/>
      </w:rPr>
      <w:drawing>
        <wp:anchor distT="0" distB="0" distL="114300" distR="114300" simplePos="0" relativeHeight="251659264" behindDoc="0" locked="0" layoutInCell="1" allowOverlap="1" wp14:anchorId="2F699B08" wp14:editId="016D4904">
          <wp:simplePos x="0" y="0"/>
          <wp:positionH relativeFrom="column">
            <wp:posOffset>-204518</wp:posOffset>
          </wp:positionH>
          <wp:positionV relativeFrom="paragraph">
            <wp:posOffset>-452755</wp:posOffset>
          </wp:positionV>
          <wp:extent cx="6739075" cy="1109965"/>
          <wp:effectExtent l="0" t="0" r="0" b="0"/>
          <wp:wrapNone/>
          <wp:docPr id="3" name="Picture 3" descr="P:\Branding\NTG_newBranding\AGD_branding_2016\agd_letterHead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Branding\NTG_newBranding\AGD_branding_2016\agd_letterHead2016.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9075" cy="110996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0F62"/>
    <w:multiLevelType w:val="hybridMultilevel"/>
    <w:tmpl w:val="8C38C22A"/>
    <w:lvl w:ilvl="0" w:tplc="8B5E3A0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nsid w:val="2B3C691C"/>
    <w:multiLevelType w:val="hybridMultilevel"/>
    <w:tmpl w:val="59D4A55A"/>
    <w:lvl w:ilvl="0" w:tplc="CAFEEA62">
      <w:start w:val="1"/>
      <w:numFmt w:val="decimal"/>
      <w:lvlText w:val="%1."/>
      <w:lvlJc w:val="left"/>
      <w:pPr>
        <w:tabs>
          <w:tab w:val="num" w:pos="900"/>
        </w:tabs>
        <w:ind w:left="900" w:hanging="5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6FF13C54"/>
    <w:multiLevelType w:val="hybridMultilevel"/>
    <w:tmpl w:val="9228B64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D10"/>
    <w:rsid w:val="000A46FE"/>
    <w:rsid w:val="00106D89"/>
    <w:rsid w:val="00130113"/>
    <w:rsid w:val="00154B6F"/>
    <w:rsid w:val="001606E6"/>
    <w:rsid w:val="00196C75"/>
    <w:rsid w:val="001E6FF6"/>
    <w:rsid w:val="002C1022"/>
    <w:rsid w:val="002D2C9C"/>
    <w:rsid w:val="003E309D"/>
    <w:rsid w:val="003E58C0"/>
    <w:rsid w:val="00424BE1"/>
    <w:rsid w:val="004500C5"/>
    <w:rsid w:val="004827C5"/>
    <w:rsid w:val="004A405E"/>
    <w:rsid w:val="004C6233"/>
    <w:rsid w:val="00516B5B"/>
    <w:rsid w:val="005A0B41"/>
    <w:rsid w:val="00611615"/>
    <w:rsid w:val="00626FEE"/>
    <w:rsid w:val="0063134A"/>
    <w:rsid w:val="006506E0"/>
    <w:rsid w:val="00690008"/>
    <w:rsid w:val="006909A8"/>
    <w:rsid w:val="006A0B9A"/>
    <w:rsid w:val="00731CC0"/>
    <w:rsid w:val="0073515A"/>
    <w:rsid w:val="0078053C"/>
    <w:rsid w:val="00802CD9"/>
    <w:rsid w:val="00820205"/>
    <w:rsid w:val="00825D0D"/>
    <w:rsid w:val="00877264"/>
    <w:rsid w:val="008A1618"/>
    <w:rsid w:val="008C03F0"/>
    <w:rsid w:val="008E1EBA"/>
    <w:rsid w:val="009519BE"/>
    <w:rsid w:val="009778B8"/>
    <w:rsid w:val="009C5D09"/>
    <w:rsid w:val="00A126F4"/>
    <w:rsid w:val="00A54D10"/>
    <w:rsid w:val="00A66342"/>
    <w:rsid w:val="00AC5014"/>
    <w:rsid w:val="00B340F2"/>
    <w:rsid w:val="00B35447"/>
    <w:rsid w:val="00B83B43"/>
    <w:rsid w:val="00BC0E51"/>
    <w:rsid w:val="00C9103C"/>
    <w:rsid w:val="00CB3E75"/>
    <w:rsid w:val="00CB60C3"/>
    <w:rsid w:val="00CE6DCF"/>
    <w:rsid w:val="00D23C8E"/>
    <w:rsid w:val="00D402F0"/>
    <w:rsid w:val="00D56DC6"/>
    <w:rsid w:val="00D7349E"/>
    <w:rsid w:val="00DB5506"/>
    <w:rsid w:val="00DD72D2"/>
    <w:rsid w:val="00E064A5"/>
    <w:rsid w:val="00E30632"/>
    <w:rsid w:val="00F161FF"/>
    <w:rsid w:val="00F46997"/>
    <w:rsid w:val="00F75669"/>
    <w:rsid w:val="00F86B64"/>
    <w:rsid w:val="00FE5A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731CC0"/>
    <w:pPr>
      <w:keepNext/>
      <w:keepLines/>
      <w:spacing w:after="0"/>
      <w:outlineLvl w:val="1"/>
    </w:pPr>
    <w:rPr>
      <w:rFonts w:eastAsia="Times New Roman"/>
      <w:b/>
      <w:bCs/>
      <w:color w:val="606060"/>
      <w:sz w:val="28"/>
      <w:szCs w:val="26"/>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731CC0"/>
    <w:rPr>
      <w:rFonts w:ascii="Lato" w:eastAsia="Times New Roman" w:hAnsi="Lato" w:cs="Times New Roman"/>
      <w:b/>
      <w:bCs/>
      <w:color w:val="606060"/>
      <w:sz w:val="28"/>
      <w:szCs w:val="26"/>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uiPriority w:val="1"/>
    <w:qFormat/>
    <w:rsid w:val="00820205"/>
    <w:rPr>
      <w:rFonts w:ascii="Lato" w:hAnsi="Lato"/>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731CC0"/>
    <w:pPr>
      <w:keepNext/>
      <w:keepLines/>
      <w:spacing w:after="0"/>
      <w:outlineLvl w:val="1"/>
    </w:pPr>
    <w:rPr>
      <w:rFonts w:eastAsia="Times New Roman"/>
      <w:b/>
      <w:bCs/>
      <w:color w:val="606060"/>
      <w:sz w:val="28"/>
      <w:szCs w:val="26"/>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731CC0"/>
    <w:rPr>
      <w:rFonts w:ascii="Lato" w:eastAsia="Times New Roman" w:hAnsi="Lato" w:cs="Times New Roman"/>
      <w:b/>
      <w:bCs/>
      <w:color w:val="606060"/>
      <w:sz w:val="28"/>
      <w:szCs w:val="26"/>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uiPriority w:val="1"/>
    <w:qFormat/>
    <w:rsid w:val="00820205"/>
    <w:rPr>
      <w:rFonts w:ascii="Lato" w:hAnsi="La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53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E6968-EFB7-4DAC-B5AD-1ECB5F39F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4066F-EEF1-4CBA-AF3C-B1DB09BB52EF}">
  <ds:schemaRefs>
    <ds:schemaRef ds:uri="http://schemas.microsoft.com/sharepoint/v3/contenttype/forms"/>
  </ds:schemaRefs>
</ds:datastoreItem>
</file>

<file path=customXml/itemProps3.xml><?xml version="1.0" encoding="utf-8"?>
<ds:datastoreItem xmlns:ds="http://schemas.openxmlformats.org/officeDocument/2006/customXml" ds:itemID="{E1294DCD-E20B-418B-B402-80B3B470B33B}">
  <ds:schemaRefs>
    <ds:schemaRef ds:uri="http://schemas.microsoft.com/office/2006/metadata/properties"/>
    <ds:schemaRef ds:uri="http://schemas.microsoft.com/office/infopath/2007/PartnerControls"/>
    <ds:schemaRef ds:uri="3f1acef0-744d-4246-9640-1b1641e99d0a"/>
  </ds:schemaRefs>
</ds:datastoreItem>
</file>

<file path=customXml/itemProps4.xml><?xml version="1.0" encoding="utf-8"?>
<ds:datastoreItem xmlns:ds="http://schemas.openxmlformats.org/officeDocument/2006/customXml" ds:itemID="{AC2BE856-BC3B-4CAF-A377-7E5298C00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Director-General Decision Notice Template</vt:lpstr>
    </vt:vector>
  </TitlesOfParts>
  <Company>NTG</Company>
  <LinksUpToDate>false</LinksUpToDate>
  <CharactersWithSpaces>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Katherine Sports and Recreation Club Inc - Cancellation of Liquor and Gaming Machine Licences</dc:title>
  <dc:creator>Mark Wood</dc:creator>
  <cp:lastModifiedBy>Marlene Woods</cp:lastModifiedBy>
  <cp:revision>5</cp:revision>
  <cp:lastPrinted>2016-10-05T07:00:00Z</cp:lastPrinted>
  <dcterms:created xsi:type="dcterms:W3CDTF">2016-10-05T06:58:00Z</dcterms:created>
  <dcterms:modified xsi:type="dcterms:W3CDTF">2016-10-19T04:25:00Z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Link">
    <vt:lpwstr>http://sharepoint.agd.nt.gov.au/_layouts/WordViewer.aspx?id=/FormServerTemplates/Media%20and%20Communications%20Hub/Executive%20Memorandum%20Template.dotx&amp;OpenIn=browser, http://sharepoint.agd.nt.gov.au/_layouts/WordViewer.aspx?id=/FormServerTemplates/Med</vt:lpwstr>
  </property>
  <property fmtid="{D5CDD505-2E9C-101B-9397-08002B2CF9AE}" pid="3" name="WorkflowChangePath">
    <vt:lpwstr>ef0a4210-0e89-4481-821e-e417017bc26d,6;ef0a4210-0e89-4481-821e-e417017bc26d,10;</vt:lpwstr>
  </property>
  <property fmtid="{D5CDD505-2E9C-101B-9397-08002B2CF9AE}" pid="4" name="ContentTypeId">
    <vt:lpwstr>0x01010088580A8767A4CA49A3747FBE42D6EA6A</vt:lpwstr>
  </property>
</Properties>
</file>