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FF" w:rsidRDefault="00DD72D2" w:rsidP="00E30632">
      <w:pPr>
        <w:pStyle w:val="Title"/>
        <w:spacing w:after="0" w:line="360" w:lineRule="auto"/>
        <w:jc w:val="center"/>
        <w:rPr>
          <w:bCs/>
        </w:rPr>
      </w:pPr>
      <w:r>
        <w:rPr>
          <w:bCs/>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F161FF" w:rsidRPr="00DD72D2" w:rsidRDefault="00DD72D2" w:rsidP="00DD72D2">
      <w:pPr>
        <w:tabs>
          <w:tab w:val="left" w:pos="2835"/>
        </w:tabs>
        <w:spacing w:before="240" w:after="240"/>
      </w:pPr>
      <w:r>
        <w:rPr>
          <w:b/>
        </w:rPr>
        <w:t>MATTER:</w:t>
      </w:r>
      <w:r>
        <w:rPr>
          <w:b/>
        </w:rPr>
        <w:tab/>
      </w:r>
      <w:r w:rsidR="00D53A9B" w:rsidRPr="00D53A9B">
        <w:t xml:space="preserve">Variation of </w:t>
      </w:r>
      <w:r w:rsidR="009E033B">
        <w:t>C</w:t>
      </w:r>
      <w:r w:rsidR="00D53A9B" w:rsidRPr="00D53A9B">
        <w:t xml:space="preserve">onditions of a </w:t>
      </w:r>
      <w:r w:rsidR="009E033B">
        <w:t>L</w:t>
      </w:r>
      <w:r w:rsidR="00D53A9B" w:rsidRPr="00D53A9B">
        <w:t xml:space="preserve">iquor </w:t>
      </w:r>
      <w:r w:rsidR="009E033B">
        <w:t>L</w:t>
      </w:r>
      <w:r w:rsidR="00D53A9B" w:rsidRPr="00D53A9B">
        <w:t>icence</w:t>
      </w:r>
    </w:p>
    <w:p w:rsidR="00F161FF" w:rsidRDefault="00DD72D2" w:rsidP="00BE2D30">
      <w:pPr>
        <w:tabs>
          <w:tab w:val="left" w:pos="2835"/>
        </w:tabs>
        <w:spacing w:before="240" w:after="0"/>
      </w:pPr>
      <w:r w:rsidRPr="00DD72D2">
        <w:rPr>
          <w:b/>
        </w:rPr>
        <w:t>PREMISES:</w:t>
      </w:r>
      <w:r w:rsidRPr="00DD72D2">
        <w:rPr>
          <w:b/>
        </w:rPr>
        <w:tab/>
      </w:r>
      <w:r w:rsidR="00D53A9B" w:rsidRPr="00D53A9B">
        <w:t>Walkabout Tavern</w:t>
      </w:r>
    </w:p>
    <w:p w:rsidR="009E033B" w:rsidRDefault="009E033B" w:rsidP="00BE2D30">
      <w:pPr>
        <w:tabs>
          <w:tab w:val="left" w:pos="2835"/>
        </w:tabs>
        <w:spacing w:after="0"/>
      </w:pPr>
      <w:r>
        <w:tab/>
        <w:t>Westal Street</w:t>
      </w:r>
    </w:p>
    <w:p w:rsidR="009E033B" w:rsidRPr="00DD72D2" w:rsidRDefault="009E033B" w:rsidP="00BE2D30">
      <w:pPr>
        <w:tabs>
          <w:tab w:val="left" w:pos="2835"/>
        </w:tabs>
        <w:spacing w:after="240"/>
        <w:rPr>
          <w:b/>
        </w:rPr>
      </w:pPr>
      <w:r>
        <w:tab/>
        <w:t>Nhulunbuy NT 0880</w:t>
      </w:r>
    </w:p>
    <w:p w:rsidR="00F161FF" w:rsidRPr="00D53A9B" w:rsidRDefault="00D53A9B" w:rsidP="00DD72D2">
      <w:pPr>
        <w:tabs>
          <w:tab w:val="left" w:pos="2835"/>
        </w:tabs>
        <w:spacing w:before="240" w:after="240"/>
      </w:pPr>
      <w:r>
        <w:rPr>
          <w:b/>
        </w:rPr>
        <w:t>LICENSEE</w:t>
      </w:r>
      <w:r w:rsidR="00DD72D2" w:rsidRPr="00DD72D2">
        <w:rPr>
          <w:b/>
        </w:rPr>
        <w:t>:</w:t>
      </w:r>
      <w:r w:rsidR="00DD72D2" w:rsidRPr="00DD72D2">
        <w:rPr>
          <w:b/>
        </w:rPr>
        <w:tab/>
      </w:r>
      <w:r w:rsidRPr="00D53A9B">
        <w:t>Gove and Beyond Pty Ltd</w:t>
      </w:r>
    </w:p>
    <w:p w:rsidR="00DD72D2" w:rsidRPr="00DD72D2" w:rsidRDefault="00DD72D2" w:rsidP="00DD72D2">
      <w:pPr>
        <w:tabs>
          <w:tab w:val="left" w:pos="2835"/>
        </w:tabs>
        <w:spacing w:before="240" w:after="240"/>
        <w:rPr>
          <w:b/>
        </w:rPr>
      </w:pPr>
      <w:r w:rsidRPr="00DD72D2">
        <w:rPr>
          <w:b/>
        </w:rPr>
        <w:t>LEGISLATION:</w:t>
      </w:r>
      <w:r w:rsidRPr="00DD72D2">
        <w:rPr>
          <w:b/>
        </w:rPr>
        <w:tab/>
      </w:r>
      <w:r w:rsidR="00D53A9B" w:rsidRPr="00D53A9B">
        <w:t xml:space="preserve">Section 33 of the </w:t>
      </w:r>
      <w:r w:rsidR="00D53A9B" w:rsidRPr="00D53A9B">
        <w:rPr>
          <w:i/>
        </w:rPr>
        <w:t>Liquor Act</w:t>
      </w:r>
    </w:p>
    <w:p w:rsidR="00DD72D2" w:rsidRPr="00D53A9B" w:rsidRDefault="00DD72D2" w:rsidP="00DD72D2">
      <w:pPr>
        <w:tabs>
          <w:tab w:val="left" w:pos="2835"/>
        </w:tabs>
        <w:spacing w:before="240" w:after="240"/>
        <w:rPr>
          <w:b/>
        </w:rPr>
      </w:pPr>
      <w:r w:rsidRPr="00DD72D2">
        <w:rPr>
          <w:b/>
        </w:rPr>
        <w:t>DECISION OF:</w:t>
      </w:r>
      <w:r>
        <w:tab/>
      </w:r>
      <w:r w:rsidRPr="00D53A9B">
        <w:t>Director-General of Licensing</w:t>
      </w:r>
    </w:p>
    <w:p w:rsidR="00DD72D2" w:rsidRPr="00D53A9B" w:rsidRDefault="00DD72D2" w:rsidP="00DD72D2">
      <w:pPr>
        <w:tabs>
          <w:tab w:val="left" w:pos="2835"/>
        </w:tabs>
        <w:spacing w:before="240" w:after="0"/>
      </w:pPr>
      <w:r w:rsidRPr="00DD72D2">
        <w:rPr>
          <w:b/>
        </w:rPr>
        <w:t>DATE OF DECISION:</w:t>
      </w:r>
      <w:r w:rsidRPr="00DD72D2">
        <w:rPr>
          <w:b/>
        </w:rPr>
        <w:tab/>
      </w:r>
      <w:r w:rsidR="00043EA3">
        <w:t>2</w:t>
      </w:r>
      <w:r w:rsidR="009E033B">
        <w:t>2</w:t>
      </w:r>
      <w:r w:rsidR="00D53A9B" w:rsidRPr="00D53A9B">
        <w:t xml:space="preserve"> December 2016</w:t>
      </w:r>
    </w:p>
    <w:p w:rsidR="00F161FF" w:rsidRPr="00F161FF" w:rsidRDefault="00F161FF" w:rsidP="00F161FF">
      <w:pPr>
        <w:pBdr>
          <w:bottom w:val="single" w:sz="4" w:space="1" w:color="auto"/>
        </w:pBdr>
        <w:rPr>
          <w:b/>
        </w:rPr>
      </w:pPr>
    </w:p>
    <w:p w:rsidR="003C0D8C" w:rsidRDefault="003C0D8C" w:rsidP="00DD72D2">
      <w:pPr>
        <w:pStyle w:val="Heading2"/>
      </w:pPr>
      <w:bookmarkStart w:id="0" w:name="TypeHere"/>
      <w:bookmarkEnd w:id="0"/>
    </w:p>
    <w:p w:rsidR="00F161FF" w:rsidRPr="00DD72D2" w:rsidRDefault="00DD72D2" w:rsidP="00DD72D2">
      <w:pPr>
        <w:pStyle w:val="Heading2"/>
      </w:pPr>
      <w:r w:rsidRPr="00DD72D2">
        <w:t>BACKGROUND</w:t>
      </w:r>
    </w:p>
    <w:p w:rsidR="009E033B" w:rsidRDefault="009E033B" w:rsidP="00972EAD">
      <w:pPr>
        <w:pStyle w:val="ListParagraph"/>
        <w:numPr>
          <w:ilvl w:val="0"/>
          <w:numId w:val="2"/>
        </w:numPr>
        <w:spacing w:after="240"/>
        <w:ind w:left="567" w:hanging="567"/>
        <w:contextualSpacing w:val="0"/>
        <w:jc w:val="both"/>
      </w:pPr>
      <w:r>
        <w:t>Gove and Beyond Pty Ltd is the holder of a liquor licence for the premises known as Walkabout Tavern located in Westal Street, Nhulunbuy.</w:t>
      </w:r>
    </w:p>
    <w:p w:rsidR="009E033B" w:rsidRDefault="009E033B" w:rsidP="00972EAD">
      <w:pPr>
        <w:pStyle w:val="ListParagraph"/>
        <w:numPr>
          <w:ilvl w:val="0"/>
          <w:numId w:val="2"/>
        </w:numPr>
        <w:spacing w:after="240"/>
        <w:ind w:left="567" w:hanging="567"/>
        <w:contextualSpacing w:val="0"/>
        <w:jc w:val="both"/>
      </w:pPr>
      <w:r>
        <w:t>The Walkabout Tavern’s liquor licence currently includes the following licence condition:</w:t>
      </w:r>
    </w:p>
    <w:p w:rsidR="009E033B" w:rsidRPr="009E033B" w:rsidRDefault="009E033B" w:rsidP="00972EAD">
      <w:pPr>
        <w:spacing w:after="240"/>
        <w:ind w:left="720"/>
        <w:jc w:val="both"/>
        <w:rPr>
          <w:i/>
        </w:rPr>
      </w:pPr>
      <w:r>
        <w:rPr>
          <w:i/>
        </w:rPr>
        <w:t>“Trading on Public Holidays shall be the same hours and conditions as on a Saturday.”</w:t>
      </w:r>
    </w:p>
    <w:p w:rsidR="00F161FF" w:rsidRDefault="00D53A9B" w:rsidP="00972EAD">
      <w:pPr>
        <w:pStyle w:val="ListParagraph"/>
        <w:numPr>
          <w:ilvl w:val="0"/>
          <w:numId w:val="2"/>
        </w:numPr>
        <w:spacing w:after="240"/>
        <w:ind w:left="567" w:hanging="567"/>
        <w:contextualSpacing w:val="0"/>
        <w:jc w:val="both"/>
      </w:pPr>
      <w:r>
        <w:t>On 29 November 2016</w:t>
      </w:r>
      <w:r w:rsidR="009E033B">
        <w:t>,</w:t>
      </w:r>
      <w:r>
        <w:t xml:space="preserve"> the Northern Territory Government amended </w:t>
      </w:r>
      <w:r w:rsidR="00193F0F">
        <w:t xml:space="preserve">Schedule 2 with reference to Section 5 of the </w:t>
      </w:r>
      <w:r w:rsidR="00193F0F" w:rsidRPr="00193F0F">
        <w:rPr>
          <w:i/>
        </w:rPr>
        <w:t>Public Holidays Act</w:t>
      </w:r>
      <w:r w:rsidR="00193F0F">
        <w:t xml:space="preserve"> (NT), to include the following as public holidays:</w:t>
      </w:r>
    </w:p>
    <w:p w:rsidR="00193F0F" w:rsidRPr="009E033B" w:rsidRDefault="00193F0F" w:rsidP="00972EAD">
      <w:pPr>
        <w:pStyle w:val="ListParagraph"/>
        <w:numPr>
          <w:ilvl w:val="0"/>
          <w:numId w:val="5"/>
        </w:numPr>
        <w:spacing w:after="240"/>
        <w:ind w:left="1134" w:hanging="567"/>
        <w:contextualSpacing w:val="0"/>
        <w:jc w:val="both"/>
      </w:pPr>
      <w:r w:rsidRPr="009E033B">
        <w:t>24 December (Christmas Eve) from 7.00 pm to midnight</w:t>
      </w:r>
      <w:r w:rsidR="009E033B">
        <w:t>; and</w:t>
      </w:r>
    </w:p>
    <w:p w:rsidR="00193F0F" w:rsidRPr="009E033B" w:rsidRDefault="00193F0F" w:rsidP="00972EAD">
      <w:pPr>
        <w:pStyle w:val="ListParagraph"/>
        <w:numPr>
          <w:ilvl w:val="0"/>
          <w:numId w:val="5"/>
        </w:numPr>
        <w:spacing w:after="240"/>
        <w:ind w:left="1134" w:hanging="567"/>
        <w:contextualSpacing w:val="0"/>
        <w:jc w:val="both"/>
      </w:pPr>
      <w:r w:rsidRPr="009E033B">
        <w:t>31 December (New Year's Eve) from 7.00 pm to midnight</w:t>
      </w:r>
      <w:r w:rsidR="009E033B">
        <w:t>.</w:t>
      </w:r>
    </w:p>
    <w:p w:rsidR="001D567F" w:rsidRDefault="001D567F" w:rsidP="00972EAD">
      <w:pPr>
        <w:pStyle w:val="ListParagraph"/>
        <w:numPr>
          <w:ilvl w:val="0"/>
          <w:numId w:val="2"/>
        </w:numPr>
        <w:spacing w:after="240"/>
        <w:ind w:left="567" w:hanging="567"/>
        <w:contextualSpacing w:val="0"/>
        <w:jc w:val="both"/>
      </w:pPr>
      <w:r>
        <w:t>The intention of the creation of the two (2) part-day public holidays on 24 and 31 December as stated in the Second Reading Speech was to:</w:t>
      </w:r>
    </w:p>
    <w:p w:rsidR="001D567F" w:rsidRPr="001D567F" w:rsidRDefault="001D567F" w:rsidP="00972EAD">
      <w:pPr>
        <w:pStyle w:val="ListParagraph"/>
        <w:spacing w:after="240"/>
        <w:ind w:left="709"/>
        <w:contextualSpacing w:val="0"/>
        <w:jc w:val="both"/>
        <w:rPr>
          <w:i/>
        </w:rPr>
      </w:pPr>
      <w:r w:rsidRPr="001D567F">
        <w:rPr>
          <w:i/>
        </w:rPr>
        <w:t>“…ensure that workers can access entitlements under the Fair Work Act national employment standards for working during this period.”</w:t>
      </w:r>
    </w:p>
    <w:p w:rsidR="001D567F" w:rsidRDefault="001D567F" w:rsidP="00972EAD">
      <w:pPr>
        <w:pStyle w:val="ListParagraph"/>
        <w:numPr>
          <w:ilvl w:val="0"/>
          <w:numId w:val="2"/>
        </w:numPr>
        <w:spacing w:after="240"/>
        <w:ind w:left="567" w:hanging="567"/>
        <w:contextualSpacing w:val="0"/>
        <w:jc w:val="both"/>
      </w:pPr>
      <w:r>
        <w:t>There is no material to suggest the intention was to amend hours of trade or any c</w:t>
      </w:r>
      <w:r w:rsidR="003C0D8C">
        <w:t>onditions of a liquor licence.</w:t>
      </w:r>
      <w:bookmarkStart w:id="1" w:name="_GoBack"/>
      <w:bookmarkEnd w:id="1"/>
    </w:p>
    <w:p w:rsidR="00F161FF" w:rsidRPr="00DD72D2" w:rsidRDefault="00DD72D2" w:rsidP="003C0D8C">
      <w:pPr>
        <w:pStyle w:val="Heading2"/>
      </w:pPr>
      <w:r w:rsidRPr="00DD72D2">
        <w:lastRenderedPageBreak/>
        <w:t>CURRENT SITUATION</w:t>
      </w:r>
    </w:p>
    <w:p w:rsidR="00DD72D2" w:rsidRDefault="001D567F" w:rsidP="00972EAD">
      <w:pPr>
        <w:pStyle w:val="ListParagraph"/>
        <w:numPr>
          <w:ilvl w:val="0"/>
          <w:numId w:val="2"/>
        </w:numPr>
        <w:spacing w:after="240"/>
        <w:ind w:left="567" w:hanging="567"/>
        <w:contextualSpacing w:val="0"/>
        <w:jc w:val="both"/>
      </w:pPr>
      <w:r>
        <w:t xml:space="preserve">On 9 </w:t>
      </w:r>
      <w:r w:rsidR="0093001C">
        <w:t>December</w:t>
      </w:r>
      <w:r>
        <w:t xml:space="preserve"> 2016, I wr</w:t>
      </w:r>
      <w:r w:rsidR="00BE2D30">
        <w:t>o</w:t>
      </w:r>
      <w:r>
        <w:t xml:space="preserve">te to </w:t>
      </w:r>
      <w:r w:rsidR="005B3A03">
        <w:t>Mr John Tourish</w:t>
      </w:r>
      <w:r>
        <w:t xml:space="preserve">, </w:t>
      </w:r>
      <w:r w:rsidR="005B3A03">
        <w:t xml:space="preserve">nominee </w:t>
      </w:r>
      <w:r>
        <w:t xml:space="preserve">of the licensee pursuant to section 33(2) of the </w:t>
      </w:r>
      <w:r>
        <w:rPr>
          <w:i/>
        </w:rPr>
        <w:t xml:space="preserve">Liquor Act </w:t>
      </w:r>
      <w:r>
        <w:t>(Act)</w:t>
      </w:r>
      <w:r>
        <w:rPr>
          <w:i/>
        </w:rPr>
        <w:t xml:space="preserve"> </w:t>
      </w:r>
      <w:r>
        <w:t xml:space="preserve">advising that I intended to insert </w:t>
      </w:r>
      <w:r w:rsidR="005B3A03">
        <w:t>the following condition into the liquor licence for the Walkabout Tavern:</w:t>
      </w:r>
    </w:p>
    <w:p w:rsidR="005B3A03" w:rsidRPr="001D567F" w:rsidRDefault="005B3A03" w:rsidP="00972EAD">
      <w:pPr>
        <w:ind w:left="3597" w:right="283" w:hanging="3030"/>
        <w:jc w:val="both"/>
      </w:pPr>
      <w:r w:rsidRPr="001D567F">
        <w:rPr>
          <w:b/>
        </w:rPr>
        <w:t>Exception to Public Holidays</w:t>
      </w:r>
      <w:r w:rsidRPr="001D567F">
        <w:tab/>
      </w:r>
      <w:r w:rsidRPr="001D567F">
        <w:tab/>
        <w:t xml:space="preserve">With reference to Schedule 2 of the </w:t>
      </w:r>
      <w:r w:rsidRPr="001D567F">
        <w:rPr>
          <w:i/>
        </w:rPr>
        <w:t>Public Holidays Act</w:t>
      </w:r>
      <w:r w:rsidRPr="001D567F">
        <w:t xml:space="preserve">, the declaration of any public holiday that is part of a day only, does not have the effect of varying or otherwise amending the conditions or hours of trade of a liquor licence issued under the </w:t>
      </w:r>
      <w:r w:rsidRPr="001D567F">
        <w:rPr>
          <w:i/>
        </w:rPr>
        <w:t>Liquor Act</w:t>
      </w:r>
      <w:r w:rsidRPr="001D567F">
        <w:t>.</w:t>
      </w:r>
    </w:p>
    <w:p w:rsidR="00DD72D2" w:rsidRDefault="001D567F" w:rsidP="00972EAD">
      <w:pPr>
        <w:pStyle w:val="ListParagraph"/>
        <w:numPr>
          <w:ilvl w:val="0"/>
          <w:numId w:val="2"/>
        </w:numPr>
        <w:spacing w:after="240"/>
        <w:ind w:left="567" w:hanging="567"/>
        <w:contextualSpacing w:val="0"/>
        <w:jc w:val="both"/>
      </w:pPr>
      <w:r>
        <w:t xml:space="preserve">The </w:t>
      </w:r>
      <w:r w:rsidR="005B3A03">
        <w:t xml:space="preserve">licensee </w:t>
      </w:r>
      <w:r>
        <w:t xml:space="preserve">was invited to </w:t>
      </w:r>
      <w:r w:rsidR="005B3A03" w:rsidRPr="005B3A03">
        <w:t>submit a response to the proposed variation of con</w:t>
      </w:r>
      <w:r w:rsidR="005B3A03">
        <w:t>ditions</w:t>
      </w:r>
      <w:r>
        <w:t xml:space="preserve"> as a</w:t>
      </w:r>
      <w:r w:rsidR="005B3A03">
        <w:t xml:space="preserve"> period of 28 </w:t>
      </w:r>
      <w:r w:rsidR="00675945">
        <w:t xml:space="preserve">days </w:t>
      </w:r>
      <w:r w:rsidR="005B3A03">
        <w:t>is provided by the Act before any action may be taken by the Director-General to make the proposed changes to the conditions of any licence.</w:t>
      </w:r>
    </w:p>
    <w:p w:rsidR="001D567F" w:rsidRDefault="001D567F" w:rsidP="00972EAD">
      <w:pPr>
        <w:pStyle w:val="ListParagraph"/>
        <w:numPr>
          <w:ilvl w:val="0"/>
          <w:numId w:val="2"/>
        </w:numPr>
        <w:spacing w:after="240"/>
        <w:ind w:left="567" w:hanging="567"/>
        <w:contextualSpacing w:val="0"/>
        <w:jc w:val="both"/>
      </w:pPr>
      <w:r>
        <w:t xml:space="preserve">By email dated </w:t>
      </w:r>
      <w:r w:rsidR="005B3A03">
        <w:t>19 December 2016</w:t>
      </w:r>
      <w:r>
        <w:t>,</w:t>
      </w:r>
      <w:r w:rsidR="005B3A03">
        <w:t xml:space="preserve"> Mr Tourish </w:t>
      </w:r>
      <w:r>
        <w:t>responded advising that he agreed to the insertion of the new condition.</w:t>
      </w:r>
    </w:p>
    <w:p w:rsidR="00DD72D2" w:rsidRPr="00DD72D2" w:rsidRDefault="00DD72D2" w:rsidP="00DD72D2">
      <w:pPr>
        <w:pStyle w:val="Heading2"/>
      </w:pPr>
      <w:r>
        <w:t>DECISION</w:t>
      </w:r>
    </w:p>
    <w:p w:rsidR="002D54D7" w:rsidRDefault="001D567F" w:rsidP="00972EAD">
      <w:pPr>
        <w:pStyle w:val="ListParagraph"/>
        <w:numPr>
          <w:ilvl w:val="0"/>
          <w:numId w:val="2"/>
        </w:numPr>
        <w:spacing w:after="240"/>
        <w:ind w:left="567" w:hanging="567"/>
        <w:contextualSpacing w:val="0"/>
        <w:jc w:val="both"/>
      </w:pPr>
      <w:r>
        <w:t>For the reasons set out above and in accordance with section 33(3) of the Act, I have determined to amend the conditions attached to the liquor licence for Walkabout Tavern by</w:t>
      </w:r>
      <w:r w:rsidR="002D54D7">
        <w:t xml:space="preserve"> inserting the condition:</w:t>
      </w:r>
    </w:p>
    <w:p w:rsidR="002D54D7" w:rsidRPr="001D567F" w:rsidRDefault="002D54D7" w:rsidP="00972EAD">
      <w:pPr>
        <w:pStyle w:val="ListParagraph"/>
        <w:ind w:left="3544" w:right="283" w:hanging="2977"/>
        <w:jc w:val="both"/>
      </w:pPr>
      <w:r w:rsidRPr="002D54D7">
        <w:rPr>
          <w:b/>
        </w:rPr>
        <w:t>Exception to Public Holidays</w:t>
      </w:r>
      <w:r w:rsidRPr="001D567F">
        <w:tab/>
        <w:t xml:space="preserve">With reference to Schedule 2 of the </w:t>
      </w:r>
      <w:r w:rsidRPr="002D54D7">
        <w:rPr>
          <w:i/>
        </w:rPr>
        <w:t>Public Holidays Act</w:t>
      </w:r>
      <w:r w:rsidRPr="001D567F">
        <w:t xml:space="preserve">, the declaration of any public holiday that is part of a day only, does not have the effect of varying or otherwise amending the conditions or hours of trade of a liquor licence issued under the </w:t>
      </w:r>
      <w:r w:rsidRPr="002D54D7">
        <w:rPr>
          <w:i/>
        </w:rPr>
        <w:t>Liquor Act</w:t>
      </w:r>
      <w:r w:rsidRPr="001D567F">
        <w:t>.</w:t>
      </w:r>
    </w:p>
    <w:p w:rsidR="00675945" w:rsidRPr="002D54D7" w:rsidRDefault="00675945" w:rsidP="00675945">
      <w:pPr>
        <w:pStyle w:val="NoSpacing"/>
        <w:ind w:left="4317" w:hanging="3030"/>
      </w:pPr>
    </w:p>
    <w:p w:rsidR="00DD72D2" w:rsidRPr="00F161FF" w:rsidRDefault="00B57186" w:rsidP="00DD72D2">
      <w:pPr>
        <w:pStyle w:val="ListParagraph"/>
        <w:numPr>
          <w:ilvl w:val="0"/>
          <w:numId w:val="2"/>
        </w:numPr>
        <w:spacing w:after="240"/>
        <w:ind w:left="567" w:hanging="567"/>
        <w:contextualSpacing w:val="0"/>
      </w:pPr>
      <w:r>
        <w:t>This condition is to take effect upon receipt of this Decision Notice.</w:t>
      </w:r>
    </w:p>
    <w:p w:rsidR="00DD72D2" w:rsidRDefault="00DD72D2" w:rsidP="00B57186">
      <w:pPr>
        <w:pStyle w:val="Heading2"/>
      </w:pPr>
      <w:r w:rsidRPr="00B57186">
        <w:t>REVIEW OF DECISION</w:t>
      </w:r>
    </w:p>
    <w:p w:rsidR="00675945" w:rsidRPr="00B57186" w:rsidRDefault="00B57186" w:rsidP="00B57186">
      <w:pPr>
        <w:pStyle w:val="ListParagraph"/>
        <w:numPr>
          <w:ilvl w:val="0"/>
          <w:numId w:val="2"/>
        </w:numPr>
        <w:tabs>
          <w:tab w:val="left" w:pos="1335"/>
        </w:tabs>
        <w:ind w:left="567" w:right="539" w:hanging="567"/>
        <w:contextualSpacing w:val="0"/>
        <w:jc w:val="both"/>
      </w:pPr>
      <w:r>
        <w:t>Section</w:t>
      </w:r>
      <w:r w:rsidRPr="00B57186">
        <w:t xml:space="preserve"> 120ZA of the Act provides that a decision of the Director-General, as specified in the Schedule to the Act, is a reviewable decision.  </w:t>
      </w:r>
      <w:r w:rsidR="002D54D7" w:rsidRPr="002D54D7">
        <w:rPr>
          <w:rFonts w:cs="Arial"/>
        </w:rPr>
        <w:t>A variation of liquor licence conditions by the Director-General under section 33 of the</w:t>
      </w:r>
      <w:r w:rsidR="00BE2D30">
        <w:rPr>
          <w:rFonts w:cs="Arial"/>
        </w:rPr>
        <w:t xml:space="preserve"> Act</w:t>
      </w:r>
      <w:r w:rsidR="002D54D7" w:rsidRPr="002D54D7">
        <w:rPr>
          <w:rFonts w:cs="Arial"/>
        </w:rPr>
        <w:t xml:space="preserve"> is specified in the Schedule and is a reviewable decision.  Section 120ZC of the Act provides that a person affected by this decision may seek a review before the </w:t>
      </w:r>
      <w:r w:rsidR="002D54D7" w:rsidRPr="00A97E95">
        <w:t>Northern Territory Civil and Administrative Tribunal</w:t>
      </w:r>
      <w:r w:rsidR="002D54D7">
        <w:t xml:space="preserve"> (“NTCAT”)</w:t>
      </w:r>
      <w:r w:rsidR="002D54D7" w:rsidRPr="00A97E95">
        <w:t>.</w:t>
      </w:r>
      <w:r w:rsidR="002D54D7">
        <w:t xml:space="preserve">  Any application for review of this decision must be lodged with NTCAT within 28 days of the date of this decision.  For the purpose of this decision, and in accordance with section 120ZB(c) of the</w:t>
      </w:r>
      <w:r w:rsidR="00433422">
        <w:t xml:space="preserve"> Act</w:t>
      </w:r>
      <w:r w:rsidR="002D54D7">
        <w:t xml:space="preserve">, the affected person is the Licensee, </w:t>
      </w:r>
      <w:r w:rsidR="00675945">
        <w:t>Gove and Beyond Pty Ltd.</w:t>
      </w:r>
    </w:p>
    <w:p w:rsidR="00DD72D2" w:rsidRPr="00675945" w:rsidRDefault="00DD72D2" w:rsidP="00675945">
      <w:pPr>
        <w:spacing w:before="1600" w:after="0"/>
        <w:rPr>
          <w:b/>
        </w:rPr>
      </w:pPr>
      <w:r w:rsidRPr="00675945">
        <w:rPr>
          <w:b/>
        </w:rPr>
        <w:t>Cindy Bravos</w:t>
      </w:r>
    </w:p>
    <w:p w:rsidR="00DD72D2" w:rsidRPr="00E30632" w:rsidRDefault="00DD72D2" w:rsidP="00DD72D2">
      <w:pPr>
        <w:spacing w:after="240"/>
      </w:pPr>
      <w:r w:rsidRPr="00E30632">
        <w:t>Director-General of Licensing</w:t>
      </w:r>
    </w:p>
    <w:p w:rsidR="00DD72D2" w:rsidRPr="00DD72D2" w:rsidRDefault="00F44A96" w:rsidP="00DD72D2">
      <w:pPr>
        <w:spacing w:after="240"/>
      </w:pPr>
      <w:r>
        <w:t>2</w:t>
      </w:r>
      <w:r w:rsidR="002D54D7">
        <w:t>2</w:t>
      </w:r>
      <w:r w:rsidR="006D4EC1">
        <w:t xml:space="preserve"> December 2016</w:t>
      </w:r>
    </w:p>
    <w:sectPr w:rsidR="00DD72D2" w:rsidRPr="00DD72D2" w:rsidSect="003C0D8C">
      <w:headerReference w:type="default" r:id="rId12"/>
      <w:footerReference w:type="default" r:id="rId13"/>
      <w:headerReference w:type="first" r:id="rId14"/>
      <w:footerReference w:type="first" r:id="rId15"/>
      <w:pgSz w:w="11906" w:h="16838"/>
      <w:pgMar w:top="1134" w:right="1134" w:bottom="1134" w:left="1134"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A6D" w:rsidRDefault="00037A6D" w:rsidP="003E58C0">
      <w:pPr>
        <w:spacing w:after="0"/>
      </w:pPr>
      <w:r>
        <w:separator/>
      </w:r>
    </w:p>
  </w:endnote>
  <w:endnote w:type="continuationSeparator" w:id="0">
    <w:p w:rsidR="00037A6D" w:rsidRDefault="00037A6D"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F6" w:rsidRPr="00825D0D" w:rsidRDefault="006763F6" w:rsidP="006763F6">
    <w:pPr>
      <w:pBdr>
        <w:top w:val="single" w:sz="4" w:space="1" w:color="auto"/>
      </w:pBdr>
      <w:tabs>
        <w:tab w:val="right" w:pos="9638"/>
      </w:tabs>
      <w:spacing w:after="0"/>
      <w:rPr>
        <w:sz w:val="18"/>
        <w:szCs w:val="18"/>
      </w:rPr>
    </w:pPr>
    <w:r w:rsidRPr="00825D0D">
      <w:rPr>
        <w:sz w:val="18"/>
        <w:szCs w:val="18"/>
      </w:rPr>
      <w:t xml:space="preserve">Decision for </w:t>
    </w:r>
    <w:r>
      <w:rPr>
        <w:sz w:val="18"/>
        <w:szCs w:val="18"/>
      </w:rPr>
      <w:t>Gove and Beyond Pty Ltd</w:t>
    </w:r>
    <w:r w:rsidRPr="00825D0D">
      <w:rPr>
        <w:sz w:val="18"/>
        <w:szCs w:val="18"/>
      </w:rPr>
      <w:tab/>
      <w:t xml:space="preserve">Date of Decision: </w:t>
    </w:r>
    <w:r w:rsidR="003C0D8C">
      <w:rPr>
        <w:sz w:val="18"/>
        <w:szCs w:val="18"/>
      </w:rPr>
      <w:t>22</w:t>
    </w:r>
    <w:r>
      <w:rPr>
        <w:sz w:val="18"/>
        <w:szCs w:val="18"/>
      </w:rPr>
      <w:t xml:space="preserve"> December 2016</w:t>
    </w:r>
  </w:p>
  <w:p w:rsidR="00A66342" w:rsidRPr="006763F6" w:rsidRDefault="006763F6" w:rsidP="006763F6">
    <w:pPr>
      <w:tabs>
        <w:tab w:val="right" w:pos="9638"/>
      </w:tabs>
      <w:rPr>
        <w:sz w:val="18"/>
        <w:szCs w:val="18"/>
      </w:rPr>
    </w:pPr>
    <w:r>
      <w:rPr>
        <w:sz w:val="18"/>
        <w:szCs w:val="18"/>
      </w:rPr>
      <w:t>Ref# DOB2015/00485-0090~0011</w:t>
    </w: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972EAD">
      <w:rPr>
        <w:noProof/>
        <w:sz w:val="18"/>
        <w:szCs w:val="18"/>
      </w:rPr>
      <w:t>2</w:t>
    </w:r>
    <w:r w:rsidRPr="00825D0D">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825D0D" w:rsidP="00825D0D">
    <w:pPr>
      <w:pBdr>
        <w:top w:val="single" w:sz="4" w:space="1" w:color="auto"/>
      </w:pBdr>
      <w:tabs>
        <w:tab w:val="right" w:pos="9638"/>
      </w:tabs>
      <w:spacing w:after="0"/>
      <w:rPr>
        <w:sz w:val="18"/>
        <w:szCs w:val="18"/>
      </w:rPr>
    </w:pPr>
    <w:r w:rsidRPr="00825D0D">
      <w:rPr>
        <w:sz w:val="18"/>
        <w:szCs w:val="18"/>
      </w:rPr>
      <w:t xml:space="preserve">Decision for </w:t>
    </w:r>
    <w:r w:rsidR="00D53A9B">
      <w:rPr>
        <w:sz w:val="18"/>
        <w:szCs w:val="18"/>
      </w:rPr>
      <w:t>Gove and Beyond Pty Ltd</w:t>
    </w:r>
    <w:r w:rsidRPr="00825D0D">
      <w:rPr>
        <w:sz w:val="18"/>
        <w:szCs w:val="18"/>
      </w:rPr>
      <w:tab/>
      <w:t xml:space="preserve">Date of Decision: </w:t>
    </w:r>
    <w:r w:rsidR="00043EA3">
      <w:rPr>
        <w:sz w:val="18"/>
        <w:szCs w:val="18"/>
      </w:rPr>
      <w:t>2</w:t>
    </w:r>
    <w:r w:rsidR="003C0D8C">
      <w:rPr>
        <w:sz w:val="18"/>
        <w:szCs w:val="18"/>
      </w:rPr>
      <w:t>2</w:t>
    </w:r>
    <w:r w:rsidR="00D53A9B">
      <w:rPr>
        <w:sz w:val="18"/>
        <w:szCs w:val="18"/>
      </w:rPr>
      <w:t xml:space="preserve"> December 2016</w:t>
    </w:r>
  </w:p>
  <w:p w:rsidR="00A66342" w:rsidRPr="00043EA3" w:rsidRDefault="00D53A9B" w:rsidP="00043EA3">
    <w:pPr>
      <w:tabs>
        <w:tab w:val="right" w:pos="9638"/>
      </w:tabs>
      <w:rPr>
        <w:sz w:val="18"/>
        <w:szCs w:val="18"/>
      </w:rPr>
    </w:pPr>
    <w:r>
      <w:rPr>
        <w:sz w:val="18"/>
        <w:szCs w:val="18"/>
      </w:rPr>
      <w:t xml:space="preserve">Ref# </w:t>
    </w:r>
    <w:r w:rsidR="006763F6">
      <w:rPr>
        <w:sz w:val="18"/>
        <w:szCs w:val="18"/>
      </w:rPr>
      <w:t>DOB2015/00485-0090~0011</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972EAD">
      <w:rPr>
        <w:noProof/>
        <w:sz w:val="18"/>
        <w:szCs w:val="18"/>
      </w:rPr>
      <w:t>1</w:t>
    </w:r>
    <w:r w:rsidR="00825D0D" w:rsidRPr="00825D0D">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A6D" w:rsidRDefault="00037A6D" w:rsidP="003E58C0">
      <w:pPr>
        <w:spacing w:after="0"/>
      </w:pPr>
      <w:r>
        <w:separator/>
      </w:r>
    </w:p>
  </w:footnote>
  <w:footnote w:type="continuationSeparator" w:id="0">
    <w:p w:rsidR="00037A6D" w:rsidRDefault="00037A6D"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EA3" w:rsidRDefault="00043EA3" w:rsidP="00043EA3">
    <w:pPr>
      <w:pStyle w:val="Header"/>
    </w:pPr>
    <w:r>
      <w:rPr>
        <w:noProof/>
        <w:lang w:eastAsia="en-AU"/>
      </w:rPr>
      <w:drawing>
        <wp:inline distT="0" distB="0" distL="0" distR="0" wp14:anchorId="5197F1A8" wp14:editId="4D1EA5ED">
          <wp:extent cx="1880870" cy="664210"/>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rsidR="00043EA3" w:rsidRPr="00ED557E" w:rsidRDefault="00043EA3" w:rsidP="00043E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05392"/>
    <w:multiLevelType w:val="hybridMultilevel"/>
    <w:tmpl w:val="EF16ADC6"/>
    <w:lvl w:ilvl="0" w:tplc="6A662E84">
      <w:start w:val="31"/>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378E13B7"/>
    <w:multiLevelType w:val="hybridMultilevel"/>
    <w:tmpl w:val="1EEA4638"/>
    <w:lvl w:ilvl="0" w:tplc="0C09000F">
      <w:start w:val="1"/>
      <w:numFmt w:val="decimal"/>
      <w:lvlText w:val="%1."/>
      <w:lvlJc w:val="left"/>
      <w:pPr>
        <w:ind w:left="645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CE32E20"/>
    <w:multiLevelType w:val="hybridMultilevel"/>
    <w:tmpl w:val="60643BF0"/>
    <w:lvl w:ilvl="0" w:tplc="6DF245D2">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nsid w:val="6FF13C54"/>
    <w:multiLevelType w:val="hybridMultilevel"/>
    <w:tmpl w:val="9228B64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9B"/>
    <w:rsid w:val="00037A6D"/>
    <w:rsid w:val="00043EA3"/>
    <w:rsid w:val="000D18B9"/>
    <w:rsid w:val="000D5D37"/>
    <w:rsid w:val="00154B6F"/>
    <w:rsid w:val="001606E6"/>
    <w:rsid w:val="00193F0F"/>
    <w:rsid w:val="001D567F"/>
    <w:rsid w:val="001E6FF6"/>
    <w:rsid w:val="002D2C9C"/>
    <w:rsid w:val="002D54D7"/>
    <w:rsid w:val="0032619B"/>
    <w:rsid w:val="003C0D8C"/>
    <w:rsid w:val="003E309D"/>
    <w:rsid w:val="003E58C0"/>
    <w:rsid w:val="004058F2"/>
    <w:rsid w:val="00424BE1"/>
    <w:rsid w:val="00433422"/>
    <w:rsid w:val="00433F6A"/>
    <w:rsid w:val="004500C5"/>
    <w:rsid w:val="004827C5"/>
    <w:rsid w:val="004F01B6"/>
    <w:rsid w:val="00516B5B"/>
    <w:rsid w:val="005A0B41"/>
    <w:rsid w:val="005B3A03"/>
    <w:rsid w:val="00611615"/>
    <w:rsid w:val="0063134A"/>
    <w:rsid w:val="006506E0"/>
    <w:rsid w:val="00675945"/>
    <w:rsid w:val="006763F6"/>
    <w:rsid w:val="00690008"/>
    <w:rsid w:val="006A0B9A"/>
    <w:rsid w:val="006D4EC1"/>
    <w:rsid w:val="00731CC0"/>
    <w:rsid w:val="0073515A"/>
    <w:rsid w:val="0078053C"/>
    <w:rsid w:val="007C7784"/>
    <w:rsid w:val="00825D0D"/>
    <w:rsid w:val="008C03F0"/>
    <w:rsid w:val="008E1EBA"/>
    <w:rsid w:val="0093001C"/>
    <w:rsid w:val="009519BE"/>
    <w:rsid w:val="00972EAD"/>
    <w:rsid w:val="009C5D09"/>
    <w:rsid w:val="009E033B"/>
    <w:rsid w:val="00A66342"/>
    <w:rsid w:val="00AC5014"/>
    <w:rsid w:val="00B35447"/>
    <w:rsid w:val="00B57186"/>
    <w:rsid w:val="00B83B43"/>
    <w:rsid w:val="00B861D4"/>
    <w:rsid w:val="00BE2D30"/>
    <w:rsid w:val="00C9103C"/>
    <w:rsid w:val="00D402F0"/>
    <w:rsid w:val="00D53A9B"/>
    <w:rsid w:val="00D7349E"/>
    <w:rsid w:val="00DB5506"/>
    <w:rsid w:val="00DD72D2"/>
    <w:rsid w:val="00E30632"/>
    <w:rsid w:val="00F161FF"/>
    <w:rsid w:val="00F44A96"/>
    <w:rsid w:val="00F75669"/>
    <w:rsid w:val="00F86B64"/>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3C0D8C"/>
    <w:pPr>
      <w:keepNext/>
      <w:keepLines/>
      <w:spacing w:before="12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3C0D8C"/>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uiPriority w:val="1"/>
    <w:qFormat/>
    <w:rsid w:val="007C7784"/>
    <w:rPr>
      <w:rFonts w:ascii="Lato" w:hAnsi="Lato"/>
      <w:sz w:val="22"/>
      <w:szCs w:val="22"/>
      <w:lang w:eastAsia="en-US"/>
    </w:rPr>
  </w:style>
  <w:style w:type="paragraph" w:styleId="BalloonText">
    <w:name w:val="Balloon Text"/>
    <w:basedOn w:val="Normal"/>
    <w:link w:val="BalloonTextChar"/>
    <w:uiPriority w:val="99"/>
    <w:semiHidden/>
    <w:unhideWhenUsed/>
    <w:rsid w:val="00043E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EA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3C0D8C"/>
    <w:pPr>
      <w:keepNext/>
      <w:keepLines/>
      <w:spacing w:before="12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3C0D8C"/>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uiPriority w:val="1"/>
    <w:qFormat/>
    <w:rsid w:val="007C7784"/>
    <w:rPr>
      <w:rFonts w:ascii="Lato" w:hAnsi="Lato"/>
      <w:sz w:val="22"/>
      <w:szCs w:val="22"/>
      <w:lang w:eastAsia="en-US"/>
    </w:rPr>
  </w:style>
  <w:style w:type="paragraph" w:styleId="BalloonText">
    <w:name w:val="Balloon Text"/>
    <w:basedOn w:val="Normal"/>
    <w:link w:val="BalloonTextChar"/>
    <w:uiPriority w:val="99"/>
    <w:semiHidden/>
    <w:unhideWhenUsed/>
    <w:rsid w:val="00043E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EA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3f1acef0-744d-4246-9640-1b1641e99d0a"/>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39F533E-8EC5-48BF-BEA5-888129B3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Decision Notice - Walkabout Tavern</vt:lpstr>
    </vt:vector>
  </TitlesOfParts>
  <Company>NTG</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Walkabout Tavern</dc:title>
  <dc:creator>Mark Wood</dc:creator>
  <cp:lastModifiedBy>Karen Gerschwitz</cp:lastModifiedBy>
  <cp:revision>6</cp:revision>
  <dcterms:created xsi:type="dcterms:W3CDTF">2016-12-21T23:57:00Z</dcterms:created>
  <dcterms:modified xsi:type="dcterms:W3CDTF">2016-12-22T00:17:00Z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