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FF" w:rsidRDefault="00DD72D2" w:rsidP="00E30632">
      <w:pPr>
        <w:pStyle w:val="Title"/>
        <w:spacing w:after="0" w:line="360" w:lineRule="auto"/>
        <w:jc w:val="center"/>
        <w:rPr>
          <w:bCs/>
        </w:rPr>
      </w:pPr>
      <w:bookmarkStart w:id="0" w:name="_GoBack"/>
      <w:bookmarkEnd w:id="0"/>
      <w:r>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7E573C" w:rsidRPr="00C12E7B" w:rsidRDefault="007E573C" w:rsidP="007E573C">
      <w:pPr>
        <w:pStyle w:val="Heading1"/>
        <w:spacing w:after="120"/>
      </w:pPr>
      <w:r>
        <w:t>Decision Notice</w:t>
      </w:r>
    </w:p>
    <w:p w:rsidR="007E573C" w:rsidRPr="00AA1B78" w:rsidRDefault="007E573C" w:rsidP="007E573C">
      <w:pPr>
        <w:pStyle w:val="Tabformatting"/>
      </w:pPr>
      <w:r w:rsidRPr="00AA1B78">
        <w:rPr>
          <w:b/>
        </w:rPr>
        <w:t>Matter</w:t>
      </w:r>
      <w:r w:rsidRPr="00AA1B78">
        <w:t>:</w:t>
      </w:r>
      <w:r w:rsidRPr="00AA1B78">
        <w:tab/>
        <w:t>Variation of Conditions of Liquor Licence</w:t>
      </w:r>
    </w:p>
    <w:p w:rsidR="007E573C" w:rsidRPr="00AA1B78" w:rsidRDefault="007E573C" w:rsidP="007E573C">
      <w:pPr>
        <w:pStyle w:val="Tabformatting"/>
      </w:pPr>
      <w:r w:rsidRPr="00AA1B78">
        <w:rPr>
          <w:b/>
        </w:rPr>
        <w:t>Premises</w:t>
      </w:r>
      <w:r w:rsidRPr="00AA1B78">
        <w:t>:</w:t>
      </w:r>
      <w:r w:rsidRPr="00AA1B78">
        <w:tab/>
      </w:r>
      <w:r>
        <w:t>One Stop Bottleshop Pinelands</w:t>
      </w:r>
      <w:r w:rsidRPr="00AA1B78">
        <w:br/>
      </w:r>
      <w:r>
        <w:t>883 Stuart Highway</w:t>
      </w:r>
      <w:r w:rsidRPr="00AA1B78">
        <w:br/>
      </w:r>
      <w:r>
        <w:t xml:space="preserve">HOLTZE </w:t>
      </w:r>
      <w:r w:rsidRPr="00AA1B78">
        <w:t>NT  08</w:t>
      </w:r>
      <w:r>
        <w:t>29</w:t>
      </w:r>
    </w:p>
    <w:p w:rsidR="007E573C" w:rsidRPr="00AA1B78" w:rsidRDefault="007E573C" w:rsidP="007E573C">
      <w:pPr>
        <w:pStyle w:val="Tabformatting"/>
      </w:pPr>
      <w:r w:rsidRPr="00AA1B78">
        <w:rPr>
          <w:b/>
        </w:rPr>
        <w:t>Licensee</w:t>
      </w:r>
      <w:r w:rsidRPr="00AA1B78">
        <w:t>:</w:t>
      </w:r>
      <w:r w:rsidRPr="00AA1B78">
        <w:tab/>
      </w:r>
      <w:r>
        <w:t>One Stop Pinelands Pty Ltd</w:t>
      </w:r>
    </w:p>
    <w:p w:rsidR="007E573C" w:rsidRPr="00AA1B78" w:rsidRDefault="007E573C" w:rsidP="007E573C">
      <w:pPr>
        <w:pStyle w:val="Tabformatting"/>
      </w:pPr>
      <w:r w:rsidRPr="00AA1B78">
        <w:rPr>
          <w:b/>
        </w:rPr>
        <w:t>Legislation</w:t>
      </w:r>
      <w:r w:rsidRPr="00AA1B78">
        <w:t>:</w:t>
      </w:r>
      <w:r w:rsidRPr="00AA1B78">
        <w:tab/>
        <w:t xml:space="preserve">Section 33 of the </w:t>
      </w:r>
      <w:r w:rsidRPr="00787106">
        <w:rPr>
          <w:i/>
        </w:rPr>
        <w:t>Liquor Act</w:t>
      </w:r>
    </w:p>
    <w:p w:rsidR="007E573C" w:rsidRPr="00AA1B78" w:rsidRDefault="007E573C" w:rsidP="007E573C">
      <w:pPr>
        <w:pStyle w:val="Tabformatting"/>
      </w:pPr>
      <w:r w:rsidRPr="00AA1B78">
        <w:rPr>
          <w:b/>
        </w:rPr>
        <w:t>Decision of:</w:t>
      </w:r>
      <w:r w:rsidRPr="00AA1B78">
        <w:tab/>
        <w:t>Director-General of Licensing</w:t>
      </w:r>
    </w:p>
    <w:p w:rsidR="007E573C" w:rsidRPr="00AA1B78" w:rsidRDefault="007E573C" w:rsidP="007E573C">
      <w:pPr>
        <w:pStyle w:val="Tabformatting"/>
      </w:pPr>
      <w:r w:rsidRPr="00AA1B78">
        <w:rPr>
          <w:b/>
        </w:rPr>
        <w:t>Date of Decision:</w:t>
      </w:r>
      <w:r w:rsidRPr="00AA1B78">
        <w:tab/>
      </w:r>
      <w:r>
        <w:t>06</w:t>
      </w:r>
      <w:r w:rsidRPr="00AA1B78">
        <w:t xml:space="preserve"> Ju</w:t>
      </w:r>
      <w:r>
        <w:t>ly 2017</w:t>
      </w:r>
    </w:p>
    <w:p w:rsidR="007E573C" w:rsidRDefault="007E573C" w:rsidP="007E573C">
      <w:pPr>
        <w:pStyle w:val="BottomLine"/>
      </w:pPr>
    </w:p>
    <w:p w:rsidR="007E573C" w:rsidRPr="00673173" w:rsidRDefault="00673173" w:rsidP="007E573C">
      <w:pPr>
        <w:pStyle w:val="Heading2"/>
        <w:rPr>
          <w:rFonts w:ascii="Arial" w:hAnsi="Arial" w:cs="Arial"/>
          <w:sz w:val="24"/>
          <w:szCs w:val="24"/>
        </w:rPr>
      </w:pPr>
      <w:r w:rsidRPr="00673173">
        <w:rPr>
          <w:rFonts w:ascii="Arial" w:hAnsi="Arial" w:cs="Arial"/>
          <w:sz w:val="24"/>
          <w:szCs w:val="24"/>
        </w:rPr>
        <w:t>BACKGROUND</w:t>
      </w:r>
    </w:p>
    <w:p w:rsidR="007E573C" w:rsidRPr="00673173" w:rsidRDefault="007E573C" w:rsidP="007E573C">
      <w:pPr>
        <w:pStyle w:val="ListParagraph"/>
        <w:numPr>
          <w:ilvl w:val="0"/>
          <w:numId w:val="6"/>
        </w:numPr>
        <w:tabs>
          <w:tab w:val="left" w:pos="1335"/>
        </w:tabs>
        <w:ind w:left="426" w:right="539" w:hanging="426"/>
        <w:contextualSpacing w:val="0"/>
        <w:jc w:val="both"/>
        <w:rPr>
          <w:rFonts w:ascii="Arial" w:hAnsi="Arial" w:cs="Arial"/>
          <w:color w:val="000000"/>
          <w:sz w:val="24"/>
          <w:szCs w:val="24"/>
        </w:rPr>
      </w:pPr>
      <w:r w:rsidRPr="00673173">
        <w:rPr>
          <w:rFonts w:ascii="Arial" w:hAnsi="Arial" w:cs="Arial"/>
          <w:color w:val="000000"/>
          <w:sz w:val="24"/>
          <w:szCs w:val="24"/>
        </w:rPr>
        <w:t xml:space="preserve">One Stop Pinelands Pty Ltd is the holder of a liquor merchant licence for premises known as </w:t>
      </w:r>
      <w:r w:rsidRPr="00673173">
        <w:rPr>
          <w:rFonts w:ascii="Arial" w:hAnsi="Arial" w:cs="Arial"/>
          <w:sz w:val="24"/>
          <w:szCs w:val="24"/>
        </w:rPr>
        <w:t>One Stop Bottleshop Pinelands</w:t>
      </w:r>
      <w:r w:rsidRPr="00673173">
        <w:rPr>
          <w:rFonts w:ascii="Arial" w:hAnsi="Arial" w:cs="Arial"/>
          <w:bCs/>
          <w:sz w:val="24"/>
          <w:szCs w:val="24"/>
        </w:rPr>
        <w:t xml:space="preserve"> located at 883 Stuart Highway, Holtze.</w:t>
      </w:r>
      <w:r w:rsidRPr="00673173">
        <w:rPr>
          <w:rFonts w:ascii="Arial" w:hAnsi="Arial" w:cs="Arial"/>
          <w:color w:val="000000"/>
          <w:sz w:val="24"/>
          <w:szCs w:val="24"/>
        </w:rPr>
        <w:t xml:space="preserve"> </w:t>
      </w:r>
    </w:p>
    <w:p w:rsidR="007E573C" w:rsidRPr="00673173" w:rsidRDefault="007E573C" w:rsidP="007E573C">
      <w:pPr>
        <w:pStyle w:val="ListParagraph"/>
        <w:numPr>
          <w:ilvl w:val="0"/>
          <w:numId w:val="6"/>
        </w:numPr>
        <w:tabs>
          <w:tab w:val="left" w:pos="1335"/>
        </w:tabs>
        <w:spacing w:after="100" w:afterAutospacing="1"/>
        <w:ind w:left="426" w:right="539" w:hanging="426"/>
        <w:contextualSpacing w:val="0"/>
        <w:jc w:val="both"/>
        <w:rPr>
          <w:rFonts w:ascii="Arial" w:hAnsi="Arial" w:cs="Arial"/>
          <w:color w:val="000000"/>
          <w:sz w:val="24"/>
          <w:szCs w:val="24"/>
        </w:rPr>
      </w:pPr>
      <w:r w:rsidRPr="00673173">
        <w:rPr>
          <w:rFonts w:ascii="Arial" w:hAnsi="Arial" w:cs="Arial"/>
          <w:color w:val="000000"/>
          <w:sz w:val="24"/>
          <w:szCs w:val="24"/>
        </w:rPr>
        <w:t>One Stop Pinelands Pty Ltd licence currently includes the following licence condition:</w:t>
      </w:r>
    </w:p>
    <w:p w:rsidR="007E573C" w:rsidRPr="00673173" w:rsidRDefault="007E573C" w:rsidP="00673173">
      <w:pPr>
        <w:pStyle w:val="NoSpacing"/>
        <w:numPr>
          <w:ilvl w:val="0"/>
          <w:numId w:val="0"/>
        </w:numPr>
        <w:ind w:left="567"/>
        <w:rPr>
          <w:rFonts w:ascii="Arial" w:hAnsi="Arial" w:cs="Arial"/>
          <w:sz w:val="24"/>
          <w:szCs w:val="24"/>
        </w:rPr>
      </w:pPr>
      <w:r w:rsidRPr="00673173">
        <w:rPr>
          <w:rFonts w:ascii="Arial" w:hAnsi="Arial" w:cs="Arial"/>
          <w:b/>
          <w:sz w:val="24"/>
          <w:szCs w:val="24"/>
        </w:rPr>
        <w:t>Condition issued</w:t>
      </w:r>
      <w:r w:rsidRPr="00673173">
        <w:rPr>
          <w:rFonts w:ascii="Arial" w:hAnsi="Arial" w:cs="Arial"/>
          <w:b/>
          <w:sz w:val="24"/>
          <w:szCs w:val="24"/>
        </w:rPr>
        <w:tab/>
      </w:r>
      <w:r w:rsidRPr="00673173">
        <w:rPr>
          <w:rFonts w:ascii="Arial" w:hAnsi="Arial" w:cs="Arial"/>
          <w:b/>
          <w:sz w:val="24"/>
          <w:szCs w:val="24"/>
        </w:rPr>
        <w:tab/>
      </w:r>
      <w:r w:rsidRPr="00673173">
        <w:rPr>
          <w:rFonts w:ascii="Arial" w:hAnsi="Arial" w:cs="Arial"/>
          <w:b/>
          <w:sz w:val="24"/>
          <w:szCs w:val="24"/>
        </w:rPr>
        <w:tab/>
      </w:r>
      <w:r w:rsidRPr="00673173">
        <w:rPr>
          <w:rFonts w:ascii="Arial" w:hAnsi="Arial" w:cs="Arial"/>
          <w:sz w:val="24"/>
          <w:szCs w:val="24"/>
        </w:rPr>
        <w:t>The sale of liquor is not permitted under this</w:t>
      </w:r>
    </w:p>
    <w:p w:rsidR="007E573C" w:rsidRPr="00673173" w:rsidRDefault="007E573C" w:rsidP="00673173">
      <w:pPr>
        <w:pStyle w:val="NoSpacing"/>
        <w:numPr>
          <w:ilvl w:val="0"/>
          <w:numId w:val="0"/>
        </w:numPr>
        <w:ind w:left="567"/>
        <w:rPr>
          <w:rFonts w:ascii="Arial" w:hAnsi="Arial" w:cs="Arial"/>
          <w:sz w:val="24"/>
          <w:szCs w:val="24"/>
        </w:rPr>
      </w:pPr>
      <w:r w:rsidRPr="00673173">
        <w:rPr>
          <w:rFonts w:ascii="Arial" w:hAnsi="Arial" w:cs="Arial"/>
          <w:b/>
          <w:sz w:val="24"/>
          <w:szCs w:val="24"/>
        </w:rPr>
        <w:t>pursuant to Section 31(3)</w:t>
      </w:r>
      <w:r w:rsidRPr="00673173">
        <w:rPr>
          <w:rFonts w:ascii="Arial" w:hAnsi="Arial" w:cs="Arial"/>
          <w:b/>
          <w:sz w:val="24"/>
          <w:szCs w:val="24"/>
        </w:rPr>
        <w:tab/>
      </w:r>
      <w:r w:rsidRPr="00673173">
        <w:rPr>
          <w:rFonts w:ascii="Arial" w:hAnsi="Arial" w:cs="Arial"/>
          <w:b/>
          <w:sz w:val="24"/>
          <w:szCs w:val="24"/>
        </w:rPr>
        <w:tab/>
      </w:r>
      <w:r w:rsidRPr="00673173">
        <w:rPr>
          <w:rFonts w:ascii="Arial" w:hAnsi="Arial" w:cs="Arial"/>
          <w:sz w:val="24"/>
          <w:szCs w:val="24"/>
        </w:rPr>
        <w:t>licence until a certificate of occupancy under the</w:t>
      </w:r>
    </w:p>
    <w:p w:rsidR="007E573C" w:rsidRPr="00673173" w:rsidRDefault="007E573C" w:rsidP="00673173">
      <w:pPr>
        <w:pStyle w:val="NoSpacing"/>
        <w:numPr>
          <w:ilvl w:val="0"/>
          <w:numId w:val="0"/>
        </w:numPr>
        <w:ind w:left="567"/>
        <w:rPr>
          <w:rFonts w:ascii="Arial" w:hAnsi="Arial" w:cs="Arial"/>
          <w:sz w:val="24"/>
          <w:szCs w:val="24"/>
        </w:rPr>
      </w:pPr>
      <w:r w:rsidRPr="00673173">
        <w:rPr>
          <w:rFonts w:ascii="Arial" w:hAnsi="Arial" w:cs="Arial"/>
          <w:b/>
          <w:sz w:val="24"/>
          <w:szCs w:val="24"/>
        </w:rPr>
        <w:t xml:space="preserve">regarding commencement </w:t>
      </w:r>
      <w:r w:rsidRPr="00673173">
        <w:rPr>
          <w:rFonts w:ascii="Arial" w:hAnsi="Arial" w:cs="Arial"/>
          <w:b/>
          <w:sz w:val="24"/>
          <w:szCs w:val="24"/>
        </w:rPr>
        <w:tab/>
      </w:r>
      <w:r w:rsidRPr="00673173">
        <w:rPr>
          <w:rFonts w:ascii="Arial" w:hAnsi="Arial" w:cs="Arial"/>
          <w:i/>
          <w:sz w:val="24"/>
          <w:szCs w:val="24"/>
        </w:rPr>
        <w:t>Building Act</w:t>
      </w:r>
      <w:r w:rsidRPr="00673173">
        <w:rPr>
          <w:rFonts w:ascii="Arial" w:hAnsi="Arial" w:cs="Arial"/>
          <w:sz w:val="24"/>
          <w:szCs w:val="24"/>
        </w:rPr>
        <w:t xml:space="preserve"> is issued to the licensee and</w:t>
      </w:r>
    </w:p>
    <w:p w:rsidR="007E573C" w:rsidRPr="00673173" w:rsidRDefault="00673173" w:rsidP="00673173">
      <w:pPr>
        <w:pStyle w:val="NoSpacing"/>
        <w:numPr>
          <w:ilvl w:val="0"/>
          <w:numId w:val="0"/>
        </w:numPr>
        <w:ind w:left="3600" w:hanging="3033"/>
        <w:rPr>
          <w:rFonts w:ascii="Arial" w:hAnsi="Arial" w:cs="Arial"/>
          <w:sz w:val="24"/>
          <w:szCs w:val="24"/>
        </w:rPr>
      </w:pPr>
      <w:r>
        <w:rPr>
          <w:rFonts w:ascii="Arial" w:hAnsi="Arial" w:cs="Arial"/>
          <w:b/>
          <w:sz w:val="24"/>
          <w:szCs w:val="24"/>
        </w:rPr>
        <w:t>of trade.</w:t>
      </w:r>
      <w:r>
        <w:rPr>
          <w:rFonts w:ascii="Arial" w:hAnsi="Arial" w:cs="Arial"/>
          <w:b/>
          <w:sz w:val="24"/>
          <w:szCs w:val="24"/>
        </w:rPr>
        <w:tab/>
      </w:r>
      <w:r>
        <w:rPr>
          <w:rFonts w:ascii="Arial" w:hAnsi="Arial" w:cs="Arial"/>
          <w:b/>
          <w:sz w:val="24"/>
          <w:szCs w:val="24"/>
        </w:rPr>
        <w:tab/>
      </w:r>
      <w:r w:rsidR="007E573C" w:rsidRPr="00673173">
        <w:rPr>
          <w:rFonts w:ascii="Arial" w:hAnsi="Arial" w:cs="Arial"/>
          <w:sz w:val="24"/>
          <w:szCs w:val="24"/>
        </w:rPr>
        <w:t>approval in writing to commence sale provided by</w:t>
      </w:r>
    </w:p>
    <w:p w:rsidR="007E573C" w:rsidRPr="00673173" w:rsidRDefault="007E573C" w:rsidP="00673173">
      <w:pPr>
        <w:pStyle w:val="NoSpacing"/>
        <w:numPr>
          <w:ilvl w:val="0"/>
          <w:numId w:val="0"/>
        </w:numPr>
        <w:ind w:left="567"/>
        <w:rPr>
          <w:rFonts w:ascii="Arial" w:hAnsi="Arial" w:cs="Arial"/>
          <w:sz w:val="24"/>
          <w:szCs w:val="24"/>
        </w:rPr>
      </w:pPr>
      <w:r w:rsidRPr="00673173">
        <w:rPr>
          <w:rFonts w:ascii="Arial" w:hAnsi="Arial" w:cs="Arial"/>
          <w:sz w:val="24"/>
          <w:szCs w:val="24"/>
        </w:rPr>
        <w:tab/>
      </w:r>
      <w:r w:rsidRPr="00673173">
        <w:rPr>
          <w:rFonts w:ascii="Arial" w:hAnsi="Arial" w:cs="Arial"/>
          <w:sz w:val="24"/>
          <w:szCs w:val="24"/>
        </w:rPr>
        <w:tab/>
      </w:r>
      <w:r w:rsidRPr="00673173">
        <w:rPr>
          <w:rFonts w:ascii="Arial" w:hAnsi="Arial" w:cs="Arial"/>
          <w:sz w:val="24"/>
          <w:szCs w:val="24"/>
        </w:rPr>
        <w:tab/>
      </w:r>
      <w:r w:rsidRPr="00673173">
        <w:rPr>
          <w:rFonts w:ascii="Arial" w:hAnsi="Arial" w:cs="Arial"/>
          <w:sz w:val="24"/>
          <w:szCs w:val="24"/>
        </w:rPr>
        <w:tab/>
      </w:r>
      <w:r w:rsidRPr="00673173">
        <w:rPr>
          <w:rFonts w:ascii="Arial" w:hAnsi="Arial" w:cs="Arial"/>
          <w:sz w:val="24"/>
          <w:szCs w:val="24"/>
        </w:rPr>
        <w:tab/>
      </w:r>
      <w:r w:rsidRPr="00673173">
        <w:rPr>
          <w:rFonts w:ascii="Arial" w:hAnsi="Arial" w:cs="Arial"/>
          <w:sz w:val="24"/>
          <w:szCs w:val="24"/>
        </w:rPr>
        <w:tab/>
        <w:t>the Director-General of Licensing.</w:t>
      </w:r>
    </w:p>
    <w:p w:rsidR="007E573C" w:rsidRPr="00673173" w:rsidRDefault="007E573C" w:rsidP="007E573C">
      <w:pPr>
        <w:pStyle w:val="ListParagraph"/>
        <w:numPr>
          <w:ilvl w:val="0"/>
          <w:numId w:val="6"/>
        </w:numPr>
        <w:tabs>
          <w:tab w:val="left" w:pos="1335"/>
        </w:tabs>
        <w:ind w:left="426" w:right="539" w:hanging="426"/>
        <w:contextualSpacing w:val="0"/>
        <w:jc w:val="both"/>
        <w:rPr>
          <w:rFonts w:ascii="Arial" w:hAnsi="Arial" w:cs="Arial"/>
          <w:sz w:val="24"/>
          <w:szCs w:val="24"/>
        </w:rPr>
      </w:pPr>
      <w:r w:rsidRPr="00673173">
        <w:rPr>
          <w:rFonts w:ascii="Arial" w:hAnsi="Arial" w:cs="Arial"/>
          <w:color w:val="000000"/>
          <w:sz w:val="24"/>
          <w:szCs w:val="24"/>
        </w:rPr>
        <w:t xml:space="preserve">On 5 July 2017, an Occupancy Permit was issued for the premises pursuant to the </w:t>
      </w:r>
      <w:r w:rsidRPr="00673173">
        <w:rPr>
          <w:rFonts w:ascii="Arial" w:hAnsi="Arial" w:cs="Arial"/>
          <w:i/>
          <w:color w:val="000000"/>
          <w:sz w:val="24"/>
          <w:szCs w:val="24"/>
        </w:rPr>
        <w:t xml:space="preserve">Building Act.  </w:t>
      </w:r>
      <w:r w:rsidRPr="00673173">
        <w:rPr>
          <w:rFonts w:ascii="Arial" w:hAnsi="Arial" w:cs="Arial"/>
          <w:color w:val="000000"/>
          <w:sz w:val="24"/>
          <w:szCs w:val="24"/>
        </w:rPr>
        <w:t>Additionally, on 6 July 2017 advice</w:t>
      </w:r>
      <w:r w:rsidR="005253C4">
        <w:rPr>
          <w:rFonts w:ascii="Arial" w:hAnsi="Arial" w:cs="Arial"/>
          <w:color w:val="000000"/>
          <w:sz w:val="24"/>
          <w:szCs w:val="24"/>
        </w:rPr>
        <w:t xml:space="preserve"> was received from the Northern </w:t>
      </w:r>
      <w:r w:rsidRPr="00673173">
        <w:rPr>
          <w:rFonts w:ascii="Arial" w:hAnsi="Arial" w:cs="Arial"/>
          <w:color w:val="000000"/>
          <w:sz w:val="24"/>
          <w:szCs w:val="24"/>
        </w:rPr>
        <w:t>Territory Fire and Rescue Service that they are satisfied that the premises may now be used for trade.</w:t>
      </w:r>
    </w:p>
    <w:p w:rsidR="007E573C" w:rsidRPr="00673173" w:rsidRDefault="00673173" w:rsidP="007E573C">
      <w:pPr>
        <w:pStyle w:val="Heading2"/>
        <w:rPr>
          <w:rFonts w:ascii="Arial" w:hAnsi="Arial" w:cs="Arial"/>
          <w:sz w:val="24"/>
          <w:szCs w:val="24"/>
        </w:rPr>
      </w:pPr>
      <w:r w:rsidRPr="00673173">
        <w:rPr>
          <w:rFonts w:ascii="Arial" w:hAnsi="Arial" w:cs="Arial"/>
          <w:sz w:val="24"/>
          <w:szCs w:val="24"/>
        </w:rPr>
        <w:t>CURRENT SITUATION</w:t>
      </w:r>
    </w:p>
    <w:p w:rsidR="007E573C" w:rsidRPr="00673173" w:rsidRDefault="007E573C" w:rsidP="007E573C">
      <w:pPr>
        <w:pStyle w:val="ListParagraph"/>
        <w:numPr>
          <w:ilvl w:val="0"/>
          <w:numId w:val="6"/>
        </w:numPr>
        <w:tabs>
          <w:tab w:val="left" w:pos="1335"/>
        </w:tabs>
        <w:ind w:left="426" w:right="539" w:hanging="426"/>
        <w:contextualSpacing w:val="0"/>
        <w:jc w:val="both"/>
        <w:rPr>
          <w:rFonts w:ascii="Arial" w:hAnsi="Arial" w:cs="Arial"/>
          <w:sz w:val="24"/>
          <w:szCs w:val="24"/>
        </w:rPr>
      </w:pPr>
      <w:r w:rsidRPr="00673173">
        <w:rPr>
          <w:rFonts w:ascii="Arial" w:hAnsi="Arial" w:cs="Arial"/>
          <w:sz w:val="24"/>
          <w:szCs w:val="24"/>
        </w:rPr>
        <w:t xml:space="preserve">On 6 July 2017, I wrote to the licensee pursuant to section 33(2) of the </w:t>
      </w:r>
      <w:r w:rsidRPr="00673173">
        <w:rPr>
          <w:rFonts w:ascii="Arial" w:hAnsi="Arial" w:cs="Arial"/>
          <w:i/>
          <w:sz w:val="24"/>
          <w:szCs w:val="24"/>
        </w:rPr>
        <w:t>Liquor Act</w:t>
      </w:r>
      <w:r w:rsidRPr="00673173">
        <w:rPr>
          <w:rFonts w:ascii="Arial" w:hAnsi="Arial" w:cs="Arial"/>
          <w:sz w:val="24"/>
          <w:szCs w:val="24"/>
        </w:rPr>
        <w:t xml:space="preserve"> advising that I intended to remove the licence condition set out in paragraph above.</w:t>
      </w:r>
    </w:p>
    <w:p w:rsidR="00673173" w:rsidRDefault="00673173">
      <w:pPr>
        <w:spacing w:after="0"/>
        <w:rPr>
          <w:rFonts w:ascii="Arial" w:hAnsi="Arial" w:cs="Arial"/>
          <w:sz w:val="24"/>
          <w:szCs w:val="24"/>
        </w:rPr>
      </w:pPr>
      <w:r>
        <w:rPr>
          <w:rFonts w:ascii="Arial" w:hAnsi="Arial" w:cs="Arial"/>
          <w:sz w:val="24"/>
          <w:szCs w:val="24"/>
        </w:rPr>
        <w:br w:type="page"/>
      </w:r>
    </w:p>
    <w:p w:rsidR="007E573C" w:rsidRPr="00673173" w:rsidRDefault="007E573C" w:rsidP="007E573C">
      <w:pPr>
        <w:pStyle w:val="ListParagraph"/>
        <w:numPr>
          <w:ilvl w:val="0"/>
          <w:numId w:val="6"/>
        </w:numPr>
        <w:tabs>
          <w:tab w:val="left" w:pos="1335"/>
        </w:tabs>
        <w:ind w:left="426" w:right="539" w:hanging="426"/>
        <w:contextualSpacing w:val="0"/>
        <w:jc w:val="both"/>
        <w:rPr>
          <w:rFonts w:ascii="Arial" w:hAnsi="Arial" w:cs="Arial"/>
          <w:sz w:val="24"/>
          <w:szCs w:val="24"/>
        </w:rPr>
      </w:pPr>
      <w:r w:rsidRPr="00673173">
        <w:rPr>
          <w:rFonts w:ascii="Arial" w:hAnsi="Arial" w:cs="Arial"/>
          <w:sz w:val="24"/>
          <w:szCs w:val="24"/>
        </w:rPr>
        <w:lastRenderedPageBreak/>
        <w:t>I also advised that should the licensee agree to the proposed variation, it was my intention to issue the varied licence and in accordance with the definition of licensed premises contained within clause 9 of the licence conditions, the licensed area would be delineated as on the attached plan.</w:t>
      </w:r>
    </w:p>
    <w:p w:rsidR="007E573C" w:rsidRPr="00673173" w:rsidRDefault="007E573C" w:rsidP="007E573C">
      <w:pPr>
        <w:pStyle w:val="ListParagraph"/>
        <w:numPr>
          <w:ilvl w:val="0"/>
          <w:numId w:val="6"/>
        </w:numPr>
        <w:tabs>
          <w:tab w:val="left" w:pos="1335"/>
        </w:tabs>
        <w:ind w:left="426" w:right="539" w:hanging="426"/>
        <w:contextualSpacing w:val="0"/>
        <w:jc w:val="both"/>
        <w:rPr>
          <w:rFonts w:ascii="Arial" w:hAnsi="Arial" w:cs="Arial"/>
          <w:sz w:val="24"/>
          <w:szCs w:val="24"/>
        </w:rPr>
      </w:pPr>
      <w:r w:rsidRPr="00673173">
        <w:rPr>
          <w:rFonts w:ascii="Arial" w:hAnsi="Arial" w:cs="Arial"/>
          <w:sz w:val="24"/>
          <w:szCs w:val="24"/>
        </w:rPr>
        <w:t>Additionally, I advised that the additional retail area as proposed in the original application would be considered for inclusion within the licensed area once the licensee has provided evidence to the satisfaction of the Director-General that the total licensed area complies with section 33AB of the Act.</w:t>
      </w:r>
    </w:p>
    <w:p w:rsidR="007E573C" w:rsidRPr="00673173" w:rsidRDefault="007E573C" w:rsidP="007E573C">
      <w:pPr>
        <w:pStyle w:val="ListParagraph"/>
        <w:numPr>
          <w:ilvl w:val="0"/>
          <w:numId w:val="6"/>
        </w:numPr>
        <w:tabs>
          <w:tab w:val="left" w:pos="1335"/>
        </w:tabs>
        <w:ind w:left="426" w:right="539" w:hanging="426"/>
        <w:contextualSpacing w:val="0"/>
        <w:jc w:val="both"/>
        <w:rPr>
          <w:rFonts w:ascii="Arial" w:hAnsi="Arial" w:cs="Arial"/>
          <w:sz w:val="24"/>
          <w:szCs w:val="24"/>
        </w:rPr>
      </w:pPr>
      <w:r w:rsidRPr="00673173">
        <w:rPr>
          <w:rFonts w:ascii="Arial" w:hAnsi="Arial" w:cs="Arial"/>
          <w:sz w:val="24"/>
          <w:szCs w:val="24"/>
        </w:rPr>
        <w:t xml:space="preserve">By email dated </w:t>
      </w:r>
      <w:r w:rsidR="00E37B8D">
        <w:rPr>
          <w:rFonts w:ascii="Arial" w:hAnsi="Arial" w:cs="Arial"/>
          <w:sz w:val="24"/>
          <w:szCs w:val="24"/>
        </w:rPr>
        <w:t>6 July 2017, the licensee</w:t>
      </w:r>
      <w:r w:rsidRPr="00673173">
        <w:rPr>
          <w:rFonts w:ascii="Arial" w:hAnsi="Arial" w:cs="Arial"/>
          <w:sz w:val="24"/>
          <w:szCs w:val="24"/>
        </w:rPr>
        <w:t xml:space="preserve"> responded </w:t>
      </w:r>
      <w:r w:rsidR="00E37B8D">
        <w:rPr>
          <w:rFonts w:ascii="Arial" w:hAnsi="Arial" w:cs="Arial"/>
          <w:sz w:val="24"/>
          <w:szCs w:val="24"/>
        </w:rPr>
        <w:t>agreeing</w:t>
      </w:r>
      <w:r w:rsidRPr="00673173">
        <w:rPr>
          <w:rFonts w:ascii="Arial" w:hAnsi="Arial" w:cs="Arial"/>
          <w:sz w:val="24"/>
          <w:szCs w:val="24"/>
        </w:rPr>
        <w:t xml:space="preserve"> to the </w:t>
      </w:r>
      <w:r w:rsidR="00E37B8D">
        <w:rPr>
          <w:rFonts w:ascii="Arial" w:hAnsi="Arial" w:cs="Arial"/>
          <w:sz w:val="24"/>
          <w:szCs w:val="24"/>
        </w:rPr>
        <w:t xml:space="preserve">variation </w:t>
      </w:r>
      <w:r w:rsidRPr="00673173">
        <w:rPr>
          <w:rFonts w:ascii="Arial" w:hAnsi="Arial" w:cs="Arial"/>
          <w:sz w:val="24"/>
          <w:szCs w:val="24"/>
        </w:rPr>
        <w:t>of the licence condition.</w:t>
      </w:r>
    </w:p>
    <w:p w:rsidR="007E573C" w:rsidRPr="00673173" w:rsidRDefault="00673173" w:rsidP="007E573C">
      <w:pPr>
        <w:pStyle w:val="Heading2"/>
        <w:rPr>
          <w:rFonts w:ascii="Arial" w:hAnsi="Arial" w:cs="Arial"/>
          <w:sz w:val="24"/>
          <w:szCs w:val="24"/>
        </w:rPr>
      </w:pPr>
      <w:r w:rsidRPr="00673173">
        <w:rPr>
          <w:rFonts w:ascii="Arial" w:hAnsi="Arial" w:cs="Arial"/>
          <w:sz w:val="24"/>
          <w:szCs w:val="24"/>
        </w:rPr>
        <w:t>DECISION</w:t>
      </w:r>
    </w:p>
    <w:p w:rsidR="007E573C" w:rsidRPr="00673173" w:rsidRDefault="007E573C" w:rsidP="007E573C">
      <w:pPr>
        <w:pStyle w:val="ListParagraph"/>
        <w:numPr>
          <w:ilvl w:val="0"/>
          <w:numId w:val="6"/>
        </w:numPr>
        <w:tabs>
          <w:tab w:val="left" w:pos="1335"/>
        </w:tabs>
        <w:ind w:left="426" w:right="539" w:hanging="426"/>
        <w:contextualSpacing w:val="0"/>
        <w:jc w:val="both"/>
        <w:rPr>
          <w:rFonts w:ascii="Arial" w:hAnsi="Arial" w:cs="Arial"/>
          <w:sz w:val="24"/>
          <w:szCs w:val="24"/>
        </w:rPr>
      </w:pPr>
      <w:r w:rsidRPr="00673173">
        <w:rPr>
          <w:rFonts w:ascii="Arial" w:hAnsi="Arial" w:cs="Arial"/>
          <w:sz w:val="24"/>
          <w:szCs w:val="24"/>
        </w:rPr>
        <w:t xml:space="preserve">For the reasons set out above, and in accordance with section 33(3) of the </w:t>
      </w:r>
      <w:r w:rsidR="00854156">
        <w:rPr>
          <w:rFonts w:ascii="Arial" w:hAnsi="Arial" w:cs="Arial"/>
          <w:i/>
          <w:sz w:val="24"/>
          <w:szCs w:val="24"/>
        </w:rPr>
        <w:t>Liquor </w:t>
      </w:r>
      <w:r w:rsidRPr="00673173">
        <w:rPr>
          <w:rFonts w:ascii="Arial" w:hAnsi="Arial" w:cs="Arial"/>
          <w:i/>
          <w:sz w:val="24"/>
          <w:szCs w:val="24"/>
        </w:rPr>
        <w:t>Act</w:t>
      </w:r>
      <w:r w:rsidRPr="00673173">
        <w:rPr>
          <w:rFonts w:ascii="Arial" w:hAnsi="Arial" w:cs="Arial"/>
          <w:sz w:val="24"/>
          <w:szCs w:val="24"/>
        </w:rPr>
        <w:t xml:space="preserve">, I have determined to remove the licence condition set out </w:t>
      </w:r>
      <w:r w:rsidR="00854156">
        <w:rPr>
          <w:rFonts w:ascii="Arial" w:hAnsi="Arial" w:cs="Arial"/>
          <w:sz w:val="24"/>
          <w:szCs w:val="24"/>
        </w:rPr>
        <w:t>at paragragh </w:t>
      </w:r>
      <w:r w:rsidRPr="00673173">
        <w:rPr>
          <w:rFonts w:ascii="Arial" w:hAnsi="Arial" w:cs="Arial"/>
          <w:sz w:val="24"/>
          <w:szCs w:val="24"/>
        </w:rPr>
        <w:t>2 of this decision notice.</w:t>
      </w:r>
    </w:p>
    <w:p w:rsidR="007E573C" w:rsidRPr="00673173" w:rsidRDefault="00854156" w:rsidP="007E573C">
      <w:pPr>
        <w:pStyle w:val="Heading2"/>
        <w:rPr>
          <w:rFonts w:ascii="Arial" w:hAnsi="Arial" w:cs="Arial"/>
          <w:sz w:val="24"/>
          <w:szCs w:val="24"/>
        </w:rPr>
      </w:pPr>
      <w:r w:rsidRPr="00673173">
        <w:rPr>
          <w:rFonts w:ascii="Arial" w:hAnsi="Arial" w:cs="Arial"/>
          <w:sz w:val="24"/>
          <w:szCs w:val="24"/>
        </w:rPr>
        <w:t>REVIEW OF DECISION</w:t>
      </w:r>
    </w:p>
    <w:p w:rsidR="007E573C" w:rsidRPr="00673173" w:rsidRDefault="007E573C" w:rsidP="007E573C">
      <w:pPr>
        <w:pStyle w:val="ListParagraph"/>
        <w:numPr>
          <w:ilvl w:val="0"/>
          <w:numId w:val="6"/>
        </w:numPr>
        <w:tabs>
          <w:tab w:val="left" w:pos="1335"/>
        </w:tabs>
        <w:ind w:left="426" w:right="539" w:hanging="426"/>
        <w:contextualSpacing w:val="0"/>
        <w:jc w:val="both"/>
        <w:rPr>
          <w:rFonts w:ascii="Arial" w:hAnsi="Arial" w:cs="Arial"/>
          <w:sz w:val="24"/>
          <w:szCs w:val="24"/>
        </w:rPr>
      </w:pPr>
      <w:r w:rsidRPr="00673173">
        <w:rPr>
          <w:rFonts w:ascii="Arial" w:hAnsi="Arial" w:cs="Arial"/>
          <w:sz w:val="24"/>
          <w:szCs w:val="24"/>
        </w:rPr>
        <w:t xml:space="preserve">Section 120ZA of the </w:t>
      </w:r>
      <w:r w:rsidRPr="00673173">
        <w:rPr>
          <w:rFonts w:ascii="Arial" w:hAnsi="Arial" w:cs="Arial"/>
          <w:i/>
          <w:sz w:val="24"/>
          <w:szCs w:val="24"/>
        </w:rPr>
        <w:t>Liquor Act</w:t>
      </w:r>
      <w:r w:rsidRPr="00673173">
        <w:rPr>
          <w:rFonts w:ascii="Arial" w:hAnsi="Arial" w:cs="Arial"/>
          <w:sz w:val="24"/>
          <w:szCs w:val="24"/>
        </w:rPr>
        <w:t xml:space="preserve"> provides that a decision of the Director-General, as specified in the Schedule to the Act, is a reviewable decision.  A variation of liquor licence conditions by the Director-General under section 33 of the </w:t>
      </w:r>
      <w:r w:rsidRPr="00673173">
        <w:rPr>
          <w:rFonts w:ascii="Arial" w:hAnsi="Arial" w:cs="Arial"/>
          <w:i/>
          <w:sz w:val="24"/>
          <w:szCs w:val="24"/>
        </w:rPr>
        <w:t>Liquor Act</w:t>
      </w:r>
      <w:r w:rsidRPr="00673173">
        <w:rPr>
          <w:rFonts w:ascii="Arial" w:hAnsi="Arial" w:cs="Arial"/>
          <w:sz w:val="24"/>
          <w:szCs w:val="24"/>
        </w:rPr>
        <w:t xml:space="preserve"> is specified in the Schedule and is a reviewable decision.  Section 120ZC of the Act provides that a person affected by this decision may seek a review before the Northern Territory Civil and Administrative Tribunal (“NTCAT”).  Any application for review of this decision must be lodged with NTCAT within 28 days of the date of this decision.  For the purpose of this decision,</w:t>
      </w:r>
      <w:r w:rsidR="00854156">
        <w:rPr>
          <w:rFonts w:ascii="Arial" w:hAnsi="Arial" w:cs="Arial"/>
          <w:sz w:val="24"/>
          <w:szCs w:val="24"/>
        </w:rPr>
        <w:t xml:space="preserve"> and in accordance with section </w:t>
      </w:r>
      <w:r w:rsidRPr="00673173">
        <w:rPr>
          <w:rFonts w:ascii="Arial" w:hAnsi="Arial" w:cs="Arial"/>
          <w:sz w:val="24"/>
          <w:szCs w:val="24"/>
        </w:rPr>
        <w:t xml:space="preserve">120ZB(c) of the </w:t>
      </w:r>
      <w:r w:rsidRPr="00673173">
        <w:rPr>
          <w:rFonts w:ascii="Arial" w:hAnsi="Arial" w:cs="Arial"/>
          <w:i/>
          <w:sz w:val="24"/>
          <w:szCs w:val="24"/>
        </w:rPr>
        <w:t>Liquor Act</w:t>
      </w:r>
      <w:r w:rsidRPr="00673173">
        <w:rPr>
          <w:rFonts w:ascii="Arial" w:hAnsi="Arial" w:cs="Arial"/>
          <w:sz w:val="24"/>
          <w:szCs w:val="24"/>
        </w:rPr>
        <w:t xml:space="preserve">, the affected person is the Licensee for </w:t>
      </w:r>
      <w:r w:rsidR="00854156">
        <w:rPr>
          <w:rFonts w:ascii="Arial" w:hAnsi="Arial" w:cs="Arial"/>
          <w:sz w:val="24"/>
          <w:szCs w:val="24"/>
        </w:rPr>
        <w:t>One </w:t>
      </w:r>
      <w:r w:rsidRPr="00673173">
        <w:rPr>
          <w:rFonts w:ascii="Arial" w:hAnsi="Arial" w:cs="Arial"/>
          <w:sz w:val="24"/>
          <w:szCs w:val="24"/>
        </w:rPr>
        <w:t>Stop Bottleshop Pinelands.</w:t>
      </w:r>
    </w:p>
    <w:p w:rsidR="007E573C" w:rsidRPr="00673173" w:rsidRDefault="007E573C" w:rsidP="007E573C">
      <w:pPr>
        <w:autoSpaceDE w:val="0"/>
        <w:autoSpaceDN w:val="0"/>
        <w:spacing w:before="1600" w:after="0"/>
        <w:rPr>
          <w:rFonts w:ascii="Arial" w:hAnsi="Arial" w:cs="Arial"/>
          <w:b/>
          <w:bCs/>
          <w:color w:val="000000"/>
          <w:sz w:val="24"/>
          <w:szCs w:val="24"/>
        </w:rPr>
      </w:pPr>
      <w:r w:rsidRPr="00673173">
        <w:rPr>
          <w:rFonts w:ascii="Arial" w:hAnsi="Arial" w:cs="Arial"/>
          <w:b/>
          <w:bCs/>
          <w:color w:val="000000"/>
          <w:sz w:val="24"/>
          <w:szCs w:val="24"/>
        </w:rPr>
        <w:t>Cindy Bravos</w:t>
      </w:r>
    </w:p>
    <w:p w:rsidR="007E573C" w:rsidRPr="00673173" w:rsidRDefault="007E573C" w:rsidP="007E573C">
      <w:pPr>
        <w:spacing w:before="120"/>
        <w:ind w:right="1273"/>
        <w:rPr>
          <w:rFonts w:ascii="Arial" w:hAnsi="Arial" w:cs="Arial"/>
          <w:b/>
          <w:sz w:val="24"/>
          <w:szCs w:val="24"/>
        </w:rPr>
      </w:pPr>
      <w:r w:rsidRPr="00673173">
        <w:rPr>
          <w:rFonts w:ascii="Arial" w:hAnsi="Arial" w:cs="Arial"/>
          <w:b/>
          <w:sz w:val="24"/>
          <w:szCs w:val="24"/>
        </w:rPr>
        <w:t>Director-General of Licensing</w:t>
      </w:r>
    </w:p>
    <w:p w:rsidR="007E573C" w:rsidRPr="00673173" w:rsidRDefault="007E573C" w:rsidP="007E573C">
      <w:pPr>
        <w:spacing w:before="120"/>
        <w:ind w:right="284"/>
        <w:contextualSpacing/>
        <w:rPr>
          <w:rFonts w:ascii="Arial" w:hAnsi="Arial" w:cs="Arial"/>
          <w:sz w:val="24"/>
          <w:szCs w:val="24"/>
        </w:rPr>
      </w:pPr>
      <w:r w:rsidRPr="00673173">
        <w:rPr>
          <w:rFonts w:ascii="Arial" w:hAnsi="Arial" w:cs="Arial"/>
          <w:sz w:val="24"/>
          <w:szCs w:val="24"/>
        </w:rPr>
        <w:t>6 July 2017</w:t>
      </w:r>
    </w:p>
    <w:p w:rsidR="00DD72D2" w:rsidRPr="00DD72D2" w:rsidRDefault="00DD72D2" w:rsidP="007E573C">
      <w:pPr>
        <w:tabs>
          <w:tab w:val="left" w:pos="2835"/>
        </w:tabs>
        <w:spacing w:before="240" w:after="240"/>
      </w:pPr>
    </w:p>
    <w:sectPr w:rsidR="00DD72D2" w:rsidRPr="00DD72D2" w:rsidSect="00F75669">
      <w:headerReference w:type="default" r:id="rId11"/>
      <w:footerReference w:type="default" r:id="rId12"/>
      <w:headerReference w:type="first" r:id="rId13"/>
      <w:footerReference w:type="first" r:id="rId14"/>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872" w:rsidRDefault="004D4872" w:rsidP="003E58C0">
      <w:pPr>
        <w:spacing w:after="0"/>
      </w:pPr>
      <w:r>
        <w:separator/>
      </w:r>
    </w:p>
  </w:endnote>
  <w:endnote w:type="continuationSeparator" w:id="0">
    <w:p w:rsidR="004D4872" w:rsidRDefault="004D4872"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D0D" w:rsidRPr="00825D0D" w:rsidRDefault="00DA4DEA" w:rsidP="00825D0D">
    <w:pPr>
      <w:pBdr>
        <w:top w:val="single" w:sz="4" w:space="1" w:color="auto"/>
      </w:pBdr>
      <w:tabs>
        <w:tab w:val="right" w:pos="9638"/>
      </w:tabs>
      <w:spacing w:after="0"/>
      <w:rPr>
        <w:sz w:val="18"/>
        <w:szCs w:val="18"/>
      </w:rPr>
    </w:pPr>
    <w:r>
      <w:rPr>
        <w:sz w:val="18"/>
        <w:szCs w:val="18"/>
      </w:rPr>
      <w:t xml:space="preserve">Decision for </w:t>
    </w:r>
    <w:r w:rsidR="008526E7">
      <w:rPr>
        <w:sz w:val="18"/>
        <w:szCs w:val="18"/>
      </w:rPr>
      <w:t>One Stop Pinelands Pty Ltd</w:t>
    </w:r>
    <w:r>
      <w:rPr>
        <w:sz w:val="18"/>
        <w:szCs w:val="18"/>
      </w:rPr>
      <w:tab/>
      <w:t xml:space="preserve">Date of Decision: </w:t>
    </w:r>
    <w:r w:rsidR="008526E7">
      <w:rPr>
        <w:sz w:val="18"/>
        <w:szCs w:val="18"/>
      </w:rPr>
      <w:t>6 July</w:t>
    </w:r>
    <w:r>
      <w:rPr>
        <w:sz w:val="18"/>
        <w:szCs w:val="18"/>
      </w:rPr>
      <w:t xml:space="preserve"> 2017</w:t>
    </w:r>
  </w:p>
  <w:p w:rsidR="00A66342" w:rsidRPr="00047FAA" w:rsidRDefault="00DA4DEA" w:rsidP="00047FAA">
    <w:pPr>
      <w:tabs>
        <w:tab w:val="right" w:pos="9638"/>
      </w:tabs>
      <w:rPr>
        <w:sz w:val="18"/>
        <w:szCs w:val="18"/>
      </w:rPr>
    </w:pPr>
    <w:r>
      <w:rPr>
        <w:sz w:val="18"/>
        <w:szCs w:val="18"/>
      </w:rPr>
      <w:t>Ref# DOB201</w:t>
    </w:r>
    <w:r w:rsidR="008526E7">
      <w:rPr>
        <w:sz w:val="18"/>
        <w:szCs w:val="18"/>
      </w:rPr>
      <w:t>6/12467</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44429F">
      <w:rPr>
        <w:noProof/>
        <w:sz w:val="18"/>
        <w:szCs w:val="18"/>
      </w:rPr>
      <w:t>2</w:t>
    </w:r>
    <w:r w:rsidR="00825D0D"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D0D" w:rsidRPr="00825D0D" w:rsidRDefault="008526E7" w:rsidP="00825D0D">
    <w:pPr>
      <w:pBdr>
        <w:top w:val="single" w:sz="4" w:space="1" w:color="auto"/>
      </w:pBdr>
      <w:tabs>
        <w:tab w:val="right" w:pos="9638"/>
      </w:tabs>
      <w:spacing w:after="0"/>
      <w:rPr>
        <w:sz w:val="18"/>
        <w:szCs w:val="18"/>
      </w:rPr>
    </w:pPr>
    <w:r>
      <w:rPr>
        <w:sz w:val="18"/>
        <w:szCs w:val="18"/>
      </w:rPr>
      <w:t xml:space="preserve">Decision for One Stop Pinelands </w:t>
    </w:r>
    <w:r w:rsidR="00DA4DEA">
      <w:rPr>
        <w:sz w:val="18"/>
        <w:szCs w:val="18"/>
      </w:rPr>
      <w:t>Pty Ltd</w:t>
    </w:r>
    <w:r w:rsidR="00DA4DEA">
      <w:rPr>
        <w:sz w:val="18"/>
        <w:szCs w:val="18"/>
      </w:rPr>
      <w:tab/>
      <w:t xml:space="preserve">Date of Decision: </w:t>
    </w:r>
    <w:r>
      <w:rPr>
        <w:sz w:val="18"/>
        <w:szCs w:val="18"/>
      </w:rPr>
      <w:t>6 July</w:t>
    </w:r>
    <w:r w:rsidR="00DA4DEA">
      <w:rPr>
        <w:sz w:val="18"/>
        <w:szCs w:val="18"/>
      </w:rPr>
      <w:t xml:space="preserve"> 2017</w:t>
    </w:r>
  </w:p>
  <w:p w:rsidR="00A66342" w:rsidRPr="00047FAA" w:rsidRDefault="00DA4DEA" w:rsidP="00047FAA">
    <w:pPr>
      <w:tabs>
        <w:tab w:val="right" w:pos="9638"/>
      </w:tabs>
      <w:rPr>
        <w:sz w:val="18"/>
        <w:szCs w:val="18"/>
      </w:rPr>
    </w:pPr>
    <w:r>
      <w:rPr>
        <w:sz w:val="18"/>
        <w:szCs w:val="18"/>
      </w:rPr>
      <w:t>Ref# DOB201</w:t>
    </w:r>
    <w:r w:rsidR="008526E7">
      <w:rPr>
        <w:sz w:val="18"/>
        <w:szCs w:val="18"/>
      </w:rPr>
      <w:t>6/12467</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44429F">
      <w:rPr>
        <w:noProof/>
        <w:sz w:val="18"/>
        <w:szCs w:val="18"/>
      </w:rPr>
      <w:t>1</w:t>
    </w:r>
    <w:r w:rsidR="00825D0D"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872" w:rsidRDefault="004D4872" w:rsidP="003E58C0">
      <w:pPr>
        <w:spacing w:after="0"/>
      </w:pPr>
      <w:r>
        <w:separator/>
      </w:r>
    </w:p>
  </w:footnote>
  <w:footnote w:type="continuationSeparator" w:id="0">
    <w:p w:rsidR="004D4872" w:rsidRDefault="004D4872"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ED6" w:rsidRDefault="00845ED6" w:rsidP="00845ED6">
    <w:pPr>
      <w:pStyle w:val="Header"/>
    </w:pPr>
    <w:r>
      <w:rPr>
        <w:noProof/>
        <w:lang w:eastAsia="en-AU"/>
      </w:rPr>
      <w:drawing>
        <wp:inline distT="0" distB="0" distL="0" distR="0" wp14:anchorId="1A57709F" wp14:editId="50905078">
          <wp:extent cx="1880870" cy="6642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845ED6" w:rsidRDefault="00845ED6" w:rsidP="00845ED6">
    <w:pPr>
      <w:pStyle w:val="Header"/>
    </w:pPr>
  </w:p>
  <w:p w:rsidR="00A66342" w:rsidRPr="00845ED6" w:rsidRDefault="00A66342"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02811"/>
    <w:multiLevelType w:val="hybridMultilevel"/>
    <w:tmpl w:val="A21EF864"/>
    <w:lvl w:ilvl="0" w:tplc="0744106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378E13B7"/>
    <w:multiLevelType w:val="hybridMultilevel"/>
    <w:tmpl w:val="1EEA4638"/>
    <w:lvl w:ilvl="0" w:tplc="0C09000F">
      <w:start w:val="1"/>
      <w:numFmt w:val="decimal"/>
      <w:lvlText w:val="%1."/>
      <w:lvlJc w:val="left"/>
      <w:pPr>
        <w:ind w:left="645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2A62202"/>
    <w:multiLevelType w:val="hybridMultilevel"/>
    <w:tmpl w:val="96A0E12A"/>
    <w:lvl w:ilvl="0" w:tplc="AB5EB1EA">
      <w:start w:val="1"/>
      <w:numFmt w:val="decimal"/>
      <w:pStyle w:val="NoSpacing"/>
      <w:lvlText w:val="%1."/>
      <w:lvlJc w:val="left"/>
      <w:pPr>
        <w:ind w:left="3763" w:hanging="360"/>
      </w:pPr>
      <w:rPr>
        <w:rFonts w:ascii="Lato" w:hAnsi="Lato"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CF"/>
    <w:rsid w:val="00047FAA"/>
    <w:rsid w:val="00082317"/>
    <w:rsid w:val="00154B6F"/>
    <w:rsid w:val="001606E6"/>
    <w:rsid w:val="001A2B38"/>
    <w:rsid w:val="001E6FF6"/>
    <w:rsid w:val="001E7127"/>
    <w:rsid w:val="002C0009"/>
    <w:rsid w:val="002D2C9C"/>
    <w:rsid w:val="003E309D"/>
    <w:rsid w:val="003E58C0"/>
    <w:rsid w:val="00424BE1"/>
    <w:rsid w:val="0044429F"/>
    <w:rsid w:val="004500C5"/>
    <w:rsid w:val="004827C5"/>
    <w:rsid w:val="004D4872"/>
    <w:rsid w:val="00516B5B"/>
    <w:rsid w:val="005253C4"/>
    <w:rsid w:val="00540117"/>
    <w:rsid w:val="00571D66"/>
    <w:rsid w:val="00590021"/>
    <w:rsid w:val="005A0B41"/>
    <w:rsid w:val="0060701B"/>
    <w:rsid w:val="00611615"/>
    <w:rsid w:val="0063134A"/>
    <w:rsid w:val="00641618"/>
    <w:rsid w:val="006506E0"/>
    <w:rsid w:val="00673173"/>
    <w:rsid w:val="00690008"/>
    <w:rsid w:val="006A0B9A"/>
    <w:rsid w:val="006A54E1"/>
    <w:rsid w:val="00731CC0"/>
    <w:rsid w:val="0073515A"/>
    <w:rsid w:val="0075409C"/>
    <w:rsid w:val="0078053C"/>
    <w:rsid w:val="007D5E51"/>
    <w:rsid w:val="007E573C"/>
    <w:rsid w:val="00825A09"/>
    <w:rsid w:val="00825D0D"/>
    <w:rsid w:val="00845ED6"/>
    <w:rsid w:val="008526E7"/>
    <w:rsid w:val="00854156"/>
    <w:rsid w:val="00867F8E"/>
    <w:rsid w:val="008B3576"/>
    <w:rsid w:val="008C03F0"/>
    <w:rsid w:val="008E1EBA"/>
    <w:rsid w:val="009519BE"/>
    <w:rsid w:val="009C5D09"/>
    <w:rsid w:val="00A66342"/>
    <w:rsid w:val="00A672DE"/>
    <w:rsid w:val="00AC5014"/>
    <w:rsid w:val="00B120C4"/>
    <w:rsid w:val="00B35447"/>
    <w:rsid w:val="00B55D74"/>
    <w:rsid w:val="00B83B43"/>
    <w:rsid w:val="00BA41CF"/>
    <w:rsid w:val="00BB664C"/>
    <w:rsid w:val="00C9103C"/>
    <w:rsid w:val="00C97183"/>
    <w:rsid w:val="00D402F0"/>
    <w:rsid w:val="00D7349E"/>
    <w:rsid w:val="00DA4DEA"/>
    <w:rsid w:val="00DB5506"/>
    <w:rsid w:val="00DD72D2"/>
    <w:rsid w:val="00E30632"/>
    <w:rsid w:val="00E36DE5"/>
    <w:rsid w:val="00E37B8D"/>
    <w:rsid w:val="00F161FF"/>
    <w:rsid w:val="00F75669"/>
    <w:rsid w:val="00F82D51"/>
    <w:rsid w:val="00F86B6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8BBB6DC-D57C-45CB-8C69-15C74A4F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540117"/>
    <w:pPr>
      <w:keepNext/>
      <w:keepLines/>
      <w:spacing w:before="12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540117"/>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540117"/>
    <w:pPr>
      <w:numPr>
        <w:numId w:val="4"/>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Default">
    <w:name w:val="Default"/>
    <w:rsid w:val="001A2B38"/>
    <w:pPr>
      <w:autoSpaceDE w:val="0"/>
      <w:autoSpaceDN w:val="0"/>
      <w:adjustRightInd w:val="0"/>
    </w:pPr>
    <w:rPr>
      <w:rFonts w:ascii="Arial" w:hAnsi="Arial" w:cs="Arial"/>
      <w:color w:val="000000"/>
      <w:sz w:val="24"/>
      <w:szCs w:val="24"/>
    </w:rPr>
  </w:style>
  <w:style w:type="paragraph" w:customStyle="1" w:styleId="Tabformatting">
    <w:name w:val="Tab formatting"/>
    <w:basedOn w:val="Normal"/>
    <w:rsid w:val="007E573C"/>
    <w:pPr>
      <w:spacing w:after="200"/>
      <w:ind w:left="2835" w:hanging="2835"/>
    </w:pPr>
    <w:rPr>
      <w:rFonts w:ascii="Arial" w:eastAsia="Times New Roman" w:hAnsi="Arial"/>
      <w:sz w:val="24"/>
      <w:szCs w:val="20"/>
      <w:lang w:eastAsia="en-AU"/>
    </w:rPr>
  </w:style>
  <w:style w:type="paragraph" w:customStyle="1" w:styleId="BottomLine">
    <w:name w:val="Bottom Line"/>
    <w:basedOn w:val="Normal"/>
    <w:rsid w:val="007E573C"/>
    <w:pPr>
      <w:pBdr>
        <w:top w:val="single" w:sz="12" w:space="1" w:color="auto"/>
      </w:pBdr>
      <w:spacing w:after="0"/>
      <w:jc w:val="both"/>
    </w:pPr>
    <w:rPr>
      <w:rFonts w:ascii="Arial" w:eastAsia="Times New Roman" w:hAnsi="Arial"/>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odm\Downloads\Director-General%20Decision%20Notice%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f1acef0-744d-4246-9640-1b1641e99d0a"/>
    <ds:schemaRef ds:uri="http://purl.org/dc/dcmitype/"/>
  </ds:schemaRefs>
</ds:datastoreItem>
</file>

<file path=customXml/itemProps2.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4.xml><?xml version="1.0" encoding="utf-8"?>
<ds:datastoreItem xmlns:ds="http://schemas.openxmlformats.org/officeDocument/2006/customXml" ds:itemID="{0E457285-6B5F-46D3-BF46-BDD4C1A9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Director-General Decision Notice Template (1)</Template>
  <TotalTime>0</TotalTime>
  <Pages>2</Pages>
  <Words>462</Words>
  <Characters>2638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Mark Wood</dc:creator>
  <cp:lastModifiedBy>Judith Boiteau</cp:lastModifiedBy>
  <cp:revision>2</cp:revision>
  <dcterms:created xsi:type="dcterms:W3CDTF">2017-07-24T04:07:00Z</dcterms:created>
  <dcterms:modified xsi:type="dcterms:W3CDTF">2017-07-24T04:07:00Z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