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11" w:rsidRPr="000E1978" w:rsidRDefault="00445CFB" w:rsidP="000E1978">
      <w:pPr>
        <w:keepNext/>
        <w:pBdr>
          <w:bottom w:val="single" w:sz="12" w:space="6" w:color="auto"/>
        </w:pBdr>
        <w:spacing w:after="240" w:line="240" w:lineRule="auto"/>
        <w:jc w:val="center"/>
        <w:outlineLvl w:val="0"/>
        <w:rPr>
          <w:b/>
          <w:bCs/>
          <w:kern w:val="32"/>
          <w:sz w:val="32"/>
          <w:szCs w:val="32"/>
          <w:lang w:eastAsia="en-AU"/>
        </w:rPr>
      </w:pPr>
      <w:r w:rsidRPr="000E1978">
        <w:rPr>
          <w:b/>
          <w:bCs/>
          <w:kern w:val="32"/>
          <w:sz w:val="32"/>
          <w:szCs w:val="32"/>
          <w:lang w:eastAsia="en-AU"/>
        </w:rPr>
        <w:t xml:space="preserve">Decision on Whether Objection Will Proceed To </w:t>
      </w:r>
      <w:r w:rsidR="00B35C23" w:rsidRPr="000E1978">
        <w:rPr>
          <w:b/>
          <w:bCs/>
          <w:kern w:val="32"/>
          <w:sz w:val="32"/>
          <w:szCs w:val="32"/>
          <w:lang w:eastAsia="en-AU"/>
        </w:rPr>
        <w:t>Hearing</w:t>
      </w:r>
    </w:p>
    <w:p w:rsidR="00512514" w:rsidRPr="00E8697C" w:rsidRDefault="000E1978" w:rsidP="000E1978">
      <w:pPr>
        <w:autoSpaceDE w:val="0"/>
        <w:autoSpaceDN w:val="0"/>
        <w:adjustRightInd w:val="0"/>
        <w:spacing w:after="240"/>
        <w:ind w:left="2835" w:right="357" w:hanging="2835"/>
        <w:rPr>
          <w:rFonts w:cs="Arial"/>
          <w:b/>
          <w:bCs/>
        </w:rPr>
      </w:pPr>
      <w:r w:rsidRPr="00020CC7">
        <w:rPr>
          <w:rFonts w:cs="Arial"/>
          <w:b/>
          <w:bCs/>
        </w:rPr>
        <w:t xml:space="preserve">Premises: </w:t>
      </w:r>
      <w:r w:rsidRPr="00020CC7">
        <w:rPr>
          <w:rFonts w:cs="Arial"/>
          <w:b/>
          <w:bCs/>
        </w:rPr>
        <w:tab/>
      </w:r>
      <w:r>
        <w:rPr>
          <w:rFonts w:cs="Arial"/>
          <w:b/>
          <w:bCs/>
        </w:rPr>
        <w:t>Asian Gateway</w:t>
      </w:r>
    </w:p>
    <w:p w:rsidR="00B43FD9" w:rsidRPr="00E8697C" w:rsidRDefault="000E1978" w:rsidP="000E1978">
      <w:pPr>
        <w:autoSpaceDE w:val="0"/>
        <w:autoSpaceDN w:val="0"/>
        <w:adjustRightInd w:val="0"/>
        <w:spacing w:after="240"/>
        <w:ind w:left="2835" w:right="357" w:hanging="2835"/>
        <w:rPr>
          <w:rFonts w:cs="Arial"/>
          <w:bCs/>
        </w:rPr>
      </w:pPr>
      <w:r w:rsidRPr="00020CC7">
        <w:rPr>
          <w:rFonts w:cs="Arial"/>
          <w:b/>
          <w:bCs/>
        </w:rPr>
        <w:t xml:space="preserve">Applicant: </w:t>
      </w:r>
      <w:r w:rsidRPr="00020CC7">
        <w:rPr>
          <w:rFonts w:cs="Arial"/>
          <w:b/>
          <w:bCs/>
        </w:rPr>
        <w:tab/>
      </w:r>
      <w:r>
        <w:rPr>
          <w:rFonts w:cs="Arial"/>
          <w:bCs/>
        </w:rPr>
        <w:t>Paul Henderson</w:t>
      </w:r>
    </w:p>
    <w:p w:rsidR="00EB70F1" w:rsidRPr="00E8697C" w:rsidRDefault="000E1978" w:rsidP="000E1978">
      <w:pPr>
        <w:autoSpaceDE w:val="0"/>
        <w:autoSpaceDN w:val="0"/>
        <w:adjustRightInd w:val="0"/>
        <w:spacing w:after="240"/>
        <w:ind w:left="2835" w:right="357" w:hanging="2835"/>
      </w:pPr>
      <w:r w:rsidRPr="00020CC7">
        <w:rPr>
          <w:b/>
        </w:rPr>
        <w:t>Licence Number</w:t>
      </w:r>
      <w:r>
        <w:rPr>
          <w:b/>
        </w:rPr>
        <w:t>:</w:t>
      </w:r>
      <w:r>
        <w:rPr>
          <w:b/>
        </w:rPr>
        <w:tab/>
      </w:r>
      <w:r w:rsidRPr="000E1978">
        <w:t>80504751</w:t>
      </w:r>
      <w:bookmarkStart w:id="0" w:name="_GoBack"/>
      <w:bookmarkEnd w:id="0"/>
    </w:p>
    <w:p w:rsidR="00B10542" w:rsidRPr="00E8697C" w:rsidRDefault="000E1978" w:rsidP="000E1978">
      <w:pPr>
        <w:autoSpaceDE w:val="0"/>
        <w:autoSpaceDN w:val="0"/>
        <w:adjustRightInd w:val="0"/>
        <w:spacing w:after="240"/>
        <w:ind w:left="2835" w:right="357" w:hanging="2835"/>
        <w:rPr>
          <w:rFonts w:cs="Arial"/>
          <w:bCs/>
        </w:rPr>
      </w:pPr>
      <w:r>
        <w:rPr>
          <w:rFonts w:cs="Arial"/>
          <w:b/>
          <w:bCs/>
        </w:rPr>
        <w:t>Objectors</w:t>
      </w:r>
      <w:r w:rsidRPr="00020CC7">
        <w:rPr>
          <w:rFonts w:cs="Arial"/>
          <w:b/>
          <w:bCs/>
        </w:rPr>
        <w:t>:</w:t>
      </w:r>
      <w:r w:rsidRPr="00020CC7">
        <w:rPr>
          <w:rFonts w:cs="Arial"/>
          <w:b/>
          <w:bCs/>
        </w:rPr>
        <w:tab/>
      </w:r>
      <w:r>
        <w:rPr>
          <w:rFonts w:cs="Arial"/>
          <w:bCs/>
        </w:rPr>
        <w:t xml:space="preserve">1 objector – Mr Paul Walsh </w:t>
      </w:r>
    </w:p>
    <w:p w:rsidR="00F709E5" w:rsidRPr="00020CC7" w:rsidRDefault="000E1978" w:rsidP="000E1978">
      <w:pPr>
        <w:autoSpaceDE w:val="0"/>
        <w:autoSpaceDN w:val="0"/>
        <w:adjustRightInd w:val="0"/>
        <w:spacing w:after="240"/>
        <w:ind w:left="2835" w:right="357" w:hanging="2835"/>
        <w:rPr>
          <w:rFonts w:cs="Arial"/>
          <w:bCs/>
        </w:rPr>
      </w:pPr>
      <w:r w:rsidRPr="00020CC7">
        <w:rPr>
          <w:b/>
        </w:rPr>
        <w:t>Legislation:</w:t>
      </w:r>
      <w:r w:rsidRPr="00020CC7">
        <w:tab/>
      </w:r>
      <w:r>
        <w:t>Section</w:t>
      </w:r>
      <w:r w:rsidRPr="00020CC7">
        <w:t>s 4</w:t>
      </w:r>
      <w:r>
        <w:t>7F</w:t>
      </w:r>
      <w:r w:rsidRPr="00020CC7">
        <w:t xml:space="preserve"> to 47</w:t>
      </w:r>
      <w:r>
        <w:t>I</w:t>
      </w:r>
      <w:r w:rsidRPr="00020CC7">
        <w:t xml:space="preserve"> of the </w:t>
      </w:r>
      <w:r w:rsidRPr="00020CC7">
        <w:rPr>
          <w:i/>
        </w:rPr>
        <w:t xml:space="preserve">Liquor Act </w:t>
      </w:r>
      <w:r w:rsidRPr="00020CC7">
        <w:t xml:space="preserve">and </w:t>
      </w:r>
      <w:r>
        <w:t>Section</w:t>
      </w:r>
      <w:r w:rsidRPr="00020CC7">
        <w:t xml:space="preserve"> 28 of the </w:t>
      </w:r>
      <w:r w:rsidRPr="00020CC7">
        <w:rPr>
          <w:i/>
        </w:rPr>
        <w:t>Interpretation Act</w:t>
      </w:r>
    </w:p>
    <w:p w:rsidR="00BC4A80" w:rsidRPr="00BC4A80" w:rsidRDefault="000E1978" w:rsidP="000E1978">
      <w:pPr>
        <w:autoSpaceDE w:val="0"/>
        <w:autoSpaceDN w:val="0"/>
        <w:adjustRightInd w:val="0"/>
        <w:spacing w:after="240"/>
        <w:ind w:left="2835" w:right="357" w:hanging="2835"/>
        <w:rPr>
          <w:rFonts w:cs="Arial"/>
          <w:bCs/>
        </w:rPr>
      </w:pPr>
      <w:r w:rsidRPr="00020CC7">
        <w:rPr>
          <w:rFonts w:cs="Arial"/>
          <w:b/>
          <w:bCs/>
        </w:rPr>
        <w:t xml:space="preserve">Decision of: </w:t>
      </w:r>
      <w:r w:rsidRPr="00020CC7">
        <w:rPr>
          <w:rFonts w:cs="Arial"/>
          <w:b/>
          <w:bCs/>
        </w:rPr>
        <w:tab/>
      </w:r>
      <w:r>
        <w:rPr>
          <w:rFonts w:cs="Arial"/>
          <w:bCs/>
        </w:rPr>
        <w:t>Cindy Bravos (Commission Member)</w:t>
      </w:r>
    </w:p>
    <w:p w:rsidR="00204772" w:rsidRDefault="000E1978" w:rsidP="000E1978">
      <w:pPr>
        <w:autoSpaceDE w:val="0"/>
        <w:autoSpaceDN w:val="0"/>
        <w:adjustRightInd w:val="0"/>
        <w:spacing w:after="240"/>
        <w:ind w:left="2835" w:right="357" w:hanging="2835"/>
        <w:rPr>
          <w:rFonts w:cs="Arial"/>
          <w:bCs/>
        </w:rPr>
      </w:pPr>
      <w:r w:rsidRPr="00020CC7">
        <w:rPr>
          <w:rFonts w:cs="Arial"/>
          <w:b/>
          <w:bCs/>
        </w:rPr>
        <w:t xml:space="preserve">Date of decision: </w:t>
      </w:r>
      <w:r w:rsidRPr="00020CC7">
        <w:rPr>
          <w:rFonts w:cs="Arial"/>
          <w:b/>
          <w:bCs/>
        </w:rPr>
        <w:tab/>
      </w:r>
      <w:r w:rsidR="0051102E" w:rsidRPr="0051102E">
        <w:rPr>
          <w:rFonts w:cs="Arial"/>
          <w:bCs/>
        </w:rPr>
        <w:t>18</w:t>
      </w:r>
      <w:r w:rsidRPr="0051102E">
        <w:rPr>
          <w:rFonts w:cs="Arial"/>
          <w:bCs/>
        </w:rPr>
        <w:t xml:space="preserve"> J</w:t>
      </w:r>
      <w:r>
        <w:rPr>
          <w:rFonts w:cs="Arial"/>
          <w:bCs/>
        </w:rPr>
        <w:t>uly 2014</w:t>
      </w:r>
    </w:p>
    <w:p w:rsidR="000E1978" w:rsidRPr="00A30195" w:rsidRDefault="000E1978" w:rsidP="000E1978">
      <w:pPr>
        <w:pStyle w:val="BottomLine"/>
      </w:pPr>
    </w:p>
    <w:p w:rsidR="00B43FD9" w:rsidRPr="00020CC7" w:rsidRDefault="009F5B91" w:rsidP="000E1978">
      <w:pPr>
        <w:pStyle w:val="Heading2"/>
        <w:spacing w:before="120"/>
        <w:rPr>
          <w:rFonts w:cs="Arial"/>
          <w:b w:val="0"/>
          <w:bCs w:val="0"/>
        </w:rPr>
      </w:pPr>
      <w:r w:rsidRPr="006E2053">
        <w:rPr>
          <w:rFonts w:eastAsiaTheme="majorEastAsia" w:cstheme="majorBidi"/>
        </w:rPr>
        <w:t>BACKGROUND</w:t>
      </w:r>
    </w:p>
    <w:p w:rsidR="00883B35" w:rsidRDefault="00192E28" w:rsidP="000E1978">
      <w:pPr>
        <w:numPr>
          <w:ilvl w:val="0"/>
          <w:numId w:val="2"/>
        </w:numPr>
        <w:tabs>
          <w:tab w:val="clear" w:pos="794"/>
        </w:tabs>
        <w:autoSpaceDE w:val="0"/>
        <w:autoSpaceDN w:val="0"/>
        <w:adjustRightInd w:val="0"/>
        <w:spacing w:after="240"/>
        <w:ind w:left="426" w:hanging="406"/>
        <w:rPr>
          <w:rFonts w:cs="Arial"/>
        </w:rPr>
      </w:pPr>
      <w:r>
        <w:rPr>
          <w:rFonts w:cs="Arial"/>
        </w:rPr>
        <w:t>Mr Paul Henderson</w:t>
      </w:r>
      <w:r w:rsidR="00883B35">
        <w:rPr>
          <w:rFonts w:cs="Arial"/>
        </w:rPr>
        <w:t xml:space="preserve"> has ap</w:t>
      </w:r>
      <w:r w:rsidR="00E8697C">
        <w:rPr>
          <w:rFonts w:cs="Arial"/>
        </w:rPr>
        <w:t xml:space="preserve">plied pursuant to Section </w:t>
      </w:r>
      <w:r>
        <w:rPr>
          <w:rFonts w:cs="Arial"/>
        </w:rPr>
        <w:t>32A</w:t>
      </w:r>
      <w:r w:rsidR="00E8697C">
        <w:rPr>
          <w:rFonts w:cs="Arial"/>
        </w:rPr>
        <w:t xml:space="preserve"> of the </w:t>
      </w:r>
      <w:r w:rsidR="00E8697C">
        <w:rPr>
          <w:rFonts w:cs="Arial"/>
          <w:i/>
        </w:rPr>
        <w:t>Liquor Act</w:t>
      </w:r>
      <w:r w:rsidR="00E8697C">
        <w:rPr>
          <w:rFonts w:cs="Arial"/>
        </w:rPr>
        <w:t xml:space="preserve"> (“the</w:t>
      </w:r>
      <w:r w:rsidR="000E1978">
        <w:rPr>
          <w:rFonts w:cs="Arial"/>
        </w:rPr>
        <w:t> </w:t>
      </w:r>
      <w:r w:rsidR="00E8697C">
        <w:rPr>
          <w:rFonts w:cs="Arial"/>
        </w:rPr>
        <w:t xml:space="preserve">Act”) for </w:t>
      </w:r>
      <w:r>
        <w:rPr>
          <w:rFonts w:cs="Arial"/>
        </w:rPr>
        <w:t>a variation of licence conditions to the premises known as Asian Gateway (Licence No. 80504751)</w:t>
      </w:r>
      <w:r w:rsidR="0073329F">
        <w:rPr>
          <w:rFonts w:cs="Arial"/>
        </w:rPr>
        <w:t xml:space="preserve"> located at 58 Aralia Street, Nightcliff.</w:t>
      </w:r>
      <w:r w:rsidR="00883B35">
        <w:rPr>
          <w:rFonts w:cs="Arial"/>
        </w:rPr>
        <w:t xml:space="preserve">  </w:t>
      </w:r>
    </w:p>
    <w:p w:rsidR="0073329F" w:rsidRDefault="0073329F" w:rsidP="000E1978">
      <w:pPr>
        <w:numPr>
          <w:ilvl w:val="0"/>
          <w:numId w:val="2"/>
        </w:numPr>
        <w:tabs>
          <w:tab w:val="clear" w:pos="794"/>
        </w:tabs>
        <w:autoSpaceDE w:val="0"/>
        <w:autoSpaceDN w:val="0"/>
        <w:adjustRightInd w:val="0"/>
        <w:spacing w:after="240"/>
        <w:ind w:left="426" w:hanging="406"/>
        <w:rPr>
          <w:rFonts w:cs="Arial"/>
        </w:rPr>
      </w:pPr>
      <w:r>
        <w:rPr>
          <w:rFonts w:cs="Arial"/>
        </w:rPr>
        <w:t xml:space="preserve">The current liquor licence allows for trade between 6.00pm to 23.59pm, seven days a week.  </w:t>
      </w:r>
      <w:r w:rsidR="00192E28" w:rsidRPr="0073329F">
        <w:rPr>
          <w:rFonts w:cs="Arial"/>
        </w:rPr>
        <w:t>The variation of licence conditions being sought is to extend the current trading hours to 12.00 noon to 23.59pm, seven days a week</w:t>
      </w:r>
      <w:r>
        <w:rPr>
          <w:rFonts w:cs="Arial"/>
        </w:rPr>
        <w:t xml:space="preserve"> (an increase of six hours each day).  </w:t>
      </w:r>
      <w:r w:rsidR="00192E28" w:rsidRPr="0073329F">
        <w:rPr>
          <w:rFonts w:cs="Arial"/>
        </w:rPr>
        <w:t xml:space="preserve">  </w:t>
      </w:r>
    </w:p>
    <w:p w:rsidR="00C75025" w:rsidRPr="00020CC7" w:rsidRDefault="00EA2CBC" w:rsidP="000E1978">
      <w:pPr>
        <w:numPr>
          <w:ilvl w:val="0"/>
          <w:numId w:val="2"/>
        </w:numPr>
        <w:tabs>
          <w:tab w:val="clear" w:pos="794"/>
        </w:tabs>
        <w:autoSpaceDE w:val="0"/>
        <w:autoSpaceDN w:val="0"/>
        <w:adjustRightInd w:val="0"/>
        <w:spacing w:after="240"/>
        <w:ind w:left="426" w:hanging="406"/>
        <w:rPr>
          <w:rFonts w:cs="Arial"/>
        </w:rPr>
      </w:pPr>
      <w:r w:rsidRPr="00020CC7">
        <w:rPr>
          <w:rFonts w:cs="Arial"/>
        </w:rPr>
        <w:t>The A</w:t>
      </w:r>
      <w:r w:rsidR="00C74C95" w:rsidRPr="00020CC7">
        <w:rPr>
          <w:rFonts w:cs="Arial"/>
        </w:rPr>
        <w:t xml:space="preserve">pplication was advertised in the </w:t>
      </w:r>
      <w:r w:rsidR="00E8697C">
        <w:rPr>
          <w:rFonts w:cs="Arial"/>
        </w:rPr>
        <w:t>NT News</w:t>
      </w:r>
      <w:r w:rsidR="003B0DBE">
        <w:rPr>
          <w:rFonts w:cs="Arial"/>
        </w:rPr>
        <w:t xml:space="preserve"> </w:t>
      </w:r>
      <w:r w:rsidR="00C75025">
        <w:rPr>
          <w:rFonts w:cs="Arial"/>
        </w:rPr>
        <w:t xml:space="preserve">on </w:t>
      </w:r>
      <w:r w:rsidR="00E8697C">
        <w:rPr>
          <w:rFonts w:cs="Arial"/>
        </w:rPr>
        <w:t xml:space="preserve">Wednesday </w:t>
      </w:r>
      <w:r w:rsidR="0073329F">
        <w:rPr>
          <w:rFonts w:cs="Arial"/>
        </w:rPr>
        <w:t>7 May</w:t>
      </w:r>
      <w:r w:rsidR="00DA7322">
        <w:rPr>
          <w:rFonts w:cs="Arial"/>
        </w:rPr>
        <w:t xml:space="preserve"> 2014 and</w:t>
      </w:r>
      <w:r w:rsidR="00C75025">
        <w:rPr>
          <w:rFonts w:cs="Arial"/>
        </w:rPr>
        <w:t xml:space="preserve"> </w:t>
      </w:r>
      <w:r w:rsidR="00E8697C">
        <w:rPr>
          <w:rFonts w:cs="Arial"/>
        </w:rPr>
        <w:t xml:space="preserve">Friday </w:t>
      </w:r>
      <w:r w:rsidR="0073329F">
        <w:rPr>
          <w:rFonts w:cs="Arial"/>
        </w:rPr>
        <w:t>9 May 2014</w:t>
      </w:r>
      <w:r w:rsidR="00756511">
        <w:rPr>
          <w:rFonts w:cs="Arial"/>
        </w:rPr>
        <w:t xml:space="preserve"> </w:t>
      </w:r>
      <w:r w:rsidR="00E8697C">
        <w:rPr>
          <w:rFonts w:cs="Arial"/>
        </w:rPr>
        <w:t>pursuant to Section 32A(3)(a) of the Act.</w:t>
      </w:r>
      <w:r w:rsidR="009C366A" w:rsidRPr="00020CC7">
        <w:rPr>
          <w:rFonts w:cs="Arial"/>
        </w:rPr>
        <w:t xml:space="preserve">  </w:t>
      </w:r>
    </w:p>
    <w:p w:rsidR="00B6497E" w:rsidRPr="00020CC7" w:rsidRDefault="00B6497E" w:rsidP="00C52FE9">
      <w:pPr>
        <w:numPr>
          <w:ilvl w:val="0"/>
          <w:numId w:val="2"/>
        </w:numPr>
        <w:tabs>
          <w:tab w:val="clear" w:pos="794"/>
        </w:tabs>
        <w:autoSpaceDE w:val="0"/>
        <w:autoSpaceDN w:val="0"/>
        <w:adjustRightInd w:val="0"/>
        <w:spacing w:after="120"/>
        <w:ind w:left="426" w:right="360" w:hanging="426"/>
        <w:rPr>
          <w:rFonts w:cs="Arial"/>
        </w:rPr>
      </w:pPr>
      <w:r w:rsidRPr="00020CC7">
        <w:rPr>
          <w:rFonts w:cs="Arial"/>
        </w:rPr>
        <w:t>The advertisement was as follows:</w:t>
      </w:r>
    </w:p>
    <w:p w:rsidR="00DA7322" w:rsidRPr="001229CF" w:rsidRDefault="00A62A1D" w:rsidP="000E1978">
      <w:pPr>
        <w:spacing w:after="120" w:line="240" w:lineRule="exact"/>
        <w:ind w:left="851" w:right="495"/>
        <w:rPr>
          <w:i/>
        </w:rPr>
      </w:pPr>
      <w:r>
        <w:rPr>
          <w:rFonts w:cs="Arial"/>
          <w:i/>
        </w:rPr>
        <w:t xml:space="preserve">Mr Paul Frederick Henderson, HEREBY GIVES NOTICE that he has applied to the </w:t>
      </w:r>
      <w:r w:rsidR="00E8697C" w:rsidRPr="001229CF">
        <w:rPr>
          <w:i/>
        </w:rPr>
        <w:t>Northern Territory Licensing Commission for a “</w:t>
      </w:r>
      <w:r w:rsidR="00DA7322" w:rsidRPr="001229CF">
        <w:rPr>
          <w:i/>
        </w:rPr>
        <w:t>V</w:t>
      </w:r>
      <w:r>
        <w:rPr>
          <w:i/>
        </w:rPr>
        <w:t xml:space="preserve">ariation of Licence Conditions” </w:t>
      </w:r>
      <w:r w:rsidR="00E8697C" w:rsidRPr="001229CF">
        <w:rPr>
          <w:i/>
        </w:rPr>
        <w:t xml:space="preserve">to </w:t>
      </w:r>
      <w:r>
        <w:rPr>
          <w:i/>
        </w:rPr>
        <w:t>the premises known as Asian Gateway (Liquor Licence number 80504751) located at 58 Aralia Street, Nightcliff, Darwin N.T.</w:t>
      </w:r>
      <w:r w:rsidRPr="001229CF">
        <w:rPr>
          <w:i/>
        </w:rPr>
        <w:t xml:space="preserve"> </w:t>
      </w:r>
    </w:p>
    <w:p w:rsidR="00A62A1D" w:rsidRDefault="00A62A1D" w:rsidP="000E1978">
      <w:pPr>
        <w:spacing w:after="120" w:line="240" w:lineRule="exact"/>
        <w:ind w:left="851" w:right="495"/>
        <w:rPr>
          <w:i/>
        </w:rPr>
      </w:pPr>
      <w:r>
        <w:rPr>
          <w:i/>
        </w:rPr>
        <w:t>The variation to the liquor licence will consist of extending the trading hours to cater for lunch time trade and is as follows:</w:t>
      </w:r>
    </w:p>
    <w:p w:rsidR="00A62A1D" w:rsidRPr="00A62A1D" w:rsidRDefault="00A62A1D" w:rsidP="000E1978">
      <w:pPr>
        <w:pStyle w:val="ListParagraph"/>
        <w:numPr>
          <w:ilvl w:val="0"/>
          <w:numId w:val="47"/>
        </w:numPr>
        <w:spacing w:after="120" w:line="240" w:lineRule="exact"/>
        <w:ind w:right="495"/>
        <w:rPr>
          <w:i/>
        </w:rPr>
      </w:pPr>
      <w:r>
        <w:rPr>
          <w:rFonts w:ascii="Arial" w:hAnsi="Arial" w:cs="Arial"/>
          <w:i/>
          <w:sz w:val="24"/>
          <w:szCs w:val="24"/>
        </w:rPr>
        <w:t>12.00 hours – 23:59 hours, seven (7) days a week (an increase of six (6) hours a day, seven (7) days a week).</w:t>
      </w:r>
    </w:p>
    <w:p w:rsidR="00E8697C" w:rsidRPr="00E8697C" w:rsidRDefault="00E8697C" w:rsidP="000E1978">
      <w:pPr>
        <w:spacing w:after="120" w:line="240" w:lineRule="exact"/>
        <w:ind w:left="851" w:right="495"/>
        <w:rPr>
          <w:i/>
        </w:rPr>
      </w:pPr>
      <w:r w:rsidRPr="00E8697C">
        <w:rPr>
          <w:i/>
        </w:rPr>
        <w:t xml:space="preserve">This is the first notice of application. The notice will be published again on Friday, </w:t>
      </w:r>
      <w:r w:rsidR="00A62A1D">
        <w:rPr>
          <w:i/>
        </w:rPr>
        <w:t>9 May</w:t>
      </w:r>
      <w:r w:rsidR="00DA7322">
        <w:rPr>
          <w:i/>
        </w:rPr>
        <w:t xml:space="preserve"> 2014</w:t>
      </w:r>
      <w:r w:rsidRPr="00E8697C">
        <w:rPr>
          <w:i/>
        </w:rPr>
        <w:t>.</w:t>
      </w:r>
    </w:p>
    <w:p w:rsidR="00A62A1D" w:rsidRDefault="00E8697C" w:rsidP="000E1978">
      <w:pPr>
        <w:pStyle w:val="BodyText"/>
        <w:spacing w:after="120"/>
        <w:ind w:left="851" w:right="495"/>
        <w:rPr>
          <w:i/>
          <w:szCs w:val="24"/>
        </w:rPr>
      </w:pPr>
      <w:r w:rsidRPr="00E8697C">
        <w:rPr>
          <w:i/>
          <w:szCs w:val="24"/>
        </w:rPr>
        <w:t xml:space="preserve">The objection period is deemed to commence from Friday, </w:t>
      </w:r>
      <w:r w:rsidR="00A62A1D">
        <w:rPr>
          <w:i/>
          <w:szCs w:val="24"/>
        </w:rPr>
        <w:t>9 May 2014.</w:t>
      </w:r>
    </w:p>
    <w:p w:rsidR="00A62A1D" w:rsidRDefault="00A62A1D" w:rsidP="000E1978">
      <w:pPr>
        <w:spacing w:after="120" w:line="240" w:lineRule="exact"/>
        <w:ind w:left="851" w:right="495"/>
        <w:rPr>
          <w:i/>
        </w:rPr>
      </w:pPr>
      <w:r>
        <w:rPr>
          <w:i/>
        </w:rPr>
        <w:t>The objection period will close on Monday, 9 June 2014.</w:t>
      </w:r>
    </w:p>
    <w:p w:rsidR="00E8697C" w:rsidRPr="00E8697C" w:rsidRDefault="00E8697C" w:rsidP="000E1978">
      <w:pPr>
        <w:spacing w:after="120" w:line="240" w:lineRule="exact"/>
        <w:ind w:left="851" w:right="495"/>
        <w:rPr>
          <w:i/>
        </w:rPr>
      </w:pPr>
      <w:r w:rsidRPr="00E8697C">
        <w:rPr>
          <w:i/>
        </w:rPr>
        <w:t xml:space="preserve">Pursuant to Section 47F(2) of the Liquor Act an objection may only be made on the ground that the </w:t>
      </w:r>
      <w:r w:rsidR="00A62A1D">
        <w:rPr>
          <w:i/>
        </w:rPr>
        <w:t xml:space="preserve">variation of the licence conditions </w:t>
      </w:r>
      <w:r w:rsidRPr="00E8697C">
        <w:rPr>
          <w:i/>
        </w:rPr>
        <w:t>may or will adversely affect:</w:t>
      </w:r>
    </w:p>
    <w:p w:rsidR="00E8697C" w:rsidRPr="00E8697C" w:rsidRDefault="00E8697C" w:rsidP="000E1978">
      <w:pPr>
        <w:pStyle w:val="BodyTextIndent2"/>
        <w:numPr>
          <w:ilvl w:val="0"/>
          <w:numId w:val="1"/>
        </w:numPr>
        <w:tabs>
          <w:tab w:val="clear" w:pos="720"/>
        </w:tabs>
        <w:spacing w:after="120"/>
        <w:ind w:left="1418" w:right="495" w:hanging="425"/>
        <w:rPr>
          <w:i/>
          <w:color w:val="auto"/>
          <w:szCs w:val="24"/>
        </w:rPr>
      </w:pPr>
      <w:r w:rsidRPr="00E8697C">
        <w:rPr>
          <w:i/>
          <w:color w:val="auto"/>
          <w:szCs w:val="24"/>
        </w:rPr>
        <w:lastRenderedPageBreak/>
        <w:t>the amenity of the neighbourhood where the premises the subject of the application are or will be located; or</w:t>
      </w:r>
    </w:p>
    <w:p w:rsidR="00E8697C" w:rsidRPr="00E8697C" w:rsidRDefault="00E8697C" w:rsidP="000E1978">
      <w:pPr>
        <w:spacing w:after="120" w:line="240" w:lineRule="exact"/>
        <w:ind w:left="1418" w:right="495" w:hanging="425"/>
        <w:rPr>
          <w:i/>
        </w:rPr>
      </w:pPr>
      <w:r w:rsidRPr="00E8697C">
        <w:rPr>
          <w:i/>
        </w:rPr>
        <w:t>(b)</w:t>
      </w:r>
      <w:r w:rsidRPr="00E8697C">
        <w:rPr>
          <w:i/>
        </w:rPr>
        <w:tab/>
        <w:t>health, education, public safety or social conditions in the community.</w:t>
      </w:r>
    </w:p>
    <w:p w:rsidR="00E8697C" w:rsidRPr="00E8697C" w:rsidRDefault="00E8697C" w:rsidP="000E1978">
      <w:pPr>
        <w:spacing w:after="240" w:line="240" w:lineRule="exact"/>
        <w:ind w:left="851" w:right="495"/>
        <w:rPr>
          <w:i/>
        </w:rPr>
      </w:pPr>
      <w:r w:rsidRPr="00E8697C">
        <w:rPr>
          <w:i/>
        </w:rPr>
        <w:t xml:space="preserve">Only those persons, organisations or groups described in Section 47F(3) of the Liquor Act may make an objection.  Section 47G of the Liquor Act requires the Director of Licensing to inform the applicant of the substance of any objection.  This will include the identity and where relevant the address of the objector.  </w:t>
      </w:r>
    </w:p>
    <w:p w:rsidR="00E8697C" w:rsidRPr="00E8697C" w:rsidRDefault="00E8697C" w:rsidP="000E1978">
      <w:pPr>
        <w:spacing w:after="240" w:line="240" w:lineRule="exact"/>
        <w:ind w:left="851" w:right="495"/>
        <w:rPr>
          <w:i/>
        </w:rPr>
      </w:pPr>
      <w:r w:rsidRPr="00E8697C">
        <w:rPr>
          <w:i/>
        </w:rPr>
        <w:t xml:space="preserve">For further information regarding this application contact the Director of Licensing on telephone 8999 1800.  Objections to this application should be lodged in writing with the Director of Licensing, GPO Box 1154, Darwin, within thirty (30) days of the commencement date of the objection period.  </w:t>
      </w:r>
    </w:p>
    <w:p w:rsidR="00E8697C" w:rsidRPr="00E8697C" w:rsidRDefault="00E8697C" w:rsidP="000E1978">
      <w:pPr>
        <w:spacing w:after="240" w:line="240" w:lineRule="exact"/>
        <w:ind w:left="851" w:right="495"/>
        <w:rPr>
          <w:i/>
        </w:rPr>
      </w:pPr>
      <w:r w:rsidRPr="00E8697C">
        <w:rPr>
          <w:i/>
        </w:rPr>
        <w:t xml:space="preserve">Dated this </w:t>
      </w:r>
      <w:r w:rsidR="00A62A1D">
        <w:rPr>
          <w:i/>
        </w:rPr>
        <w:t xml:space="preserve">7 May </w:t>
      </w:r>
      <w:r w:rsidR="00DA7322">
        <w:rPr>
          <w:i/>
        </w:rPr>
        <w:t>2014.</w:t>
      </w:r>
    </w:p>
    <w:p w:rsidR="00694F4C" w:rsidRPr="0054127E" w:rsidRDefault="00B6497E" w:rsidP="000E1978">
      <w:pPr>
        <w:numPr>
          <w:ilvl w:val="0"/>
          <w:numId w:val="2"/>
        </w:numPr>
        <w:tabs>
          <w:tab w:val="clear" w:pos="794"/>
        </w:tabs>
        <w:autoSpaceDE w:val="0"/>
        <w:autoSpaceDN w:val="0"/>
        <w:adjustRightInd w:val="0"/>
        <w:spacing w:after="240"/>
        <w:ind w:left="426" w:hanging="426"/>
        <w:rPr>
          <w:rFonts w:cs="Arial"/>
        </w:rPr>
      </w:pPr>
      <w:r w:rsidRPr="00020CC7">
        <w:rPr>
          <w:rFonts w:cs="Arial"/>
        </w:rPr>
        <w:t xml:space="preserve">Pursuant to </w:t>
      </w:r>
      <w:r w:rsidR="001D1D17">
        <w:rPr>
          <w:rFonts w:cs="Arial"/>
        </w:rPr>
        <w:t>Section</w:t>
      </w:r>
      <w:r w:rsidR="008E53F1">
        <w:rPr>
          <w:rFonts w:cs="Arial"/>
        </w:rPr>
        <w:t xml:space="preserve"> 47F(4</w:t>
      </w:r>
      <w:r w:rsidR="00234C5F" w:rsidRPr="00020CC7">
        <w:rPr>
          <w:rFonts w:cs="Arial"/>
        </w:rPr>
        <w:t>)</w:t>
      </w:r>
      <w:r w:rsidR="008E53F1">
        <w:rPr>
          <w:rFonts w:cs="Arial"/>
        </w:rPr>
        <w:t>(d</w:t>
      </w:r>
      <w:r w:rsidRPr="00020CC7">
        <w:rPr>
          <w:rFonts w:cs="Arial"/>
        </w:rPr>
        <w:t xml:space="preserve">) an objection must be lodged within </w:t>
      </w:r>
      <w:r w:rsidR="00E8697C">
        <w:rPr>
          <w:rFonts w:cs="Arial"/>
        </w:rPr>
        <w:t>thirty</w:t>
      </w:r>
      <w:r w:rsidR="00FB1F11" w:rsidRPr="00020CC7">
        <w:rPr>
          <w:rFonts w:cs="Arial"/>
        </w:rPr>
        <w:t> </w:t>
      </w:r>
      <w:r w:rsidRPr="00020CC7">
        <w:rPr>
          <w:rFonts w:cs="Arial"/>
        </w:rPr>
        <w:t>days after the</w:t>
      </w:r>
      <w:r w:rsidR="00F40F25" w:rsidRPr="00020CC7">
        <w:rPr>
          <w:rFonts w:cs="Arial"/>
        </w:rPr>
        <w:t xml:space="preserve"> publication of the last notice, </w:t>
      </w:r>
      <w:r w:rsidR="00AC5F08" w:rsidRPr="00020CC7">
        <w:rPr>
          <w:rFonts w:cs="Arial"/>
        </w:rPr>
        <w:t>namely on or before</w:t>
      </w:r>
      <w:r w:rsidR="00ED21BC">
        <w:rPr>
          <w:rFonts w:cs="Arial"/>
        </w:rPr>
        <w:t xml:space="preserve"> </w:t>
      </w:r>
      <w:r w:rsidR="00535CBE">
        <w:rPr>
          <w:rFonts w:cs="Arial"/>
        </w:rPr>
        <w:t xml:space="preserve">Monday </w:t>
      </w:r>
      <w:r w:rsidR="0057732E">
        <w:rPr>
          <w:rFonts w:cs="Arial"/>
        </w:rPr>
        <w:t>9 June 201</w:t>
      </w:r>
      <w:r w:rsidR="00535CBE">
        <w:rPr>
          <w:rFonts w:cs="Arial"/>
        </w:rPr>
        <w:t>4.</w:t>
      </w:r>
      <w:r w:rsidR="0057732E">
        <w:rPr>
          <w:rFonts w:cs="Arial"/>
        </w:rPr>
        <w:t xml:space="preserve">  It is relevant to note that </w:t>
      </w:r>
      <w:r w:rsidR="00C17503">
        <w:rPr>
          <w:rFonts w:cs="Arial"/>
        </w:rPr>
        <w:t xml:space="preserve">pursuant to section 28(2) of the </w:t>
      </w:r>
      <w:r w:rsidR="00C17503">
        <w:rPr>
          <w:rFonts w:cs="Arial"/>
          <w:i/>
        </w:rPr>
        <w:t xml:space="preserve">Interpretation Act, </w:t>
      </w:r>
      <w:r w:rsidR="0057732E">
        <w:rPr>
          <w:rFonts w:cs="Arial"/>
        </w:rPr>
        <w:t xml:space="preserve">as 9 June 2014 was a public holiday, lodgement of any objection must occur no later than the next week day being in this case, 10 June 2014.  </w:t>
      </w:r>
    </w:p>
    <w:p w:rsidR="006311C9" w:rsidRPr="00020CC7" w:rsidRDefault="001D1D17" w:rsidP="000E1978">
      <w:pPr>
        <w:numPr>
          <w:ilvl w:val="0"/>
          <w:numId w:val="2"/>
        </w:numPr>
        <w:tabs>
          <w:tab w:val="clear" w:pos="794"/>
        </w:tabs>
        <w:autoSpaceDE w:val="0"/>
        <w:autoSpaceDN w:val="0"/>
        <w:adjustRightInd w:val="0"/>
        <w:spacing w:after="120"/>
        <w:ind w:left="426" w:hanging="426"/>
        <w:rPr>
          <w:rFonts w:cs="Arial"/>
        </w:rPr>
      </w:pPr>
      <w:r>
        <w:rPr>
          <w:rFonts w:cs="Arial"/>
        </w:rPr>
        <w:t>Section</w:t>
      </w:r>
      <w:r w:rsidR="006311C9" w:rsidRPr="00020CC7">
        <w:rPr>
          <w:rFonts w:cs="Arial"/>
        </w:rPr>
        <w:t xml:space="preserve"> 47F of </w:t>
      </w:r>
      <w:r w:rsidR="00694F4C">
        <w:rPr>
          <w:rFonts w:cs="Arial"/>
        </w:rPr>
        <w:t>the Act prescribes the circumstances in which an objection may be made, specifies the grounds for objection and identifies the persons entitled to object to a particular application</w:t>
      </w:r>
      <w:r w:rsidR="006311C9" w:rsidRPr="00020CC7">
        <w:rPr>
          <w:rFonts w:cs="Arial"/>
        </w:rPr>
        <w:t xml:space="preserve"> -</w:t>
      </w:r>
    </w:p>
    <w:p w:rsidR="00316DC6" w:rsidRPr="00020CC7" w:rsidRDefault="00316DC6" w:rsidP="000E1978">
      <w:pPr>
        <w:spacing w:after="120"/>
        <w:ind w:left="1276" w:right="495" w:hanging="425"/>
        <w:rPr>
          <w:rFonts w:cs="Arial"/>
          <w:i/>
        </w:rPr>
      </w:pPr>
      <w:r w:rsidRPr="00020CC7">
        <w:rPr>
          <w:rFonts w:cs="Arial"/>
          <w:b/>
          <w:bCs/>
          <w:i/>
        </w:rPr>
        <w:t>47F</w:t>
      </w:r>
      <w:bookmarkStart w:id="1" w:name="47F.%20Person%20may%20object%20to%20cert"/>
      <w:bookmarkEnd w:id="1"/>
      <w:r w:rsidR="006E2053">
        <w:rPr>
          <w:rFonts w:cs="Arial"/>
          <w:b/>
          <w:bCs/>
          <w:i/>
        </w:rPr>
        <w:t xml:space="preserve"> </w:t>
      </w:r>
      <w:r w:rsidRPr="00020CC7">
        <w:rPr>
          <w:rFonts w:cs="Arial"/>
          <w:b/>
          <w:bCs/>
          <w:i/>
        </w:rPr>
        <w:t>Person may object to certain applications</w:t>
      </w:r>
      <w:r w:rsidRPr="00020CC7">
        <w:rPr>
          <w:rFonts w:cs="Arial"/>
          <w:i/>
        </w:rPr>
        <w:t xml:space="preserve"> </w:t>
      </w:r>
    </w:p>
    <w:p w:rsidR="00316DC6" w:rsidRPr="00020CC7" w:rsidRDefault="00316DC6" w:rsidP="000E1978">
      <w:pPr>
        <w:spacing w:after="120"/>
        <w:ind w:left="1276" w:right="495" w:hanging="425"/>
        <w:rPr>
          <w:rFonts w:cs="Arial"/>
          <w:i/>
        </w:rPr>
      </w:pPr>
      <w:r w:rsidRPr="00020CC7">
        <w:rPr>
          <w:rFonts w:cs="Arial"/>
          <w:i/>
        </w:rPr>
        <w:t>(1)</w:t>
      </w:r>
      <w:r w:rsidR="000E1978">
        <w:rPr>
          <w:rFonts w:cs="Arial"/>
          <w:i/>
        </w:rPr>
        <w:tab/>
      </w:r>
      <w:r w:rsidRPr="00020CC7">
        <w:rPr>
          <w:rFonts w:cs="Arial"/>
          <w:i/>
        </w:rPr>
        <w:t xml:space="preserve">Subject to this </w:t>
      </w:r>
      <w:r w:rsidR="001D1D17">
        <w:rPr>
          <w:rFonts w:cs="Arial"/>
          <w:i/>
        </w:rPr>
        <w:t>Section</w:t>
      </w:r>
      <w:r w:rsidRPr="00020CC7">
        <w:rPr>
          <w:rFonts w:cs="Arial"/>
          <w:i/>
        </w:rPr>
        <w:t>, a person, organisation or group may make an objection to the following applications:</w:t>
      </w:r>
      <w:r w:rsidR="0057732E">
        <w:rPr>
          <w:rFonts w:cs="Arial"/>
          <w:i/>
        </w:rPr>
        <w:t xml:space="preserve"> </w:t>
      </w:r>
      <w:r w:rsidRPr="00020CC7">
        <w:rPr>
          <w:rFonts w:cs="Arial"/>
          <w:i/>
        </w:rPr>
        <w:t xml:space="preserve"> </w:t>
      </w:r>
    </w:p>
    <w:p w:rsidR="00FB1F11" w:rsidRDefault="00316DC6" w:rsidP="000E1978">
      <w:pPr>
        <w:spacing w:after="120"/>
        <w:ind w:left="1701" w:right="495" w:hanging="425"/>
        <w:rPr>
          <w:rFonts w:cs="Arial"/>
          <w:i/>
        </w:rPr>
      </w:pPr>
      <w:r w:rsidRPr="00020CC7">
        <w:rPr>
          <w:rFonts w:cs="Arial"/>
          <w:i/>
        </w:rPr>
        <w:t>(</w:t>
      </w:r>
      <w:r w:rsidR="0057732E">
        <w:rPr>
          <w:rFonts w:cs="Arial"/>
          <w:i/>
        </w:rPr>
        <w:t>b</w:t>
      </w:r>
      <w:r w:rsidRPr="00020CC7">
        <w:rPr>
          <w:rFonts w:cs="Arial"/>
          <w:i/>
        </w:rPr>
        <w:t>)</w:t>
      </w:r>
      <w:r w:rsidR="000E1978">
        <w:rPr>
          <w:rFonts w:cs="Arial"/>
          <w:i/>
        </w:rPr>
        <w:tab/>
      </w:r>
      <w:proofErr w:type="gramStart"/>
      <w:r w:rsidRPr="00020CC7">
        <w:rPr>
          <w:rFonts w:cs="Arial"/>
          <w:i/>
        </w:rPr>
        <w:t>an</w:t>
      </w:r>
      <w:proofErr w:type="gramEnd"/>
      <w:r w:rsidRPr="00020CC7">
        <w:rPr>
          <w:rFonts w:cs="Arial"/>
          <w:i/>
        </w:rPr>
        <w:t xml:space="preserve"> application for </w:t>
      </w:r>
      <w:r w:rsidR="0057732E">
        <w:rPr>
          <w:rFonts w:cs="Arial"/>
          <w:i/>
        </w:rPr>
        <w:t>a variation of the conditions of a licenced, as notified under section 32A</w:t>
      </w:r>
      <w:r w:rsidRPr="00020CC7">
        <w:rPr>
          <w:rFonts w:cs="Arial"/>
          <w:i/>
        </w:rPr>
        <w:t xml:space="preserve">; </w:t>
      </w:r>
    </w:p>
    <w:p w:rsidR="00316DC6" w:rsidRPr="00020CC7" w:rsidRDefault="00316DC6" w:rsidP="000E1978">
      <w:pPr>
        <w:spacing w:after="120"/>
        <w:ind w:left="1276" w:right="495" w:hanging="425"/>
        <w:rPr>
          <w:rFonts w:cs="Arial"/>
          <w:i/>
        </w:rPr>
      </w:pPr>
      <w:r w:rsidRPr="00020CC7">
        <w:rPr>
          <w:rFonts w:cs="Arial"/>
          <w:i/>
        </w:rPr>
        <w:t>(2)</w:t>
      </w:r>
      <w:r w:rsidR="000E1978">
        <w:rPr>
          <w:rFonts w:cs="Arial"/>
          <w:i/>
        </w:rPr>
        <w:tab/>
      </w:r>
      <w:r w:rsidRPr="00020CC7">
        <w:rPr>
          <w:rFonts w:cs="Arial"/>
          <w:i/>
        </w:rPr>
        <w:t xml:space="preserve">The objection may only be made on the ground that the grant of the licence, variation of conditions, substitution of other premises or material alteration may or will adversely affect – </w:t>
      </w:r>
    </w:p>
    <w:p w:rsidR="00FB1F11" w:rsidRPr="00020CC7" w:rsidRDefault="00316DC6" w:rsidP="000E1978">
      <w:pPr>
        <w:spacing w:after="120"/>
        <w:ind w:left="1701" w:right="495" w:hanging="425"/>
        <w:rPr>
          <w:rFonts w:cs="Arial"/>
          <w:i/>
        </w:rPr>
      </w:pPr>
      <w:r w:rsidRPr="00020CC7">
        <w:rPr>
          <w:rFonts w:cs="Arial"/>
          <w:i/>
        </w:rPr>
        <w:t>(a)</w:t>
      </w:r>
      <w:r w:rsidR="000E1978">
        <w:rPr>
          <w:rFonts w:cs="Arial"/>
          <w:i/>
        </w:rPr>
        <w:tab/>
      </w:r>
      <w:proofErr w:type="gramStart"/>
      <w:r w:rsidRPr="00020CC7">
        <w:rPr>
          <w:rFonts w:cs="Arial"/>
          <w:i/>
        </w:rPr>
        <w:t>the</w:t>
      </w:r>
      <w:proofErr w:type="gramEnd"/>
      <w:r w:rsidRPr="00020CC7">
        <w:rPr>
          <w:rFonts w:cs="Arial"/>
          <w:i/>
        </w:rPr>
        <w:t xml:space="preserve"> amenity of the neighbourhood where the premises the subject of the application are or will be located; or </w:t>
      </w:r>
    </w:p>
    <w:p w:rsidR="00316DC6" w:rsidRPr="00020CC7" w:rsidRDefault="00316DC6" w:rsidP="000E1978">
      <w:pPr>
        <w:spacing w:after="120"/>
        <w:ind w:left="1701" w:right="495" w:hanging="425"/>
        <w:rPr>
          <w:rFonts w:cs="Arial"/>
          <w:i/>
        </w:rPr>
      </w:pPr>
      <w:r w:rsidRPr="00020CC7">
        <w:rPr>
          <w:rFonts w:cs="Arial"/>
          <w:i/>
        </w:rPr>
        <w:t>(b)</w:t>
      </w:r>
      <w:r w:rsidR="000E1978">
        <w:rPr>
          <w:rFonts w:cs="Arial"/>
          <w:i/>
        </w:rPr>
        <w:tab/>
      </w:r>
      <w:proofErr w:type="gramStart"/>
      <w:r w:rsidRPr="00020CC7">
        <w:rPr>
          <w:rFonts w:cs="Arial"/>
          <w:i/>
        </w:rPr>
        <w:t>health</w:t>
      </w:r>
      <w:proofErr w:type="gramEnd"/>
      <w:r w:rsidRPr="00020CC7">
        <w:rPr>
          <w:rFonts w:cs="Arial"/>
          <w:i/>
        </w:rPr>
        <w:t>, education, public safety or social conditions in the community.</w:t>
      </w:r>
    </w:p>
    <w:p w:rsidR="00316DC6" w:rsidRPr="00020CC7" w:rsidRDefault="00955DA8" w:rsidP="000E1978">
      <w:pPr>
        <w:spacing w:after="120"/>
        <w:ind w:left="1276" w:right="495" w:hanging="425"/>
        <w:rPr>
          <w:rFonts w:cs="Arial"/>
          <w:i/>
        </w:rPr>
      </w:pPr>
      <w:r>
        <w:rPr>
          <w:rFonts w:cs="Arial"/>
          <w:i/>
        </w:rPr>
        <w:t>(3)</w:t>
      </w:r>
      <w:r w:rsidR="000E1978">
        <w:rPr>
          <w:rFonts w:cs="Arial"/>
          <w:i/>
        </w:rPr>
        <w:tab/>
      </w:r>
      <w:r w:rsidR="00316DC6" w:rsidRPr="00020CC7">
        <w:rPr>
          <w:rFonts w:cs="Arial"/>
          <w:i/>
        </w:rPr>
        <w:t xml:space="preserve">Only the following persons, organisations or groups may make an objection under </w:t>
      </w:r>
      <w:r w:rsidR="00360683" w:rsidRPr="00020CC7">
        <w:rPr>
          <w:rFonts w:cs="Arial"/>
          <w:i/>
        </w:rPr>
        <w:t>sub</w:t>
      </w:r>
      <w:r w:rsidR="00360683">
        <w:rPr>
          <w:rFonts w:cs="Arial"/>
          <w:i/>
        </w:rPr>
        <w:t>-</w:t>
      </w:r>
      <w:r w:rsidR="001D1D17">
        <w:rPr>
          <w:rFonts w:cs="Arial"/>
          <w:i/>
        </w:rPr>
        <w:t>Section</w:t>
      </w:r>
      <w:r w:rsidR="00316DC6" w:rsidRPr="00020CC7">
        <w:rPr>
          <w:rFonts w:cs="Arial"/>
          <w:i/>
        </w:rPr>
        <w:t xml:space="preserve"> (1): </w:t>
      </w:r>
    </w:p>
    <w:p w:rsidR="00316DC6" w:rsidRPr="00020CC7" w:rsidRDefault="00316DC6" w:rsidP="000E1978">
      <w:pPr>
        <w:spacing w:after="120"/>
        <w:ind w:left="1701" w:right="495" w:hanging="425"/>
        <w:rPr>
          <w:rFonts w:cs="Arial"/>
          <w:i/>
        </w:rPr>
      </w:pPr>
      <w:r w:rsidRPr="00020CC7">
        <w:rPr>
          <w:rFonts w:cs="Arial"/>
          <w:i/>
        </w:rPr>
        <w:t>(a)</w:t>
      </w:r>
      <w:r w:rsidR="000E1978">
        <w:rPr>
          <w:rFonts w:cs="Arial"/>
          <w:i/>
        </w:rPr>
        <w:tab/>
      </w:r>
      <w:proofErr w:type="gramStart"/>
      <w:r w:rsidRPr="00020CC7">
        <w:rPr>
          <w:rFonts w:cs="Arial"/>
          <w:i/>
        </w:rPr>
        <w:t>a</w:t>
      </w:r>
      <w:proofErr w:type="gramEnd"/>
      <w:r w:rsidRPr="00020CC7">
        <w:rPr>
          <w:rFonts w:cs="Arial"/>
          <w:i/>
        </w:rPr>
        <w:t xml:space="preserve"> person residing or working in the neighbourhood where the premises the subject of the application are or will be located; </w:t>
      </w:r>
    </w:p>
    <w:p w:rsidR="00316DC6" w:rsidRPr="00020CC7" w:rsidRDefault="00316DC6" w:rsidP="000E1978">
      <w:pPr>
        <w:spacing w:after="120"/>
        <w:ind w:left="1701" w:right="495" w:hanging="425"/>
        <w:rPr>
          <w:rFonts w:cs="Arial"/>
          <w:i/>
        </w:rPr>
      </w:pPr>
      <w:r w:rsidRPr="00020CC7">
        <w:rPr>
          <w:rFonts w:cs="Arial"/>
          <w:i/>
        </w:rPr>
        <w:t>(b)</w:t>
      </w:r>
      <w:r w:rsidR="000E1978">
        <w:rPr>
          <w:rFonts w:cs="Arial"/>
          <w:i/>
        </w:rPr>
        <w:tab/>
      </w:r>
      <w:r w:rsidRPr="00020CC7">
        <w:rPr>
          <w:rFonts w:cs="Arial"/>
          <w:i/>
        </w:rPr>
        <w:t xml:space="preserve">a person holding an estate in fee simple in land, or a lease over land, in the neighbourhood where the premises the subject of the application are or will be located; </w:t>
      </w:r>
    </w:p>
    <w:p w:rsidR="00316DC6" w:rsidRPr="00020CC7" w:rsidRDefault="00316DC6" w:rsidP="000E1978">
      <w:pPr>
        <w:spacing w:after="120"/>
        <w:ind w:left="1701" w:right="495" w:hanging="425"/>
        <w:rPr>
          <w:rFonts w:cs="Arial"/>
          <w:i/>
        </w:rPr>
      </w:pPr>
      <w:r w:rsidRPr="00020CC7">
        <w:rPr>
          <w:rFonts w:cs="Arial"/>
          <w:i/>
        </w:rPr>
        <w:lastRenderedPageBreak/>
        <w:t>(c)</w:t>
      </w:r>
      <w:r w:rsidR="000E1978">
        <w:rPr>
          <w:rFonts w:cs="Arial"/>
          <w:i/>
        </w:rPr>
        <w:tab/>
      </w:r>
      <w:proofErr w:type="gramStart"/>
      <w:r w:rsidRPr="00020CC7">
        <w:rPr>
          <w:rFonts w:cs="Arial"/>
          <w:i/>
        </w:rPr>
        <w:t>a</w:t>
      </w:r>
      <w:proofErr w:type="gramEnd"/>
      <w:r w:rsidRPr="00020CC7">
        <w:rPr>
          <w:rFonts w:cs="Arial"/>
          <w:i/>
        </w:rPr>
        <w:t xml:space="preserve"> member or employee of the Police Force acting in that capacity; </w:t>
      </w:r>
    </w:p>
    <w:p w:rsidR="00316DC6" w:rsidRPr="00020CC7" w:rsidRDefault="00316DC6" w:rsidP="000E1978">
      <w:pPr>
        <w:spacing w:after="120"/>
        <w:ind w:left="1701" w:right="495" w:hanging="425"/>
        <w:rPr>
          <w:rFonts w:cs="Arial"/>
          <w:i/>
        </w:rPr>
      </w:pPr>
      <w:r w:rsidRPr="00020CC7">
        <w:rPr>
          <w:rFonts w:cs="Arial"/>
          <w:i/>
        </w:rPr>
        <w:t>(d)</w:t>
      </w:r>
      <w:r w:rsidR="000E1978">
        <w:rPr>
          <w:rFonts w:cs="Arial"/>
          <w:i/>
        </w:rPr>
        <w:tab/>
      </w:r>
      <w:proofErr w:type="gramStart"/>
      <w:r w:rsidRPr="00020CC7">
        <w:rPr>
          <w:rFonts w:cs="Arial"/>
          <w:i/>
        </w:rPr>
        <w:t>a</w:t>
      </w:r>
      <w:proofErr w:type="gramEnd"/>
      <w:r w:rsidRPr="00020CC7">
        <w:rPr>
          <w:rFonts w:cs="Arial"/>
          <w:i/>
        </w:rPr>
        <w:t xml:space="preserve"> member or employee of the Fire and Rescue Service within the meaning of the </w:t>
      </w:r>
      <w:r w:rsidRPr="00020CC7">
        <w:rPr>
          <w:rFonts w:cs="Arial"/>
          <w:i/>
          <w:iCs/>
        </w:rPr>
        <w:t>Fire and Emergency Act</w:t>
      </w:r>
      <w:r w:rsidRPr="00020CC7">
        <w:rPr>
          <w:rFonts w:cs="Arial"/>
          <w:i/>
        </w:rPr>
        <w:t xml:space="preserve"> acting in that capacity; </w:t>
      </w:r>
    </w:p>
    <w:p w:rsidR="00316DC6" w:rsidRPr="00020CC7" w:rsidRDefault="00316DC6" w:rsidP="000E1978">
      <w:pPr>
        <w:spacing w:after="120"/>
        <w:ind w:left="1701" w:right="495" w:hanging="425"/>
        <w:rPr>
          <w:rFonts w:cs="Arial"/>
          <w:i/>
        </w:rPr>
      </w:pPr>
      <w:r w:rsidRPr="00020CC7">
        <w:rPr>
          <w:rFonts w:cs="Arial"/>
          <w:i/>
        </w:rPr>
        <w:t>(e)</w:t>
      </w:r>
      <w:r w:rsidR="000E1978">
        <w:rPr>
          <w:rFonts w:cs="Arial"/>
          <w:i/>
        </w:rPr>
        <w:tab/>
      </w:r>
      <w:proofErr w:type="gramStart"/>
      <w:r w:rsidRPr="00020CC7">
        <w:rPr>
          <w:rFonts w:cs="Arial"/>
          <w:i/>
        </w:rPr>
        <w:t>an</w:t>
      </w:r>
      <w:proofErr w:type="gramEnd"/>
      <w:r w:rsidRPr="00020CC7">
        <w:rPr>
          <w:rFonts w:cs="Arial"/>
          <w:i/>
        </w:rPr>
        <w:t xml:space="preserve"> Agency or public authority that performs functions relating to public amenities, including health, education and public safety; </w:t>
      </w:r>
    </w:p>
    <w:p w:rsidR="00891C34" w:rsidRDefault="00316DC6" w:rsidP="000E1978">
      <w:pPr>
        <w:spacing w:after="240"/>
        <w:ind w:left="1701" w:right="495" w:hanging="425"/>
        <w:rPr>
          <w:rFonts w:cs="Arial"/>
          <w:i/>
        </w:rPr>
      </w:pPr>
      <w:r w:rsidRPr="00020CC7">
        <w:rPr>
          <w:rFonts w:cs="Arial"/>
          <w:i/>
        </w:rPr>
        <w:t>(f)</w:t>
      </w:r>
      <w:r w:rsidR="000E1978">
        <w:rPr>
          <w:rFonts w:cs="Arial"/>
          <w:i/>
        </w:rPr>
        <w:tab/>
      </w:r>
      <w:proofErr w:type="gramStart"/>
      <w:r w:rsidRPr="00020CC7">
        <w:rPr>
          <w:rFonts w:cs="Arial"/>
          <w:i/>
        </w:rPr>
        <w:t>a</w:t>
      </w:r>
      <w:proofErr w:type="gramEnd"/>
      <w:r w:rsidRPr="00020CC7">
        <w:rPr>
          <w:rFonts w:cs="Arial"/>
          <w:i/>
        </w:rPr>
        <w:t xml:space="preserve"> community-based organisation or group (for example, a local action </w:t>
      </w:r>
      <w:r w:rsidRPr="00EB7701">
        <w:rPr>
          <w:rFonts w:cs="Arial"/>
          <w:i/>
        </w:rPr>
        <w:t>group or a charity).</w:t>
      </w:r>
    </w:p>
    <w:p w:rsidR="00C17503" w:rsidRDefault="0057732E" w:rsidP="0051102E">
      <w:pPr>
        <w:numPr>
          <w:ilvl w:val="0"/>
          <w:numId w:val="2"/>
        </w:numPr>
        <w:tabs>
          <w:tab w:val="clear" w:pos="794"/>
        </w:tabs>
        <w:autoSpaceDE w:val="0"/>
        <w:autoSpaceDN w:val="0"/>
        <w:adjustRightInd w:val="0"/>
        <w:spacing w:after="240"/>
        <w:ind w:left="426" w:hanging="426"/>
        <w:rPr>
          <w:rFonts w:cs="Arial"/>
          <w:bCs/>
        </w:rPr>
      </w:pPr>
      <w:r>
        <w:rPr>
          <w:rFonts w:cs="Arial"/>
          <w:bCs/>
        </w:rPr>
        <w:t xml:space="preserve">One </w:t>
      </w:r>
      <w:r w:rsidR="00ED21BC" w:rsidRPr="00EB7701">
        <w:rPr>
          <w:rFonts w:cs="Arial"/>
          <w:bCs/>
        </w:rPr>
        <w:t>objection</w:t>
      </w:r>
      <w:r w:rsidR="00B10542">
        <w:rPr>
          <w:rFonts w:cs="Arial"/>
          <w:bCs/>
        </w:rPr>
        <w:t xml:space="preserve"> ha</w:t>
      </w:r>
      <w:r>
        <w:rPr>
          <w:rFonts w:cs="Arial"/>
          <w:bCs/>
        </w:rPr>
        <w:t>s</w:t>
      </w:r>
      <w:r w:rsidR="00955DA8">
        <w:rPr>
          <w:rFonts w:cs="Arial"/>
          <w:bCs/>
        </w:rPr>
        <w:t xml:space="preserve"> been lodged in response to the application and the applicant has provi</w:t>
      </w:r>
      <w:r w:rsidR="00172EFE">
        <w:rPr>
          <w:rFonts w:cs="Arial"/>
          <w:bCs/>
        </w:rPr>
        <w:t>ded a response to th</w:t>
      </w:r>
      <w:r w:rsidR="005E1BBC">
        <w:rPr>
          <w:rFonts w:cs="Arial"/>
          <w:bCs/>
        </w:rPr>
        <w:t xml:space="preserve">at </w:t>
      </w:r>
      <w:r w:rsidR="00ED21BC">
        <w:rPr>
          <w:rFonts w:cs="Arial"/>
          <w:bCs/>
        </w:rPr>
        <w:t>objection</w:t>
      </w:r>
      <w:r w:rsidR="00535CBE">
        <w:rPr>
          <w:rFonts w:cs="Arial"/>
          <w:bCs/>
        </w:rPr>
        <w:t xml:space="preserve"> pursuant to Section </w:t>
      </w:r>
      <w:r w:rsidR="00955DA8">
        <w:rPr>
          <w:rFonts w:cs="Arial"/>
          <w:bCs/>
        </w:rPr>
        <w:t xml:space="preserve">47G of the Act.  </w:t>
      </w:r>
    </w:p>
    <w:p w:rsidR="00E836C2" w:rsidRDefault="00955DA8" w:rsidP="0051102E">
      <w:pPr>
        <w:numPr>
          <w:ilvl w:val="0"/>
          <w:numId w:val="2"/>
        </w:numPr>
        <w:tabs>
          <w:tab w:val="clear" w:pos="794"/>
        </w:tabs>
        <w:autoSpaceDE w:val="0"/>
        <w:autoSpaceDN w:val="0"/>
        <w:adjustRightInd w:val="0"/>
        <w:spacing w:after="240"/>
        <w:ind w:left="426" w:hanging="426"/>
        <w:rPr>
          <w:rFonts w:cs="Arial"/>
          <w:bCs/>
        </w:rPr>
      </w:pPr>
      <w:r>
        <w:rPr>
          <w:rFonts w:cs="Arial"/>
          <w:bCs/>
        </w:rPr>
        <w:t xml:space="preserve">Under Section 47I of the Act the Commission must determine whether </w:t>
      </w:r>
      <w:r w:rsidR="0057732E">
        <w:rPr>
          <w:rFonts w:cs="Arial"/>
          <w:bCs/>
        </w:rPr>
        <w:t xml:space="preserve">the </w:t>
      </w:r>
      <w:r>
        <w:rPr>
          <w:rFonts w:cs="Arial"/>
          <w:bCs/>
        </w:rPr>
        <w:t xml:space="preserve">objection received </w:t>
      </w:r>
      <w:r w:rsidR="0057732E">
        <w:rPr>
          <w:rFonts w:cs="Arial"/>
          <w:bCs/>
        </w:rPr>
        <w:t>is</w:t>
      </w:r>
      <w:r>
        <w:rPr>
          <w:rFonts w:cs="Arial"/>
          <w:bCs/>
        </w:rPr>
        <w:t xml:space="preserve"> to proceed to Hearing.</w:t>
      </w:r>
    </w:p>
    <w:p w:rsidR="00047C0D" w:rsidRPr="001229CF" w:rsidRDefault="001229CF" w:rsidP="001229CF">
      <w:pPr>
        <w:pStyle w:val="Heading2"/>
      </w:pPr>
      <w:r w:rsidRPr="001229CF">
        <w:t>CONSIDERATION OF THE OBJECTION RECEIVED</w:t>
      </w:r>
      <w:r w:rsidR="00A47550" w:rsidRPr="001229CF">
        <w:t xml:space="preserve"> </w:t>
      </w:r>
    </w:p>
    <w:p w:rsidR="00A10743" w:rsidRDefault="00A10743" w:rsidP="000E1978">
      <w:pPr>
        <w:pStyle w:val="Heading3"/>
        <w:spacing w:before="0"/>
      </w:pPr>
      <w:r w:rsidRPr="008E6F37">
        <w:t>Objection from Mr P</w:t>
      </w:r>
      <w:r w:rsidR="00C17503">
        <w:t>aul Walsh</w:t>
      </w:r>
    </w:p>
    <w:p w:rsidR="00A10743" w:rsidRDefault="00A10743" w:rsidP="0051102E">
      <w:pPr>
        <w:numPr>
          <w:ilvl w:val="0"/>
          <w:numId w:val="2"/>
        </w:numPr>
        <w:tabs>
          <w:tab w:val="clear" w:pos="794"/>
        </w:tabs>
        <w:autoSpaceDE w:val="0"/>
        <w:autoSpaceDN w:val="0"/>
        <w:adjustRightInd w:val="0"/>
        <w:spacing w:after="240"/>
        <w:ind w:left="426" w:hanging="426"/>
        <w:rPr>
          <w:rFonts w:cs="Arial"/>
          <w:bCs/>
        </w:rPr>
      </w:pPr>
      <w:r>
        <w:rPr>
          <w:rFonts w:cs="Arial"/>
          <w:bCs/>
        </w:rPr>
        <w:t xml:space="preserve">Mr </w:t>
      </w:r>
      <w:r w:rsidR="00C17503">
        <w:rPr>
          <w:rFonts w:cs="Arial"/>
          <w:bCs/>
        </w:rPr>
        <w:t xml:space="preserve">Walsh </w:t>
      </w:r>
      <w:r>
        <w:rPr>
          <w:rFonts w:cs="Arial"/>
          <w:bCs/>
        </w:rPr>
        <w:t xml:space="preserve">is a resident of </w:t>
      </w:r>
      <w:r w:rsidR="00C17503">
        <w:rPr>
          <w:rFonts w:cs="Arial"/>
          <w:bCs/>
        </w:rPr>
        <w:t xml:space="preserve">the neighbourhood within in which the premise is located </w:t>
      </w:r>
      <w:r>
        <w:rPr>
          <w:rFonts w:cs="Arial"/>
          <w:bCs/>
        </w:rPr>
        <w:t>and therefore has standing to object.</w:t>
      </w:r>
    </w:p>
    <w:p w:rsidR="00A10743" w:rsidRPr="005E1BBC" w:rsidRDefault="00A10743" w:rsidP="0051102E">
      <w:pPr>
        <w:numPr>
          <w:ilvl w:val="0"/>
          <w:numId w:val="2"/>
        </w:numPr>
        <w:tabs>
          <w:tab w:val="clear" w:pos="794"/>
        </w:tabs>
        <w:autoSpaceDE w:val="0"/>
        <w:autoSpaceDN w:val="0"/>
        <w:adjustRightInd w:val="0"/>
        <w:spacing w:after="240"/>
        <w:ind w:left="426" w:hanging="426"/>
        <w:rPr>
          <w:rFonts w:cs="Arial"/>
          <w:bCs/>
        </w:rPr>
      </w:pPr>
      <w:r>
        <w:rPr>
          <w:rFonts w:cs="Arial"/>
        </w:rPr>
        <w:t xml:space="preserve">The objection was received on </w:t>
      </w:r>
      <w:r w:rsidR="00C17503">
        <w:rPr>
          <w:rFonts w:cs="Arial"/>
        </w:rPr>
        <w:t>10 June</w:t>
      </w:r>
      <w:r>
        <w:rPr>
          <w:rFonts w:cs="Arial"/>
        </w:rPr>
        <w:t xml:space="preserve"> 2014 and is therefore within the time allowed within which to lodge an objection</w:t>
      </w:r>
      <w:r w:rsidR="005E1BBC">
        <w:rPr>
          <w:rFonts w:cs="Arial"/>
        </w:rPr>
        <w:t xml:space="preserve"> noting as above that 9 June 2014 was a public holiday</w:t>
      </w:r>
      <w:r>
        <w:rPr>
          <w:rFonts w:cs="Arial"/>
        </w:rPr>
        <w:t>.</w:t>
      </w:r>
    </w:p>
    <w:p w:rsidR="00C17503" w:rsidRPr="005E1BBC" w:rsidRDefault="00A10743" w:rsidP="000E1978">
      <w:pPr>
        <w:numPr>
          <w:ilvl w:val="0"/>
          <w:numId w:val="2"/>
        </w:numPr>
        <w:tabs>
          <w:tab w:val="clear" w:pos="794"/>
        </w:tabs>
        <w:autoSpaceDE w:val="0"/>
        <w:autoSpaceDN w:val="0"/>
        <w:adjustRightInd w:val="0"/>
        <w:spacing w:after="120"/>
        <w:ind w:left="426" w:hanging="426"/>
        <w:rPr>
          <w:rFonts w:cs="Arial"/>
          <w:bCs/>
        </w:rPr>
      </w:pPr>
      <w:r w:rsidRPr="005E1BBC">
        <w:rPr>
          <w:rFonts w:cs="Arial"/>
          <w:bCs/>
        </w:rPr>
        <w:t xml:space="preserve">The objection raises </w:t>
      </w:r>
      <w:r w:rsidR="00C17503" w:rsidRPr="005E1BBC">
        <w:rPr>
          <w:rFonts w:cs="Arial"/>
          <w:bCs/>
        </w:rPr>
        <w:t xml:space="preserve">the </w:t>
      </w:r>
      <w:r w:rsidR="005E1BBC" w:rsidRPr="005E1BBC">
        <w:rPr>
          <w:rFonts w:cs="Arial"/>
          <w:bCs/>
        </w:rPr>
        <w:t xml:space="preserve">concern that </w:t>
      </w:r>
      <w:r w:rsidR="00C17503" w:rsidRPr="005E1BBC">
        <w:rPr>
          <w:rFonts w:cs="Arial"/>
          <w:bCs/>
        </w:rPr>
        <w:t xml:space="preserve">the current amenity of the objector’s home life and neighbourhood </w:t>
      </w:r>
      <w:r w:rsidR="00C17503" w:rsidRPr="005E1BBC">
        <w:rPr>
          <w:rFonts w:cs="Arial"/>
          <w:bCs/>
          <w:i/>
        </w:rPr>
        <w:t>“generally has been severely disturbed by the excessive noise coming from and generated by the Asian Gateway”;</w:t>
      </w:r>
    </w:p>
    <w:p w:rsidR="00F23A3A" w:rsidRDefault="00F23A3A" w:rsidP="0051102E">
      <w:pPr>
        <w:autoSpaceDE w:val="0"/>
        <w:autoSpaceDN w:val="0"/>
        <w:adjustRightInd w:val="0"/>
        <w:spacing w:after="120"/>
        <w:ind w:left="426" w:right="360"/>
        <w:rPr>
          <w:rFonts w:cs="Arial"/>
          <w:bCs/>
        </w:rPr>
      </w:pPr>
      <w:r>
        <w:rPr>
          <w:rFonts w:cs="Arial"/>
          <w:bCs/>
        </w:rPr>
        <w:t>The objector states that the noise is caused by a number of factors including:</w:t>
      </w:r>
    </w:p>
    <w:p w:rsidR="00F23A3A" w:rsidRPr="005E1BBC" w:rsidRDefault="00F23A3A" w:rsidP="0051102E">
      <w:pPr>
        <w:pStyle w:val="ListParagraph"/>
        <w:numPr>
          <w:ilvl w:val="0"/>
          <w:numId w:val="47"/>
        </w:numPr>
        <w:autoSpaceDE w:val="0"/>
        <w:autoSpaceDN w:val="0"/>
        <w:adjustRightInd w:val="0"/>
        <w:spacing w:after="120"/>
        <w:ind w:left="1135" w:hanging="284"/>
        <w:contextualSpacing w:val="0"/>
        <w:rPr>
          <w:rFonts w:ascii="Arial" w:hAnsi="Arial" w:cs="Arial"/>
          <w:bCs/>
          <w:sz w:val="24"/>
          <w:szCs w:val="24"/>
        </w:rPr>
      </w:pPr>
      <w:r w:rsidRPr="005E1BBC">
        <w:rPr>
          <w:rFonts w:ascii="Arial" w:hAnsi="Arial" w:cs="Arial"/>
          <w:bCs/>
          <w:sz w:val="24"/>
          <w:szCs w:val="24"/>
        </w:rPr>
        <w:t>patrons arriving at and leaving the premise;</w:t>
      </w:r>
    </w:p>
    <w:p w:rsidR="00F23A3A" w:rsidRPr="005E1BBC" w:rsidRDefault="00F23A3A" w:rsidP="0051102E">
      <w:pPr>
        <w:pStyle w:val="ListParagraph"/>
        <w:numPr>
          <w:ilvl w:val="0"/>
          <w:numId w:val="47"/>
        </w:numPr>
        <w:autoSpaceDE w:val="0"/>
        <w:autoSpaceDN w:val="0"/>
        <w:adjustRightInd w:val="0"/>
        <w:spacing w:after="120"/>
        <w:ind w:left="1135" w:hanging="284"/>
        <w:contextualSpacing w:val="0"/>
        <w:rPr>
          <w:rFonts w:ascii="Arial" w:hAnsi="Arial" w:cs="Arial"/>
          <w:bCs/>
          <w:sz w:val="24"/>
          <w:szCs w:val="24"/>
        </w:rPr>
      </w:pPr>
      <w:r w:rsidRPr="005E1BBC">
        <w:rPr>
          <w:rFonts w:ascii="Arial" w:hAnsi="Arial" w:cs="Arial"/>
          <w:bCs/>
          <w:sz w:val="24"/>
          <w:szCs w:val="24"/>
        </w:rPr>
        <w:t>staff who yell loudly in the food preparation areas;</w:t>
      </w:r>
    </w:p>
    <w:p w:rsidR="00F23A3A" w:rsidRPr="005E1BBC" w:rsidRDefault="00F23A3A" w:rsidP="0051102E">
      <w:pPr>
        <w:pStyle w:val="ListParagraph"/>
        <w:numPr>
          <w:ilvl w:val="0"/>
          <w:numId w:val="47"/>
        </w:numPr>
        <w:autoSpaceDE w:val="0"/>
        <w:autoSpaceDN w:val="0"/>
        <w:adjustRightInd w:val="0"/>
        <w:spacing w:after="120"/>
        <w:ind w:left="1135" w:hanging="284"/>
        <w:contextualSpacing w:val="0"/>
        <w:rPr>
          <w:rFonts w:ascii="Arial" w:hAnsi="Arial" w:cs="Arial"/>
          <w:bCs/>
          <w:sz w:val="24"/>
          <w:szCs w:val="24"/>
        </w:rPr>
      </w:pPr>
      <w:r w:rsidRPr="005E1BBC">
        <w:rPr>
          <w:rFonts w:ascii="Arial" w:hAnsi="Arial" w:cs="Arial"/>
          <w:bCs/>
          <w:sz w:val="24"/>
          <w:szCs w:val="24"/>
        </w:rPr>
        <w:t>the use of high pressure water blasters in and outside the premise; and</w:t>
      </w:r>
    </w:p>
    <w:p w:rsidR="00F23A3A" w:rsidRPr="005E1BBC" w:rsidRDefault="00F23A3A" w:rsidP="0051102E">
      <w:pPr>
        <w:pStyle w:val="ListParagraph"/>
        <w:numPr>
          <w:ilvl w:val="0"/>
          <w:numId w:val="47"/>
        </w:numPr>
        <w:autoSpaceDE w:val="0"/>
        <w:autoSpaceDN w:val="0"/>
        <w:adjustRightInd w:val="0"/>
        <w:spacing w:after="240"/>
        <w:ind w:left="1134" w:hanging="283"/>
        <w:rPr>
          <w:rFonts w:ascii="Arial" w:hAnsi="Arial" w:cs="Arial"/>
          <w:bCs/>
          <w:sz w:val="24"/>
          <w:szCs w:val="24"/>
        </w:rPr>
      </w:pPr>
      <w:r w:rsidRPr="005E1BBC">
        <w:rPr>
          <w:rFonts w:ascii="Arial" w:hAnsi="Arial" w:cs="Arial"/>
          <w:bCs/>
          <w:sz w:val="24"/>
          <w:szCs w:val="24"/>
        </w:rPr>
        <w:t>staff congregating outside talking and shouting after closing hours.</w:t>
      </w:r>
    </w:p>
    <w:p w:rsidR="00F23A3A" w:rsidRDefault="005878E8" w:rsidP="0051102E">
      <w:pPr>
        <w:autoSpaceDE w:val="0"/>
        <w:autoSpaceDN w:val="0"/>
        <w:adjustRightInd w:val="0"/>
        <w:spacing w:after="240"/>
        <w:ind w:left="426"/>
        <w:rPr>
          <w:rFonts w:cs="Arial"/>
          <w:bCs/>
        </w:rPr>
      </w:pPr>
      <w:r>
        <w:rPr>
          <w:rFonts w:cs="Arial"/>
          <w:bCs/>
        </w:rPr>
        <w:t xml:space="preserve">The objector also comments that there is </w:t>
      </w:r>
      <w:r w:rsidR="00F23A3A">
        <w:rPr>
          <w:rFonts w:cs="Arial"/>
          <w:bCs/>
        </w:rPr>
        <w:t>a constant and increasing amount of traffic travelling past the objector’s home and parking in the street</w:t>
      </w:r>
      <w:r w:rsidR="00B53C54">
        <w:rPr>
          <w:rFonts w:cs="Arial"/>
          <w:bCs/>
        </w:rPr>
        <w:t>,</w:t>
      </w:r>
      <w:r w:rsidR="00F23A3A">
        <w:rPr>
          <w:rFonts w:cs="Arial"/>
          <w:bCs/>
        </w:rPr>
        <w:t xml:space="preserve"> including</w:t>
      </w:r>
      <w:r w:rsidR="00B53C54">
        <w:rPr>
          <w:rFonts w:cs="Arial"/>
          <w:bCs/>
        </w:rPr>
        <w:t xml:space="preserve"> across the objector’s driveway</w:t>
      </w:r>
      <w:r w:rsidR="00F23A3A">
        <w:rPr>
          <w:rFonts w:cs="Arial"/>
          <w:bCs/>
        </w:rPr>
        <w:t xml:space="preserve">. </w:t>
      </w:r>
    </w:p>
    <w:p w:rsidR="00A10743" w:rsidRDefault="00A10743" w:rsidP="0051102E">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w:t>
      </w:r>
      <w:r w:rsidR="005E1BBC">
        <w:rPr>
          <w:rFonts w:cs="Arial"/>
          <w:bCs/>
        </w:rPr>
        <w:t>neighbourhood</w:t>
      </w:r>
      <w:r w:rsidRPr="00A10743">
        <w:rPr>
          <w:rFonts w:cs="Arial"/>
          <w:bCs/>
        </w:rPr>
        <w:t>, t</w:t>
      </w:r>
      <w:r w:rsidRPr="00A10743">
        <w:rPr>
          <w:rFonts w:cs="Arial"/>
        </w:rPr>
        <w:t>he objection meets the necessary grounds to qualify under the Act as an objection requiring a Hearing.</w:t>
      </w:r>
      <w:r w:rsidR="005E1BBC" w:rsidRPr="005E1BBC">
        <w:rPr>
          <w:rFonts w:cs="Arial"/>
          <w:i/>
        </w:rPr>
        <w:t xml:space="preserve"> </w:t>
      </w:r>
    </w:p>
    <w:p w:rsidR="001D1D17" w:rsidRPr="001229CF" w:rsidRDefault="001229CF" w:rsidP="001229CF">
      <w:pPr>
        <w:pStyle w:val="Heading3"/>
        <w:rPr>
          <w:sz w:val="28"/>
          <w:szCs w:val="28"/>
        </w:rPr>
      </w:pPr>
      <w:r>
        <w:rPr>
          <w:sz w:val="28"/>
          <w:szCs w:val="28"/>
        </w:rPr>
        <w:lastRenderedPageBreak/>
        <w:t>APPLICANT’S RESPONSE TO OBJECTIONS RECEIVED</w:t>
      </w:r>
    </w:p>
    <w:p w:rsidR="004F662A" w:rsidRDefault="00CA2EBB" w:rsidP="0051102E">
      <w:pPr>
        <w:numPr>
          <w:ilvl w:val="0"/>
          <w:numId w:val="2"/>
        </w:numPr>
        <w:tabs>
          <w:tab w:val="clear" w:pos="794"/>
        </w:tabs>
        <w:autoSpaceDE w:val="0"/>
        <w:autoSpaceDN w:val="0"/>
        <w:adjustRightInd w:val="0"/>
        <w:spacing w:after="240"/>
        <w:ind w:left="426" w:hanging="426"/>
        <w:rPr>
          <w:rFonts w:cs="Arial"/>
        </w:rPr>
      </w:pPr>
      <w:r>
        <w:rPr>
          <w:rFonts w:cs="Arial"/>
        </w:rPr>
        <w:t>The applica</w:t>
      </w:r>
      <w:r w:rsidR="00D610B6">
        <w:rPr>
          <w:rFonts w:cs="Arial"/>
        </w:rPr>
        <w:t>n</w:t>
      </w:r>
      <w:r>
        <w:rPr>
          <w:rFonts w:cs="Arial"/>
        </w:rPr>
        <w:t xml:space="preserve">t, Mr Henderson </w:t>
      </w:r>
      <w:r w:rsidR="008E6F37">
        <w:rPr>
          <w:rFonts w:cs="Arial"/>
        </w:rPr>
        <w:t>has</w:t>
      </w:r>
      <w:r w:rsidR="00E62C5C">
        <w:rPr>
          <w:rFonts w:cs="Arial"/>
        </w:rPr>
        <w:t xml:space="preserve"> been provided with </w:t>
      </w:r>
      <w:r w:rsidR="00E62C5C" w:rsidRPr="00E62C5C">
        <w:rPr>
          <w:rFonts w:cs="Arial"/>
          <w:bCs/>
        </w:rPr>
        <w:t>the</w:t>
      </w:r>
      <w:r w:rsidR="00E62C5C">
        <w:rPr>
          <w:rFonts w:cs="Arial"/>
        </w:rPr>
        <w:t xml:space="preserve"> objection and pursuant to the requirements of the Act </w:t>
      </w:r>
      <w:r w:rsidR="008E6F37">
        <w:rPr>
          <w:rFonts w:cs="Arial"/>
        </w:rPr>
        <w:t>has</w:t>
      </w:r>
      <w:r w:rsidR="00E62C5C">
        <w:rPr>
          <w:rFonts w:cs="Arial"/>
        </w:rPr>
        <w:t xml:space="preserve"> been afforded </w:t>
      </w:r>
      <w:r w:rsidR="00E62C5C" w:rsidRPr="00E62C5C">
        <w:rPr>
          <w:rFonts w:cs="Arial"/>
          <w:bCs/>
        </w:rPr>
        <w:t>the</w:t>
      </w:r>
      <w:r w:rsidR="00E62C5C">
        <w:rPr>
          <w:rFonts w:cs="Arial"/>
        </w:rPr>
        <w:t xml:space="preserve"> opportunity to respond.</w:t>
      </w:r>
      <w:r w:rsidR="004D4885">
        <w:rPr>
          <w:rFonts w:cs="Arial"/>
        </w:rPr>
        <w:t xml:space="preserve">  </w:t>
      </w:r>
    </w:p>
    <w:p w:rsidR="00D610B6" w:rsidRDefault="004D4885" w:rsidP="0051102E">
      <w:pPr>
        <w:numPr>
          <w:ilvl w:val="0"/>
          <w:numId w:val="2"/>
        </w:numPr>
        <w:tabs>
          <w:tab w:val="clear" w:pos="794"/>
        </w:tabs>
        <w:autoSpaceDE w:val="0"/>
        <w:autoSpaceDN w:val="0"/>
        <w:adjustRightInd w:val="0"/>
        <w:spacing w:after="240"/>
        <w:ind w:left="426" w:hanging="426"/>
        <w:rPr>
          <w:rFonts w:cs="Arial"/>
        </w:rPr>
      </w:pPr>
      <w:r>
        <w:rPr>
          <w:rFonts w:cs="Arial"/>
        </w:rPr>
        <w:t xml:space="preserve">In this respect, the applicant has </w:t>
      </w:r>
      <w:r w:rsidR="00D610B6">
        <w:rPr>
          <w:rFonts w:cs="Arial"/>
        </w:rPr>
        <w:t xml:space="preserve">responded stating that the objection does not raise any concerns about antisocial behaviour of the patrons of the restaurant, rather it is about the noise created by the staff working in the restaurant.  The applicant has advised that he will ask that staff speak more quietly.  </w:t>
      </w:r>
    </w:p>
    <w:p w:rsidR="00D610B6" w:rsidRDefault="00D610B6" w:rsidP="0051102E">
      <w:pPr>
        <w:numPr>
          <w:ilvl w:val="0"/>
          <w:numId w:val="2"/>
        </w:numPr>
        <w:tabs>
          <w:tab w:val="clear" w:pos="794"/>
        </w:tabs>
        <w:autoSpaceDE w:val="0"/>
        <w:autoSpaceDN w:val="0"/>
        <w:adjustRightInd w:val="0"/>
        <w:spacing w:after="240"/>
        <w:ind w:left="426" w:hanging="426"/>
        <w:rPr>
          <w:rFonts w:cs="Arial"/>
        </w:rPr>
      </w:pPr>
      <w:r>
        <w:rPr>
          <w:rFonts w:cs="Arial"/>
        </w:rPr>
        <w:t xml:space="preserve">The applicant advises that the service of alcohol is done in a responsible manner.  Additionally, the applicant advises that he has spoken to four other families residing nearer to the restaurant than Mr Walsh and that they have no complaint.  </w:t>
      </w:r>
    </w:p>
    <w:p w:rsidR="00821D19" w:rsidRPr="001229CF" w:rsidRDefault="00C52FE9" w:rsidP="00C52FE9">
      <w:pPr>
        <w:pStyle w:val="Heading2"/>
        <w:rPr>
          <w:sz w:val="26"/>
          <w:szCs w:val="26"/>
        </w:rPr>
      </w:pPr>
      <w:r w:rsidRPr="001229CF">
        <w:rPr>
          <w:sz w:val="26"/>
          <w:szCs w:val="26"/>
        </w:rPr>
        <w:t>DECISION</w:t>
      </w:r>
    </w:p>
    <w:p w:rsidR="009508FC" w:rsidRPr="0051102E" w:rsidRDefault="009508FC" w:rsidP="0051102E">
      <w:pPr>
        <w:numPr>
          <w:ilvl w:val="0"/>
          <w:numId w:val="2"/>
        </w:numPr>
        <w:tabs>
          <w:tab w:val="clear" w:pos="794"/>
        </w:tabs>
        <w:autoSpaceDE w:val="0"/>
        <w:autoSpaceDN w:val="0"/>
        <w:adjustRightInd w:val="0"/>
        <w:spacing w:after="240"/>
        <w:ind w:left="426" w:hanging="426"/>
        <w:rPr>
          <w:sz w:val="23"/>
          <w:szCs w:val="23"/>
        </w:rPr>
      </w:pPr>
      <w:r w:rsidRPr="009508FC">
        <w:t xml:space="preserve">It is noted that other parties who were provided with copies of the application including the </w:t>
      </w:r>
      <w:r>
        <w:t xml:space="preserve">Development Consent Authority, the Department of Health, the Darwin City Council, the Northern Territory Police and the Northern Territory Fire and Rescue Service either did not respond </w:t>
      </w:r>
      <w:proofErr w:type="gramStart"/>
      <w:r>
        <w:t>or</w:t>
      </w:r>
      <w:proofErr w:type="gramEnd"/>
      <w:r>
        <w:t xml:space="preserve"> had </w:t>
      </w:r>
      <w:r w:rsidRPr="009508FC">
        <w:t xml:space="preserve">no adverse comment to make. </w:t>
      </w:r>
    </w:p>
    <w:p w:rsidR="008E6F37" w:rsidRDefault="00D610B6" w:rsidP="0051102E">
      <w:pPr>
        <w:numPr>
          <w:ilvl w:val="0"/>
          <w:numId w:val="2"/>
        </w:numPr>
        <w:tabs>
          <w:tab w:val="clear" w:pos="794"/>
        </w:tabs>
        <w:autoSpaceDE w:val="0"/>
        <w:autoSpaceDN w:val="0"/>
        <w:adjustRightInd w:val="0"/>
        <w:spacing w:after="240"/>
        <w:ind w:left="426" w:hanging="426"/>
        <w:rPr>
          <w:rFonts w:cs="Arial"/>
        </w:rPr>
      </w:pPr>
      <w:r>
        <w:rPr>
          <w:rFonts w:cs="Arial"/>
        </w:rPr>
        <w:t>The</w:t>
      </w:r>
      <w:r w:rsidR="008E6F37">
        <w:rPr>
          <w:rFonts w:cs="Arial"/>
        </w:rPr>
        <w:t xml:space="preserve"> objection has been assessed according to the requirements of the Act to determine whether the objector has standing to lodge an objection, to determine whether the objection w</w:t>
      </w:r>
      <w:r>
        <w:rPr>
          <w:rFonts w:cs="Arial"/>
        </w:rPr>
        <w:t>as</w:t>
      </w:r>
      <w:r w:rsidR="008E6F37">
        <w:rPr>
          <w:rFonts w:cs="Arial"/>
        </w:rPr>
        <w:t xml:space="preserve"> lodged within the required time and to determine if the grounds specified in the objection meet the requirements of Section 47F(2) of the Act.</w:t>
      </w:r>
    </w:p>
    <w:p w:rsidR="00B126C8" w:rsidRPr="009508FC" w:rsidRDefault="00821D19" w:rsidP="0051102E">
      <w:pPr>
        <w:numPr>
          <w:ilvl w:val="0"/>
          <w:numId w:val="2"/>
        </w:numPr>
        <w:tabs>
          <w:tab w:val="clear" w:pos="794"/>
        </w:tabs>
        <w:autoSpaceDE w:val="0"/>
        <w:autoSpaceDN w:val="0"/>
        <w:adjustRightInd w:val="0"/>
        <w:spacing w:after="240"/>
        <w:ind w:left="426" w:hanging="426"/>
        <w:rPr>
          <w:rFonts w:cs="Arial"/>
          <w:i/>
        </w:rPr>
      </w:pPr>
      <w:r>
        <w:rPr>
          <w:rFonts w:cs="Arial"/>
          <w:bCs/>
        </w:rPr>
        <w:t>The Commissio</w:t>
      </w:r>
      <w:r w:rsidR="00583D86">
        <w:rPr>
          <w:rFonts w:cs="Arial"/>
          <w:bCs/>
        </w:rPr>
        <w:t xml:space="preserve">n has determined that </w:t>
      </w:r>
      <w:r w:rsidR="00AE1729">
        <w:rPr>
          <w:rFonts w:cs="Arial"/>
          <w:bCs/>
        </w:rPr>
        <w:t xml:space="preserve">the </w:t>
      </w:r>
      <w:r w:rsidR="00583D86">
        <w:rPr>
          <w:rFonts w:cs="Arial"/>
          <w:bCs/>
        </w:rPr>
        <w:t>objection</w:t>
      </w:r>
      <w:r w:rsidR="00B57AE4">
        <w:rPr>
          <w:rFonts w:cs="Arial"/>
          <w:bCs/>
        </w:rPr>
        <w:t xml:space="preserve"> lodged </w:t>
      </w:r>
      <w:r w:rsidR="009508FC">
        <w:rPr>
          <w:rFonts w:cs="Arial"/>
          <w:bCs/>
        </w:rPr>
        <w:t>is</w:t>
      </w:r>
      <w:r w:rsidR="001229CF">
        <w:rPr>
          <w:rFonts w:cs="Arial"/>
          <w:bCs/>
        </w:rPr>
        <w:t xml:space="preserve"> vali</w:t>
      </w:r>
      <w:r>
        <w:rPr>
          <w:rFonts w:cs="Arial"/>
        </w:rPr>
        <w:t>d and require</w:t>
      </w:r>
      <w:r w:rsidR="00B53C54">
        <w:rPr>
          <w:rFonts w:cs="Arial"/>
        </w:rPr>
        <w:t>s</w:t>
      </w:r>
      <w:r>
        <w:rPr>
          <w:rFonts w:cs="Arial"/>
        </w:rPr>
        <w:t xml:space="preserve"> a Hearing pursua</w:t>
      </w:r>
      <w:r w:rsidR="00B57AE4">
        <w:rPr>
          <w:rFonts w:cs="Arial"/>
        </w:rPr>
        <w:t>nt to Section 47I(7) of the Act</w:t>
      </w:r>
      <w:r w:rsidR="001229CF">
        <w:rPr>
          <w:rFonts w:cs="Arial"/>
        </w:rPr>
        <w:t>.</w:t>
      </w:r>
    </w:p>
    <w:p w:rsidR="00D610B6" w:rsidRPr="009508FC" w:rsidRDefault="009508FC" w:rsidP="0051102E">
      <w:pPr>
        <w:numPr>
          <w:ilvl w:val="0"/>
          <w:numId w:val="2"/>
        </w:numPr>
        <w:tabs>
          <w:tab w:val="clear" w:pos="794"/>
        </w:tabs>
        <w:autoSpaceDE w:val="0"/>
        <w:autoSpaceDN w:val="0"/>
        <w:adjustRightInd w:val="0"/>
        <w:spacing w:after="240"/>
        <w:ind w:left="426" w:hanging="426"/>
      </w:pPr>
      <w:r w:rsidRPr="009508FC">
        <w:rPr>
          <w:rFonts w:cs="Arial"/>
        </w:rPr>
        <w:t>W</w:t>
      </w:r>
      <w:r w:rsidR="00D610B6" w:rsidRPr="009508FC">
        <w:t xml:space="preserve">hile the Commission is required to conduct a Hearing where a valid objection has been lodged, if the objector does not wish to attend and make oral submissions, the Commission is able to rely solely on the written objection it has before it. </w:t>
      </w:r>
      <w:r w:rsidR="0051102E">
        <w:t xml:space="preserve"> </w:t>
      </w:r>
      <w:r w:rsidR="00D610B6" w:rsidRPr="009508FC">
        <w:t xml:space="preserve">In this instance the Commission may determine to conduct the Hearing on papers only. </w:t>
      </w:r>
    </w:p>
    <w:p w:rsidR="008E6F37" w:rsidRPr="009508FC" w:rsidRDefault="008E6F37" w:rsidP="006E2053">
      <w:pPr>
        <w:tabs>
          <w:tab w:val="num" w:pos="1440"/>
          <w:tab w:val="left" w:pos="8637"/>
        </w:tabs>
        <w:autoSpaceDE w:val="0"/>
        <w:autoSpaceDN w:val="0"/>
        <w:adjustRightInd w:val="0"/>
        <w:spacing w:after="120"/>
        <w:ind w:right="360"/>
        <w:rPr>
          <w:rFonts w:cs="Arial"/>
        </w:rPr>
      </w:pPr>
    </w:p>
    <w:p w:rsidR="008E6F37" w:rsidRDefault="008E6F37" w:rsidP="006E2053">
      <w:pPr>
        <w:tabs>
          <w:tab w:val="num" w:pos="1440"/>
          <w:tab w:val="left" w:pos="8637"/>
        </w:tabs>
        <w:autoSpaceDE w:val="0"/>
        <w:autoSpaceDN w:val="0"/>
        <w:adjustRightInd w:val="0"/>
        <w:spacing w:after="120"/>
        <w:ind w:right="360"/>
        <w:rPr>
          <w:rFonts w:cs="Arial"/>
        </w:rPr>
      </w:pPr>
    </w:p>
    <w:p w:rsidR="006A76DD" w:rsidRDefault="008E6F37" w:rsidP="006E2053">
      <w:pPr>
        <w:tabs>
          <w:tab w:val="left" w:pos="8637"/>
        </w:tabs>
        <w:autoSpaceDE w:val="0"/>
        <w:autoSpaceDN w:val="0"/>
        <w:adjustRightInd w:val="0"/>
        <w:spacing w:after="120"/>
        <w:ind w:right="360"/>
        <w:rPr>
          <w:rFonts w:cs="Arial"/>
        </w:rPr>
      </w:pPr>
      <w:r>
        <w:rPr>
          <w:rFonts w:cs="Arial"/>
        </w:rPr>
        <w:t>Cindy Bravos</w:t>
      </w:r>
    </w:p>
    <w:p w:rsidR="00535CBE" w:rsidRDefault="008E6F37" w:rsidP="006E2053">
      <w:pPr>
        <w:tabs>
          <w:tab w:val="left" w:pos="8637"/>
        </w:tabs>
        <w:autoSpaceDE w:val="0"/>
        <w:autoSpaceDN w:val="0"/>
        <w:adjustRightInd w:val="0"/>
        <w:spacing w:after="120"/>
        <w:ind w:right="360"/>
        <w:rPr>
          <w:rFonts w:cs="Arial"/>
        </w:rPr>
      </w:pPr>
      <w:r>
        <w:rPr>
          <w:rFonts w:cs="Arial"/>
        </w:rPr>
        <w:t>COMMISSION MEMBER</w:t>
      </w:r>
    </w:p>
    <w:p w:rsidR="00535CBE" w:rsidRDefault="00535CBE" w:rsidP="006E2053">
      <w:pPr>
        <w:tabs>
          <w:tab w:val="left" w:pos="8637"/>
        </w:tabs>
        <w:autoSpaceDE w:val="0"/>
        <w:autoSpaceDN w:val="0"/>
        <w:adjustRightInd w:val="0"/>
        <w:spacing w:after="120"/>
        <w:ind w:right="360"/>
        <w:rPr>
          <w:rFonts w:cs="Arial"/>
        </w:rPr>
      </w:pPr>
    </w:p>
    <w:p w:rsidR="0057039D" w:rsidRPr="00020CC7" w:rsidRDefault="0051102E" w:rsidP="009508FC">
      <w:pPr>
        <w:tabs>
          <w:tab w:val="left" w:pos="8637"/>
        </w:tabs>
        <w:autoSpaceDE w:val="0"/>
        <w:autoSpaceDN w:val="0"/>
        <w:adjustRightInd w:val="0"/>
        <w:spacing w:after="120"/>
        <w:ind w:right="360"/>
        <w:rPr>
          <w:rFonts w:cs="Arial"/>
        </w:rPr>
      </w:pPr>
      <w:r>
        <w:rPr>
          <w:rFonts w:cs="Arial"/>
        </w:rPr>
        <w:t>18</w:t>
      </w:r>
      <w:r w:rsidR="009508FC">
        <w:rPr>
          <w:rFonts w:cs="Arial"/>
        </w:rPr>
        <w:t xml:space="preserve"> July </w:t>
      </w:r>
      <w:r w:rsidR="00535CBE">
        <w:rPr>
          <w:rFonts w:cs="Arial"/>
        </w:rPr>
        <w:t>2014</w:t>
      </w:r>
    </w:p>
    <w:sectPr w:rsidR="0057039D" w:rsidRPr="00020CC7" w:rsidSect="00B10542">
      <w:headerReference w:type="even" r:id="rId9"/>
      <w:headerReference w:type="default" r:id="rId10"/>
      <w:footerReference w:type="even" r:id="rId11"/>
      <w:footerReference w:type="default" r:id="rId12"/>
      <w:headerReference w:type="first" r:id="rId13"/>
      <w:pgSz w:w="11906" w:h="16838" w:code="9"/>
      <w:pgMar w:top="1440" w:right="1106"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DF" w:rsidRDefault="00AD35DF">
      <w:r>
        <w:separator/>
      </w:r>
    </w:p>
  </w:endnote>
  <w:endnote w:type="continuationSeparator" w:id="0">
    <w:p w:rsidR="00AD35DF" w:rsidRDefault="00AD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310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DF" w:rsidRDefault="00AD35DF">
      <w:r>
        <w:separator/>
      </w:r>
    </w:p>
  </w:footnote>
  <w:footnote w:type="continuationSeparator" w:id="0">
    <w:p w:rsidR="00AD35DF" w:rsidRDefault="00AD3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FB1F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102E">
      <w:rPr>
        <w:rStyle w:val="PageNumber"/>
        <w:noProof/>
      </w:rPr>
      <w:t>2</w:t>
    </w:r>
    <w:r>
      <w:rPr>
        <w:rStyle w:val="PageNumber"/>
      </w:rPr>
      <w:fldChar w:fldCharType="end"/>
    </w:r>
  </w:p>
  <w:p w:rsidR="001F4DB7" w:rsidRDefault="001F4DB7" w:rsidP="00310748">
    <w:pPr>
      <w:pStyle w:val="Header"/>
      <w:ind w:right="108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78" w:rsidRPr="00020CC7" w:rsidRDefault="000E1978" w:rsidP="000E1978">
    <w:pPr>
      <w:autoSpaceDE w:val="0"/>
      <w:autoSpaceDN w:val="0"/>
      <w:adjustRightInd w:val="0"/>
      <w:jc w:val="center"/>
      <w:rPr>
        <w:rFonts w:cs="Arial"/>
        <w:b/>
        <w:bCs/>
        <w:sz w:val="32"/>
        <w:szCs w:val="32"/>
      </w:rPr>
    </w:pPr>
    <w:r w:rsidRPr="00020CC7">
      <w:rPr>
        <w:rFonts w:cs="Arial"/>
        <w:b/>
        <w:bCs/>
        <w:sz w:val="32"/>
        <w:szCs w:val="32"/>
      </w:rPr>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2EA"/>
    <w:multiLevelType w:val="hybridMultilevel"/>
    <w:tmpl w:val="402ADA7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19E46657"/>
    <w:multiLevelType w:val="hybridMultilevel"/>
    <w:tmpl w:val="E1E0F6D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4">
    <w:nsid w:val="39151DBC"/>
    <w:multiLevelType w:val="hybridMultilevel"/>
    <w:tmpl w:val="C77ED0EE"/>
    <w:lvl w:ilvl="0" w:tplc="77B85780">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CAC575F"/>
    <w:multiLevelType w:val="hybridMultilevel"/>
    <w:tmpl w:val="5F7C970E"/>
    <w:lvl w:ilvl="0" w:tplc="A0DA76F8">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4AE6109A"/>
    <w:multiLevelType w:val="hybridMultilevel"/>
    <w:tmpl w:val="7A7423B6"/>
    <w:lvl w:ilvl="0" w:tplc="3A0A0C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BC46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5A996BCB"/>
    <w:multiLevelType w:val="hybridMultilevel"/>
    <w:tmpl w:val="3AAA1556"/>
    <w:lvl w:ilvl="0" w:tplc="257C4E64">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74C2762F"/>
    <w:multiLevelType w:val="hybridMultilevel"/>
    <w:tmpl w:val="5D46AA8E"/>
    <w:lvl w:ilvl="0" w:tplc="7B1A127E">
      <w:start w:val="1"/>
      <w:numFmt w:val="decimal"/>
      <w:lvlText w:val="%1)"/>
      <w:lvlJc w:val="left"/>
      <w:pPr>
        <w:tabs>
          <w:tab w:val="num" w:pos="794"/>
        </w:tabs>
        <w:ind w:left="794" w:hanging="340"/>
      </w:pPr>
      <w:rPr>
        <w:rFonts w:hint="default"/>
        <w:i w:val="0"/>
        <w:sz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781764D4"/>
    <w:multiLevelType w:val="hybridMultilevel"/>
    <w:tmpl w:val="70D03984"/>
    <w:lvl w:ilvl="0" w:tplc="D5F83FCC">
      <w:start w:val="5"/>
      <w:numFmt w:val="decimal"/>
      <w:suff w:val="space"/>
      <w:lvlText w:val="%1)"/>
      <w:lvlJc w:val="left"/>
      <w:pPr>
        <w:ind w:left="794" w:hanging="794"/>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
  </w:num>
  <w:num w:numId="4">
    <w:abstractNumId w:val="10"/>
  </w:num>
  <w:num w:numId="5">
    <w:abstractNumId w:val="7"/>
  </w:num>
  <w:num w:numId="6">
    <w:abstractNumId w:val="1"/>
  </w:num>
  <w:num w:numId="7">
    <w:abstractNumId w:val="10"/>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8">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9">
    <w:abstractNumId w:val="10"/>
    <w:lvlOverride w:ilvl="0">
      <w:lvl w:ilvl="0" w:tplc="D5F83FCC">
        <w:start w:val="5"/>
        <w:numFmt w:val="decimal"/>
        <w:lvlText w:val="%1)"/>
        <w:lvlJc w:val="left"/>
        <w:pPr>
          <w:tabs>
            <w:tab w:val="num" w:pos="794"/>
          </w:tabs>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10"/>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1">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2">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4">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8">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9">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4">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9">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0">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1">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abstractNumId w:val="10"/>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6"/>
  </w:num>
  <w:num w:numId="4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F"/>
    <w:rsid w:val="00000A2B"/>
    <w:rsid w:val="0000533C"/>
    <w:rsid w:val="00006212"/>
    <w:rsid w:val="0001421E"/>
    <w:rsid w:val="00015EA0"/>
    <w:rsid w:val="00020CC7"/>
    <w:rsid w:val="00022C84"/>
    <w:rsid w:val="000233DC"/>
    <w:rsid w:val="00036FCB"/>
    <w:rsid w:val="00046B30"/>
    <w:rsid w:val="00047A99"/>
    <w:rsid w:val="00047C0D"/>
    <w:rsid w:val="000552F1"/>
    <w:rsid w:val="00062FAD"/>
    <w:rsid w:val="0006775A"/>
    <w:rsid w:val="00071699"/>
    <w:rsid w:val="00075A15"/>
    <w:rsid w:val="00080911"/>
    <w:rsid w:val="000906B1"/>
    <w:rsid w:val="00090B00"/>
    <w:rsid w:val="00096348"/>
    <w:rsid w:val="000A0C12"/>
    <w:rsid w:val="000A0FA4"/>
    <w:rsid w:val="000A3A8E"/>
    <w:rsid w:val="000A7EC1"/>
    <w:rsid w:val="000D3604"/>
    <w:rsid w:val="000D5F1E"/>
    <w:rsid w:val="000E0141"/>
    <w:rsid w:val="000E1978"/>
    <w:rsid w:val="000F27B5"/>
    <w:rsid w:val="0010235B"/>
    <w:rsid w:val="0010250B"/>
    <w:rsid w:val="00114CA6"/>
    <w:rsid w:val="00122910"/>
    <w:rsid w:val="001229CF"/>
    <w:rsid w:val="00126E9E"/>
    <w:rsid w:val="00130724"/>
    <w:rsid w:val="001349EB"/>
    <w:rsid w:val="00157D08"/>
    <w:rsid w:val="0016053E"/>
    <w:rsid w:val="00160B6C"/>
    <w:rsid w:val="0016534D"/>
    <w:rsid w:val="00172EFE"/>
    <w:rsid w:val="00184359"/>
    <w:rsid w:val="00185012"/>
    <w:rsid w:val="001871CE"/>
    <w:rsid w:val="00192E28"/>
    <w:rsid w:val="001A26E2"/>
    <w:rsid w:val="001A6E03"/>
    <w:rsid w:val="001A7ED4"/>
    <w:rsid w:val="001B2051"/>
    <w:rsid w:val="001B29A3"/>
    <w:rsid w:val="001C3229"/>
    <w:rsid w:val="001C5499"/>
    <w:rsid w:val="001D1D17"/>
    <w:rsid w:val="001E721D"/>
    <w:rsid w:val="001F2787"/>
    <w:rsid w:val="001F4DB7"/>
    <w:rsid w:val="00201337"/>
    <w:rsid w:val="002035C0"/>
    <w:rsid w:val="00204772"/>
    <w:rsid w:val="0021229F"/>
    <w:rsid w:val="00215552"/>
    <w:rsid w:val="00234C5F"/>
    <w:rsid w:val="00241AC8"/>
    <w:rsid w:val="00261889"/>
    <w:rsid w:val="00274176"/>
    <w:rsid w:val="00282246"/>
    <w:rsid w:val="00290EAB"/>
    <w:rsid w:val="00292E73"/>
    <w:rsid w:val="00297455"/>
    <w:rsid w:val="002A375F"/>
    <w:rsid w:val="002C085A"/>
    <w:rsid w:val="002E3497"/>
    <w:rsid w:val="002F404B"/>
    <w:rsid w:val="0030187B"/>
    <w:rsid w:val="00310748"/>
    <w:rsid w:val="00312F45"/>
    <w:rsid w:val="00316DC6"/>
    <w:rsid w:val="00330E50"/>
    <w:rsid w:val="003317F7"/>
    <w:rsid w:val="0035182E"/>
    <w:rsid w:val="00360683"/>
    <w:rsid w:val="003838FC"/>
    <w:rsid w:val="00386A5F"/>
    <w:rsid w:val="00387110"/>
    <w:rsid w:val="003A0964"/>
    <w:rsid w:val="003A1E2F"/>
    <w:rsid w:val="003B0DBE"/>
    <w:rsid w:val="003B180E"/>
    <w:rsid w:val="003B2923"/>
    <w:rsid w:val="003B7C3A"/>
    <w:rsid w:val="003C3D42"/>
    <w:rsid w:val="003D235B"/>
    <w:rsid w:val="003D31B7"/>
    <w:rsid w:val="003F22F0"/>
    <w:rsid w:val="00410C04"/>
    <w:rsid w:val="004114BE"/>
    <w:rsid w:val="00417E8F"/>
    <w:rsid w:val="00431A0E"/>
    <w:rsid w:val="0043272C"/>
    <w:rsid w:val="00436F66"/>
    <w:rsid w:val="00445CFB"/>
    <w:rsid w:val="00472207"/>
    <w:rsid w:val="00473532"/>
    <w:rsid w:val="0047405A"/>
    <w:rsid w:val="00475A3E"/>
    <w:rsid w:val="00487F34"/>
    <w:rsid w:val="00496374"/>
    <w:rsid w:val="004D4885"/>
    <w:rsid w:val="004E58D8"/>
    <w:rsid w:val="004E6D40"/>
    <w:rsid w:val="004F10EF"/>
    <w:rsid w:val="004F662A"/>
    <w:rsid w:val="0051102E"/>
    <w:rsid w:val="00511515"/>
    <w:rsid w:val="00512514"/>
    <w:rsid w:val="00525131"/>
    <w:rsid w:val="00535CBE"/>
    <w:rsid w:val="00536A4D"/>
    <w:rsid w:val="0054127E"/>
    <w:rsid w:val="00550E5E"/>
    <w:rsid w:val="005569C4"/>
    <w:rsid w:val="00557911"/>
    <w:rsid w:val="0057039D"/>
    <w:rsid w:val="0057732E"/>
    <w:rsid w:val="00577566"/>
    <w:rsid w:val="00583D86"/>
    <w:rsid w:val="005878E8"/>
    <w:rsid w:val="005A081A"/>
    <w:rsid w:val="005A27D3"/>
    <w:rsid w:val="005A3FC3"/>
    <w:rsid w:val="005C1DA1"/>
    <w:rsid w:val="005D1988"/>
    <w:rsid w:val="005E1BBC"/>
    <w:rsid w:val="005F5524"/>
    <w:rsid w:val="005F6B77"/>
    <w:rsid w:val="00602BCF"/>
    <w:rsid w:val="00616F6A"/>
    <w:rsid w:val="006311C9"/>
    <w:rsid w:val="00640BCC"/>
    <w:rsid w:val="006563CC"/>
    <w:rsid w:val="00657E87"/>
    <w:rsid w:val="0066353A"/>
    <w:rsid w:val="00684E4B"/>
    <w:rsid w:val="00691B89"/>
    <w:rsid w:val="00694F4C"/>
    <w:rsid w:val="006972B9"/>
    <w:rsid w:val="006A76DD"/>
    <w:rsid w:val="006B6461"/>
    <w:rsid w:val="006C0F4A"/>
    <w:rsid w:val="006D35A5"/>
    <w:rsid w:val="006D7194"/>
    <w:rsid w:val="006D741B"/>
    <w:rsid w:val="006E2053"/>
    <w:rsid w:val="006E3E5D"/>
    <w:rsid w:val="006F504D"/>
    <w:rsid w:val="00721D64"/>
    <w:rsid w:val="00726C44"/>
    <w:rsid w:val="0072741F"/>
    <w:rsid w:val="0073329F"/>
    <w:rsid w:val="00736050"/>
    <w:rsid w:val="0074104F"/>
    <w:rsid w:val="007416BD"/>
    <w:rsid w:val="00741747"/>
    <w:rsid w:val="0074267C"/>
    <w:rsid w:val="00750A1C"/>
    <w:rsid w:val="007515E3"/>
    <w:rsid w:val="00753F4A"/>
    <w:rsid w:val="00755F5F"/>
    <w:rsid w:val="00756511"/>
    <w:rsid w:val="00766C0F"/>
    <w:rsid w:val="00767AE3"/>
    <w:rsid w:val="0077112B"/>
    <w:rsid w:val="0077670B"/>
    <w:rsid w:val="00784A0E"/>
    <w:rsid w:val="00795D8C"/>
    <w:rsid w:val="007A1F59"/>
    <w:rsid w:val="007C1931"/>
    <w:rsid w:val="007D0119"/>
    <w:rsid w:val="007E79C5"/>
    <w:rsid w:val="0080064B"/>
    <w:rsid w:val="0080088E"/>
    <w:rsid w:val="00800E52"/>
    <w:rsid w:val="00802A45"/>
    <w:rsid w:val="00805984"/>
    <w:rsid w:val="008130DE"/>
    <w:rsid w:val="00821D19"/>
    <w:rsid w:val="00845D1F"/>
    <w:rsid w:val="00865C8E"/>
    <w:rsid w:val="0087687F"/>
    <w:rsid w:val="00876FB8"/>
    <w:rsid w:val="00883B35"/>
    <w:rsid w:val="00886F11"/>
    <w:rsid w:val="0089045E"/>
    <w:rsid w:val="00891C34"/>
    <w:rsid w:val="00894E7D"/>
    <w:rsid w:val="008A01A0"/>
    <w:rsid w:val="008B142B"/>
    <w:rsid w:val="008B3E72"/>
    <w:rsid w:val="008B421E"/>
    <w:rsid w:val="008B4F26"/>
    <w:rsid w:val="008D583D"/>
    <w:rsid w:val="008E53F1"/>
    <w:rsid w:val="008E6F37"/>
    <w:rsid w:val="00905DC6"/>
    <w:rsid w:val="00906376"/>
    <w:rsid w:val="00910A6F"/>
    <w:rsid w:val="0092693A"/>
    <w:rsid w:val="00933935"/>
    <w:rsid w:val="009461A9"/>
    <w:rsid w:val="00946E47"/>
    <w:rsid w:val="009508FC"/>
    <w:rsid w:val="00955DA8"/>
    <w:rsid w:val="009600FD"/>
    <w:rsid w:val="00962FEA"/>
    <w:rsid w:val="00971FB9"/>
    <w:rsid w:val="009A0FED"/>
    <w:rsid w:val="009B2608"/>
    <w:rsid w:val="009B3B33"/>
    <w:rsid w:val="009C366A"/>
    <w:rsid w:val="009C4FAF"/>
    <w:rsid w:val="009D2128"/>
    <w:rsid w:val="009D7E59"/>
    <w:rsid w:val="009E1D38"/>
    <w:rsid w:val="009F573D"/>
    <w:rsid w:val="009F5B91"/>
    <w:rsid w:val="00A10743"/>
    <w:rsid w:val="00A47550"/>
    <w:rsid w:val="00A53F49"/>
    <w:rsid w:val="00A55FAD"/>
    <w:rsid w:val="00A57599"/>
    <w:rsid w:val="00A62A1D"/>
    <w:rsid w:val="00A8313B"/>
    <w:rsid w:val="00A91135"/>
    <w:rsid w:val="00AA15CF"/>
    <w:rsid w:val="00AA71BA"/>
    <w:rsid w:val="00AB05E4"/>
    <w:rsid w:val="00AB6447"/>
    <w:rsid w:val="00AC05A9"/>
    <w:rsid w:val="00AC58F3"/>
    <w:rsid w:val="00AC5F08"/>
    <w:rsid w:val="00AD35DF"/>
    <w:rsid w:val="00AD6066"/>
    <w:rsid w:val="00AD6445"/>
    <w:rsid w:val="00AE1729"/>
    <w:rsid w:val="00AE375F"/>
    <w:rsid w:val="00AF0993"/>
    <w:rsid w:val="00AF726F"/>
    <w:rsid w:val="00B043A7"/>
    <w:rsid w:val="00B0595C"/>
    <w:rsid w:val="00B10542"/>
    <w:rsid w:val="00B126C8"/>
    <w:rsid w:val="00B165ED"/>
    <w:rsid w:val="00B2031E"/>
    <w:rsid w:val="00B35C23"/>
    <w:rsid w:val="00B43FD9"/>
    <w:rsid w:val="00B44500"/>
    <w:rsid w:val="00B53413"/>
    <w:rsid w:val="00B53C54"/>
    <w:rsid w:val="00B57AE4"/>
    <w:rsid w:val="00B60C99"/>
    <w:rsid w:val="00B614F9"/>
    <w:rsid w:val="00B6497E"/>
    <w:rsid w:val="00B649BA"/>
    <w:rsid w:val="00B7788E"/>
    <w:rsid w:val="00B97FEB"/>
    <w:rsid w:val="00BA0FA0"/>
    <w:rsid w:val="00BA1750"/>
    <w:rsid w:val="00BC17E2"/>
    <w:rsid w:val="00BC4A80"/>
    <w:rsid w:val="00BC50DF"/>
    <w:rsid w:val="00BC5531"/>
    <w:rsid w:val="00BC7F7C"/>
    <w:rsid w:val="00BE6400"/>
    <w:rsid w:val="00BE7152"/>
    <w:rsid w:val="00BF2373"/>
    <w:rsid w:val="00C0672F"/>
    <w:rsid w:val="00C14641"/>
    <w:rsid w:val="00C17503"/>
    <w:rsid w:val="00C21108"/>
    <w:rsid w:val="00C21329"/>
    <w:rsid w:val="00C21C95"/>
    <w:rsid w:val="00C36642"/>
    <w:rsid w:val="00C3677A"/>
    <w:rsid w:val="00C41632"/>
    <w:rsid w:val="00C44A21"/>
    <w:rsid w:val="00C47ED5"/>
    <w:rsid w:val="00C52FE9"/>
    <w:rsid w:val="00C54D9A"/>
    <w:rsid w:val="00C74C95"/>
    <w:rsid w:val="00C75025"/>
    <w:rsid w:val="00CA02F2"/>
    <w:rsid w:val="00CA03FA"/>
    <w:rsid w:val="00CA2EBB"/>
    <w:rsid w:val="00CA6814"/>
    <w:rsid w:val="00CA6820"/>
    <w:rsid w:val="00CA7B83"/>
    <w:rsid w:val="00CB5EB8"/>
    <w:rsid w:val="00CB7C4D"/>
    <w:rsid w:val="00CD1822"/>
    <w:rsid w:val="00CD3F68"/>
    <w:rsid w:val="00CD5F4D"/>
    <w:rsid w:val="00CF05BA"/>
    <w:rsid w:val="00CF2226"/>
    <w:rsid w:val="00CF52D5"/>
    <w:rsid w:val="00D00026"/>
    <w:rsid w:val="00D153DC"/>
    <w:rsid w:val="00D227EC"/>
    <w:rsid w:val="00D25DD6"/>
    <w:rsid w:val="00D3275B"/>
    <w:rsid w:val="00D45444"/>
    <w:rsid w:val="00D545CA"/>
    <w:rsid w:val="00D610B6"/>
    <w:rsid w:val="00D6641C"/>
    <w:rsid w:val="00D77938"/>
    <w:rsid w:val="00D82FA8"/>
    <w:rsid w:val="00D967DD"/>
    <w:rsid w:val="00DA3ED1"/>
    <w:rsid w:val="00DA4A60"/>
    <w:rsid w:val="00DA7322"/>
    <w:rsid w:val="00DB0B71"/>
    <w:rsid w:val="00DE4E91"/>
    <w:rsid w:val="00DE7175"/>
    <w:rsid w:val="00DF1F38"/>
    <w:rsid w:val="00E104FC"/>
    <w:rsid w:val="00E24A8A"/>
    <w:rsid w:val="00E253EB"/>
    <w:rsid w:val="00E47092"/>
    <w:rsid w:val="00E6051E"/>
    <w:rsid w:val="00E61B0F"/>
    <w:rsid w:val="00E62C5C"/>
    <w:rsid w:val="00E67089"/>
    <w:rsid w:val="00E70F0D"/>
    <w:rsid w:val="00E73BC1"/>
    <w:rsid w:val="00E76407"/>
    <w:rsid w:val="00E77B01"/>
    <w:rsid w:val="00E836C2"/>
    <w:rsid w:val="00E8697C"/>
    <w:rsid w:val="00EA078F"/>
    <w:rsid w:val="00EA0BDB"/>
    <w:rsid w:val="00EA1F5A"/>
    <w:rsid w:val="00EA2CBC"/>
    <w:rsid w:val="00EB1A21"/>
    <w:rsid w:val="00EB5E2F"/>
    <w:rsid w:val="00EB70F1"/>
    <w:rsid w:val="00EB7701"/>
    <w:rsid w:val="00EC75E8"/>
    <w:rsid w:val="00ED21BC"/>
    <w:rsid w:val="00ED73A5"/>
    <w:rsid w:val="00ED7B79"/>
    <w:rsid w:val="00EE0B1C"/>
    <w:rsid w:val="00EE2556"/>
    <w:rsid w:val="00EE35A7"/>
    <w:rsid w:val="00EF2713"/>
    <w:rsid w:val="00F23A3A"/>
    <w:rsid w:val="00F268C0"/>
    <w:rsid w:val="00F34BAC"/>
    <w:rsid w:val="00F40F25"/>
    <w:rsid w:val="00F438CE"/>
    <w:rsid w:val="00F5130C"/>
    <w:rsid w:val="00F61E21"/>
    <w:rsid w:val="00F709E5"/>
    <w:rsid w:val="00F72B1F"/>
    <w:rsid w:val="00F73E51"/>
    <w:rsid w:val="00F85626"/>
    <w:rsid w:val="00F95C22"/>
    <w:rsid w:val="00FA25B9"/>
    <w:rsid w:val="00FA39EE"/>
    <w:rsid w:val="00FB0737"/>
    <w:rsid w:val="00FB1F11"/>
    <w:rsid w:val="00FB4C07"/>
    <w:rsid w:val="00FB69D3"/>
    <w:rsid w:val="00FC1FFD"/>
    <w:rsid w:val="00FC6159"/>
    <w:rsid w:val="00FE0F76"/>
    <w:rsid w:val="00FE3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 w:type="paragraph" w:customStyle="1" w:styleId="Default">
    <w:name w:val="Default"/>
    <w:rsid w:val="00D610B6"/>
    <w:pPr>
      <w:autoSpaceDE w:val="0"/>
      <w:autoSpaceDN w:val="0"/>
      <w:adjustRightInd w:val="0"/>
    </w:pPr>
    <w:rPr>
      <w:rFonts w:cs="Arial"/>
      <w:color w:val="000000"/>
      <w:sz w:val="24"/>
      <w:szCs w:val="24"/>
    </w:rPr>
  </w:style>
  <w:style w:type="paragraph" w:customStyle="1" w:styleId="BottomLine">
    <w:name w:val="Bottom Line"/>
    <w:basedOn w:val="Normal"/>
    <w:rsid w:val="000E1978"/>
    <w:pPr>
      <w:pBdr>
        <w:top w:val="single" w:sz="12" w:space="1" w:color="auto"/>
      </w:pBdr>
      <w:spacing w:line="240" w:lineRule="auto"/>
    </w:pPr>
    <w:rPr>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 w:type="paragraph" w:customStyle="1" w:styleId="Default">
    <w:name w:val="Default"/>
    <w:rsid w:val="00D610B6"/>
    <w:pPr>
      <w:autoSpaceDE w:val="0"/>
      <w:autoSpaceDN w:val="0"/>
      <w:adjustRightInd w:val="0"/>
    </w:pPr>
    <w:rPr>
      <w:rFonts w:cs="Arial"/>
      <w:color w:val="000000"/>
      <w:sz w:val="24"/>
      <w:szCs w:val="24"/>
    </w:rPr>
  </w:style>
  <w:style w:type="paragraph" w:customStyle="1" w:styleId="BottomLine">
    <w:name w:val="Bottom Line"/>
    <w:basedOn w:val="Normal"/>
    <w:rsid w:val="000E1978"/>
    <w:pPr>
      <w:pBdr>
        <w:top w:val="single" w:sz="12" w:space="1" w:color="auto"/>
      </w:pBdr>
      <w:spacing w:line="240" w:lineRule="auto"/>
    </w:pPr>
    <w:rPr>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9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694">
          <w:marLeft w:val="0"/>
          <w:marRight w:val="0"/>
          <w:marTop w:val="0"/>
          <w:marBottom w:val="0"/>
          <w:divBdr>
            <w:top w:val="none" w:sz="0" w:space="0" w:color="auto"/>
            <w:left w:val="none" w:sz="0" w:space="0" w:color="auto"/>
            <w:bottom w:val="none" w:sz="0" w:space="0" w:color="auto"/>
            <w:right w:val="none" w:sz="0" w:space="0" w:color="auto"/>
          </w:divBdr>
          <w:divsChild>
            <w:div w:id="411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8338">
      <w:bodyDiv w:val="1"/>
      <w:marLeft w:val="0"/>
      <w:marRight w:val="0"/>
      <w:marTop w:val="0"/>
      <w:marBottom w:val="0"/>
      <w:divBdr>
        <w:top w:val="none" w:sz="0" w:space="0" w:color="auto"/>
        <w:left w:val="none" w:sz="0" w:space="0" w:color="auto"/>
        <w:bottom w:val="none" w:sz="0" w:space="0" w:color="auto"/>
        <w:right w:val="none" w:sz="0" w:space="0" w:color="auto"/>
      </w:divBdr>
    </w:div>
    <w:div w:id="1129786745">
      <w:bodyDiv w:val="1"/>
      <w:marLeft w:val="0"/>
      <w:marRight w:val="0"/>
      <w:marTop w:val="0"/>
      <w:marBottom w:val="0"/>
      <w:divBdr>
        <w:top w:val="none" w:sz="0" w:space="0" w:color="auto"/>
        <w:left w:val="none" w:sz="0" w:space="0" w:color="auto"/>
        <w:bottom w:val="none" w:sz="0" w:space="0" w:color="auto"/>
        <w:right w:val="none" w:sz="0" w:space="0" w:color="auto"/>
      </w:divBdr>
    </w:div>
    <w:div w:id="1319578252">
      <w:bodyDiv w:val="1"/>
      <w:marLeft w:val="0"/>
      <w:marRight w:val="0"/>
      <w:marTop w:val="0"/>
      <w:marBottom w:val="0"/>
      <w:divBdr>
        <w:top w:val="none" w:sz="0" w:space="0" w:color="auto"/>
        <w:left w:val="none" w:sz="0" w:space="0" w:color="auto"/>
        <w:bottom w:val="none" w:sz="0" w:space="0" w:color="auto"/>
        <w:right w:val="none" w:sz="0" w:space="0" w:color="auto"/>
      </w:divBdr>
    </w:div>
    <w:div w:id="1866021604">
      <w:bodyDiv w:val="1"/>
      <w:marLeft w:val="0"/>
      <w:marRight w:val="0"/>
      <w:marTop w:val="0"/>
      <w:marBottom w:val="0"/>
      <w:divBdr>
        <w:top w:val="none" w:sz="0" w:space="0" w:color="auto"/>
        <w:left w:val="none" w:sz="0" w:space="0" w:color="auto"/>
        <w:bottom w:val="none" w:sz="0" w:space="0" w:color="auto"/>
        <w:right w:val="none" w:sz="0" w:space="0" w:color="auto"/>
      </w:divBdr>
    </w:div>
    <w:div w:id="1914511824">
      <w:bodyDiv w:val="1"/>
      <w:marLeft w:val="0"/>
      <w:marRight w:val="0"/>
      <w:marTop w:val="0"/>
      <w:marBottom w:val="0"/>
      <w:divBdr>
        <w:top w:val="none" w:sz="0" w:space="0" w:color="auto"/>
        <w:left w:val="none" w:sz="0" w:space="0" w:color="auto"/>
        <w:bottom w:val="none" w:sz="0" w:space="0" w:color="auto"/>
        <w:right w:val="none" w:sz="0" w:space="0" w:color="auto"/>
      </w:divBdr>
    </w:div>
    <w:div w:id="2143190631">
      <w:bodyDiv w:val="1"/>
      <w:marLeft w:val="0"/>
      <w:marRight w:val="0"/>
      <w:marTop w:val="0"/>
      <w:marBottom w:val="0"/>
      <w:divBdr>
        <w:top w:val="none" w:sz="0" w:space="0" w:color="auto"/>
        <w:left w:val="none" w:sz="0" w:space="0" w:color="auto"/>
        <w:bottom w:val="none" w:sz="0" w:space="0" w:color="auto"/>
        <w:right w:val="none" w:sz="0" w:space="0" w:color="auto"/>
      </w:divBdr>
    </w:div>
    <w:div w:id="21451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2014-07-17T14:30:00+00:00</Hearing_x0020_Date>
    <Decision_x0020_Category xmlns="28e3188d-fccf-4e87-a6b6-2e446be4517c">Liquor</Decision_x0020_Category>
    <_dlc_DocId xmlns="28e3188d-fccf-4e87-a6b6-2e446be4517c">2AXQX2YYQNYC-455-1318</_dlc_DocId>
    <_dlc_DocIdUrl xmlns="28e3188d-fccf-4e87-a6b6-2e446be4517c">
      <Url>http://www.dob.nt.gov.au/gambling-licensing/decisions/hearings-decisions/_layouts/DocIdRedir.aspx?ID=2AXQX2YYQNYC-455-1318</Url>
      <Description>2AXQX2YYQNYC-455-1318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B488E-3E65-43AA-9937-10BBDF17CF3F}"/>
</file>

<file path=customXml/itemProps2.xml><?xml version="1.0" encoding="utf-8"?>
<ds:datastoreItem xmlns:ds="http://schemas.openxmlformats.org/officeDocument/2006/customXml" ds:itemID="{D093471D-7BB4-4B84-B489-D3D4482E560F}"/>
</file>

<file path=customXml/itemProps3.xml><?xml version="1.0" encoding="utf-8"?>
<ds:datastoreItem xmlns:ds="http://schemas.openxmlformats.org/officeDocument/2006/customXml" ds:itemID="{8F308EF7-AAE2-49C3-B983-679F9ACC6891}"/>
</file>

<file path=customXml/itemProps4.xml><?xml version="1.0" encoding="utf-8"?>
<ds:datastoreItem xmlns:ds="http://schemas.openxmlformats.org/officeDocument/2006/customXml" ds:itemID="{34D2C95A-47B7-4B14-9890-20DB5C752AE5}"/>
</file>

<file path=customXml/itemProps5.xml><?xml version="1.0" encoding="utf-8"?>
<ds:datastoreItem xmlns:ds="http://schemas.openxmlformats.org/officeDocument/2006/customXml" ds:itemID="{62CA8917-3C72-4A61-912A-C2EB8A0BC395}"/>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Northern Territory Government</Company>
  <LinksUpToDate>false</LinksUpToDate>
  <CharactersWithSpaces>8318</CharactersWithSpaces>
  <SharedDoc>false</SharedDoc>
  <HLinks>
    <vt:vector size="6" baseType="variant">
      <vt:variant>
        <vt:i4>2490445</vt:i4>
      </vt:variant>
      <vt:variant>
        <vt:i4>0</vt:i4>
      </vt:variant>
      <vt:variant>
        <vt:i4>0</vt:i4>
      </vt:variant>
      <vt:variant>
        <vt:i4>5</vt:i4>
      </vt:variant>
      <vt:variant>
        <vt:lpwstr>mailto:fernando@afaib.com.au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Gateway 47F to 47I</dc:title>
  <dc:creator>mshort</dc:creator>
  <cp:lastModifiedBy>TSmart</cp:lastModifiedBy>
  <cp:revision>2</cp:revision>
  <cp:lastPrinted>2014-04-01T04:44:00Z</cp:lastPrinted>
  <dcterms:created xsi:type="dcterms:W3CDTF">2014-07-17T07:04:00Z</dcterms:created>
  <dcterms:modified xsi:type="dcterms:W3CDTF">2014-07-17T07:04:00Z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8b33d6ce-bdb4-40a9-82cb-081c36a5795a</vt:lpwstr>
  </property>
</Properties>
</file>