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E2" w:rsidRPr="0085018E" w:rsidRDefault="003B38E2" w:rsidP="0085018E">
      <w:pPr>
        <w:pStyle w:val="Heading1"/>
      </w:pPr>
      <w:r w:rsidRPr="0085018E">
        <w:t>Reasons for Decision</w:t>
      </w:r>
    </w:p>
    <w:p w:rsidR="00115E4C" w:rsidRPr="00EF59BF" w:rsidRDefault="00115E4C" w:rsidP="0085018E">
      <w:pPr>
        <w:tabs>
          <w:tab w:val="left" w:pos="2835"/>
        </w:tabs>
        <w:spacing w:after="240"/>
        <w:rPr>
          <w:b/>
        </w:rPr>
      </w:pPr>
      <w:r w:rsidRPr="00115E4C">
        <w:rPr>
          <w:b/>
        </w:rPr>
        <w:t>Applicant:</w:t>
      </w:r>
      <w:r w:rsidRPr="00115E4C">
        <w:rPr>
          <w:b/>
        </w:rPr>
        <w:tab/>
      </w:r>
      <w:bookmarkStart w:id="0" w:name="_GoBack"/>
      <w:r w:rsidRPr="00EF59BF">
        <w:rPr>
          <w:b/>
        </w:rPr>
        <w:t>Craft Beer Australia Pty Ltd</w:t>
      </w:r>
    </w:p>
    <w:bookmarkEnd w:id="0"/>
    <w:p w:rsidR="003B38E2" w:rsidRDefault="00115E4C" w:rsidP="0085018E">
      <w:pPr>
        <w:tabs>
          <w:tab w:val="left" w:pos="2835"/>
        </w:tabs>
        <w:spacing w:after="240"/>
        <w:rPr>
          <w:rFonts w:cs="Arial"/>
          <w:b/>
          <w:lang w:val="en-GB"/>
        </w:rPr>
      </w:pPr>
      <w:r>
        <w:rPr>
          <w:b/>
        </w:rPr>
        <w:t>Premises</w:t>
      </w:r>
      <w:r w:rsidR="003B38E2" w:rsidRPr="00C05A58">
        <w:rPr>
          <w:rFonts w:cs="Arial"/>
          <w:b/>
          <w:lang w:val="en-GB"/>
        </w:rPr>
        <w:t>:</w:t>
      </w:r>
      <w:r w:rsidR="003B38E2" w:rsidRPr="00C05A58">
        <w:rPr>
          <w:rFonts w:cs="Arial"/>
          <w:b/>
          <w:lang w:val="en-GB"/>
        </w:rPr>
        <w:tab/>
      </w:r>
      <w:r w:rsidR="00F76C94" w:rsidRPr="00115E4C">
        <w:rPr>
          <w:rFonts w:cs="Arial"/>
          <w:lang w:val="en-GB"/>
        </w:rPr>
        <w:t>The Precinct Tavern</w:t>
      </w:r>
    </w:p>
    <w:p w:rsidR="00F76C94" w:rsidRDefault="00F76C94" w:rsidP="0085018E">
      <w:pPr>
        <w:tabs>
          <w:tab w:val="left" w:pos="2835"/>
        </w:tabs>
        <w:spacing w:after="240"/>
        <w:rPr>
          <w:rFonts w:cs="Arial"/>
          <w:lang w:val="en-GB"/>
        </w:rPr>
      </w:pPr>
      <w:r>
        <w:rPr>
          <w:b/>
        </w:rPr>
        <w:t>Nominee</w:t>
      </w:r>
      <w:r w:rsidRPr="00F76C94">
        <w:rPr>
          <w:rFonts w:cs="Arial"/>
          <w:lang w:val="en-GB"/>
        </w:rPr>
        <w:t>:</w:t>
      </w:r>
      <w:r>
        <w:rPr>
          <w:rFonts w:cs="Arial"/>
          <w:lang w:val="en-GB"/>
        </w:rPr>
        <w:tab/>
        <w:t>Mr Ryan Jenkins</w:t>
      </w:r>
    </w:p>
    <w:p w:rsidR="00F76C94" w:rsidRPr="00C05A58" w:rsidRDefault="00F76C94" w:rsidP="0085018E">
      <w:pPr>
        <w:tabs>
          <w:tab w:val="left" w:pos="2835"/>
        </w:tabs>
        <w:spacing w:after="240"/>
        <w:rPr>
          <w:rFonts w:cs="Arial"/>
          <w:lang w:val="en-GB"/>
        </w:rPr>
      </w:pPr>
      <w:r>
        <w:rPr>
          <w:b/>
        </w:rPr>
        <w:t>Licence Number</w:t>
      </w:r>
      <w:r w:rsidRPr="00F76C94">
        <w:rPr>
          <w:rFonts w:cs="Arial"/>
          <w:lang w:val="en-GB"/>
        </w:rPr>
        <w:t>:</w:t>
      </w:r>
      <w:r>
        <w:rPr>
          <w:rFonts w:cs="Arial"/>
          <w:lang w:val="en-GB"/>
        </w:rPr>
        <w:tab/>
        <w:t>80318470</w:t>
      </w:r>
    </w:p>
    <w:p w:rsidR="00115E4C" w:rsidRPr="00115E4C" w:rsidRDefault="00115E4C" w:rsidP="0085018E">
      <w:pPr>
        <w:tabs>
          <w:tab w:val="left" w:pos="2835"/>
        </w:tabs>
        <w:spacing w:after="240"/>
      </w:pPr>
      <w:r>
        <w:rPr>
          <w:b/>
        </w:rPr>
        <w:t>Application</w:t>
      </w:r>
      <w:r w:rsidRPr="00115E4C">
        <w:rPr>
          <w:b/>
        </w:rPr>
        <w:t>:</w:t>
      </w:r>
      <w:r w:rsidRPr="00115E4C">
        <w:rPr>
          <w:b/>
        </w:rPr>
        <w:tab/>
      </w:r>
      <w:r w:rsidRPr="00115E4C">
        <w:t>Variation of Licence Conditions</w:t>
      </w:r>
    </w:p>
    <w:p w:rsidR="00115E4C" w:rsidRDefault="00115E4C" w:rsidP="0085018E">
      <w:pPr>
        <w:tabs>
          <w:tab w:val="left" w:pos="2835"/>
        </w:tabs>
        <w:spacing w:after="240"/>
        <w:ind w:left="2835" w:hanging="2835"/>
      </w:pPr>
      <w:r>
        <w:rPr>
          <w:b/>
        </w:rPr>
        <w:t>Members:</w:t>
      </w:r>
      <w:r w:rsidR="003B38E2" w:rsidRPr="00C05A58">
        <w:rPr>
          <w:rFonts w:cs="Arial"/>
          <w:b/>
          <w:lang w:val="en-GB"/>
        </w:rPr>
        <w:tab/>
      </w:r>
      <w:r w:rsidR="003B38E2">
        <w:rPr>
          <w:rFonts w:cs="Arial"/>
          <w:lang w:val="en-GB"/>
        </w:rPr>
        <w:t>M</w:t>
      </w:r>
      <w:r w:rsidR="00FD5946">
        <w:rPr>
          <w:rFonts w:cs="Arial"/>
          <w:lang w:val="en-GB"/>
        </w:rPr>
        <w:t>r Richard O’Sullivan (Chairman</w:t>
      </w:r>
      <w:proofErr w:type="gramStart"/>
      <w:r w:rsidR="00FD5946">
        <w:rPr>
          <w:rFonts w:cs="Arial"/>
          <w:lang w:val="en-GB"/>
        </w:rPr>
        <w:t>)</w:t>
      </w:r>
      <w:proofErr w:type="gramEnd"/>
      <w:r w:rsidR="0085018E">
        <w:rPr>
          <w:rFonts w:cs="Arial"/>
          <w:lang w:val="en-GB"/>
        </w:rPr>
        <w:br/>
      </w:r>
      <w:r>
        <w:t xml:space="preserve">Mr </w:t>
      </w:r>
      <w:proofErr w:type="spellStart"/>
      <w:r>
        <w:t>Seán</w:t>
      </w:r>
      <w:proofErr w:type="spellEnd"/>
      <w:r>
        <w:t xml:space="preserve"> Parnell</w:t>
      </w:r>
      <w:r w:rsidR="0085018E">
        <w:br/>
      </w:r>
      <w:r>
        <w:t xml:space="preserve">Mr John </w:t>
      </w:r>
      <w:proofErr w:type="spellStart"/>
      <w:r>
        <w:t>Brears</w:t>
      </w:r>
      <w:proofErr w:type="spellEnd"/>
    </w:p>
    <w:p w:rsidR="00115E4C" w:rsidRDefault="00115E4C" w:rsidP="0085018E">
      <w:pPr>
        <w:tabs>
          <w:tab w:val="left" w:pos="2835"/>
        </w:tabs>
        <w:spacing w:after="240"/>
        <w:ind w:left="2835" w:hanging="2835"/>
      </w:pPr>
      <w:r>
        <w:rPr>
          <w:b/>
        </w:rPr>
        <w:t>Appearances:</w:t>
      </w:r>
      <w:r w:rsidRPr="00115E4C">
        <w:rPr>
          <w:b/>
        </w:rPr>
        <w:tab/>
      </w:r>
      <w:r>
        <w:t>Mr Terry O’Neill, Deputy CEO, Darwin Waterfront Corporation</w:t>
      </w:r>
    </w:p>
    <w:p w:rsidR="000F3C19" w:rsidRDefault="000F3C19" w:rsidP="0085018E">
      <w:pPr>
        <w:tabs>
          <w:tab w:val="left" w:pos="2835"/>
        </w:tabs>
        <w:spacing w:after="240"/>
        <w:rPr>
          <w:b/>
        </w:rPr>
      </w:pPr>
      <w:r>
        <w:rPr>
          <w:b/>
        </w:rPr>
        <w:t xml:space="preserve">Hearing </w:t>
      </w:r>
      <w:r w:rsidRPr="00115E4C">
        <w:rPr>
          <w:b/>
        </w:rPr>
        <w:t>Date</w:t>
      </w:r>
      <w:r>
        <w:rPr>
          <w:b/>
        </w:rPr>
        <w:t>:</w:t>
      </w:r>
      <w:r w:rsidRPr="00115E4C">
        <w:rPr>
          <w:b/>
        </w:rPr>
        <w:tab/>
      </w:r>
      <w:r w:rsidRPr="00115E4C">
        <w:t>22 August 2014 (Hearing on Papers)</w:t>
      </w:r>
    </w:p>
    <w:p w:rsidR="000F3C19" w:rsidRPr="000F3C19" w:rsidRDefault="000F3C19" w:rsidP="00115E4C">
      <w:pPr>
        <w:spacing w:before="240" w:after="240"/>
        <w:ind w:left="2835" w:hanging="2835"/>
        <w:rPr>
          <w:szCs w:val="20"/>
        </w:rPr>
      </w:pPr>
      <w:r>
        <w:rPr>
          <w:b/>
          <w:szCs w:val="20"/>
        </w:rPr>
        <w:t>Date of Decision:</w:t>
      </w:r>
      <w:r>
        <w:rPr>
          <w:b/>
          <w:szCs w:val="20"/>
        </w:rPr>
        <w:tab/>
      </w:r>
      <w:r>
        <w:rPr>
          <w:szCs w:val="20"/>
        </w:rPr>
        <w:t>29 August 2014</w:t>
      </w:r>
    </w:p>
    <w:p w:rsidR="003B38E2" w:rsidRPr="00A30195" w:rsidRDefault="003B38E2" w:rsidP="003B38E2">
      <w:pPr>
        <w:pStyle w:val="BottomLine"/>
      </w:pPr>
    </w:p>
    <w:p w:rsidR="003B38E2" w:rsidRPr="00903E87" w:rsidRDefault="0085018E" w:rsidP="00E07BB5">
      <w:pPr>
        <w:pStyle w:val="Heading2"/>
        <w:spacing w:before="0" w:line="240" w:lineRule="atLeast"/>
        <w:rPr>
          <w:rFonts w:cs="Arial"/>
        </w:rPr>
      </w:pPr>
      <w:r w:rsidRPr="003B38E2">
        <w:t>Background</w:t>
      </w:r>
    </w:p>
    <w:p w:rsidR="00903E87" w:rsidRDefault="00115E4C" w:rsidP="00E07BB5">
      <w:pPr>
        <w:numPr>
          <w:ilvl w:val="0"/>
          <w:numId w:val="1"/>
        </w:numPr>
        <w:tabs>
          <w:tab w:val="clear" w:pos="720"/>
        </w:tabs>
        <w:spacing w:after="120" w:line="240" w:lineRule="atLeast"/>
        <w:ind w:left="425" w:hanging="425"/>
        <w:jc w:val="both"/>
        <w:rPr>
          <w:rFonts w:cs="Arial"/>
        </w:rPr>
      </w:pPr>
      <w:r>
        <w:rPr>
          <w:rFonts w:cs="Arial"/>
        </w:rPr>
        <w:t>The applicant has sought the removal of the following five conditions from The Precinct Tavern liquor licence</w:t>
      </w:r>
      <w:r w:rsidR="0058569B">
        <w:rPr>
          <w:rFonts w:cs="Arial"/>
        </w:rPr>
        <w:t>:</w:t>
      </w:r>
    </w:p>
    <w:p w:rsidR="00872C29" w:rsidRPr="00872C29" w:rsidRDefault="00872C29" w:rsidP="00872C29">
      <w:pPr>
        <w:spacing w:line="240" w:lineRule="atLeast"/>
        <w:ind w:left="1080" w:right="849"/>
        <w:jc w:val="both"/>
        <w:rPr>
          <w:rFonts w:cs="Arial"/>
          <w:i/>
        </w:rPr>
      </w:pPr>
      <w:r w:rsidRPr="00872C29">
        <w:rPr>
          <w:rFonts w:cs="Arial"/>
          <w:b/>
          <w:i/>
        </w:rPr>
        <w:t>“Restaurant</w:t>
      </w:r>
    </w:p>
    <w:p w:rsidR="00872C29" w:rsidRPr="00872C29" w:rsidRDefault="00872C29" w:rsidP="00E07BB5">
      <w:pPr>
        <w:pStyle w:val="ListParagraph"/>
        <w:numPr>
          <w:ilvl w:val="0"/>
          <w:numId w:val="16"/>
        </w:numPr>
        <w:spacing w:line="240" w:lineRule="atLeast"/>
        <w:ind w:left="1701" w:right="849" w:hanging="283"/>
        <w:jc w:val="both"/>
        <w:rPr>
          <w:rFonts w:cs="Arial"/>
          <w:i/>
        </w:rPr>
      </w:pPr>
      <w:r w:rsidRPr="00872C29">
        <w:rPr>
          <w:rFonts w:cs="Arial"/>
          <w:i/>
        </w:rPr>
        <w:t>Liquor shall only be sold by way of wait staff to patrons who are seated at a table.</w:t>
      </w:r>
    </w:p>
    <w:p w:rsidR="00872C29" w:rsidRPr="00872C29" w:rsidRDefault="00872C29" w:rsidP="00587579">
      <w:pPr>
        <w:pStyle w:val="ListParagraph"/>
        <w:numPr>
          <w:ilvl w:val="0"/>
          <w:numId w:val="16"/>
        </w:numPr>
        <w:spacing w:after="120" w:line="240" w:lineRule="atLeast"/>
        <w:ind w:left="1702" w:right="851" w:hanging="284"/>
        <w:jc w:val="both"/>
        <w:rPr>
          <w:rFonts w:cs="Arial"/>
          <w:i/>
        </w:rPr>
      </w:pPr>
      <w:r w:rsidRPr="00872C29">
        <w:rPr>
          <w:rFonts w:cs="Arial"/>
          <w:i/>
        </w:rPr>
        <w:t>No high tables or bar stools permitted in the Restaurant Area.</w:t>
      </w:r>
    </w:p>
    <w:p w:rsidR="00872C29" w:rsidRPr="00872C29" w:rsidRDefault="00872C29" w:rsidP="00872C29">
      <w:pPr>
        <w:spacing w:line="240" w:lineRule="atLeast"/>
        <w:ind w:left="1080" w:right="849"/>
        <w:jc w:val="both"/>
        <w:rPr>
          <w:rFonts w:cs="Arial"/>
          <w:b/>
          <w:i/>
        </w:rPr>
      </w:pPr>
      <w:r w:rsidRPr="00872C29">
        <w:rPr>
          <w:rFonts w:cs="Arial"/>
          <w:b/>
          <w:i/>
        </w:rPr>
        <w:t>Alfresco Area</w:t>
      </w:r>
    </w:p>
    <w:p w:rsidR="00872C29" w:rsidRPr="00872C29" w:rsidRDefault="00872C29" w:rsidP="00E07BB5">
      <w:pPr>
        <w:pStyle w:val="ListParagraph"/>
        <w:numPr>
          <w:ilvl w:val="0"/>
          <w:numId w:val="18"/>
        </w:numPr>
        <w:spacing w:line="240" w:lineRule="atLeast"/>
        <w:ind w:left="1701" w:right="849" w:hanging="283"/>
        <w:jc w:val="both"/>
        <w:rPr>
          <w:rFonts w:cs="Arial"/>
          <w:i/>
        </w:rPr>
      </w:pPr>
      <w:r w:rsidRPr="00872C29">
        <w:rPr>
          <w:rFonts w:cs="Arial"/>
          <w:i/>
        </w:rPr>
        <w:t>With the exception of those persons entering or exiting the venue through the Alfresco Area, all patrons to be seated.</w:t>
      </w:r>
    </w:p>
    <w:p w:rsidR="00872C29" w:rsidRPr="00872C29" w:rsidRDefault="00872C29" w:rsidP="00587579">
      <w:pPr>
        <w:pStyle w:val="ListParagraph"/>
        <w:numPr>
          <w:ilvl w:val="0"/>
          <w:numId w:val="18"/>
        </w:numPr>
        <w:spacing w:after="120" w:line="240" w:lineRule="atLeast"/>
        <w:ind w:left="1702" w:right="851" w:hanging="284"/>
        <w:jc w:val="both"/>
        <w:rPr>
          <w:rFonts w:cs="Arial"/>
          <w:i/>
        </w:rPr>
      </w:pPr>
      <w:r w:rsidRPr="00872C29">
        <w:rPr>
          <w:rFonts w:cs="Arial"/>
          <w:i/>
        </w:rPr>
        <w:t>No high tables or stools permitted in the Alfresco Area.</w:t>
      </w:r>
    </w:p>
    <w:p w:rsidR="00872C29" w:rsidRPr="00872C29" w:rsidRDefault="00872C29" w:rsidP="00872C29">
      <w:pPr>
        <w:spacing w:line="240" w:lineRule="atLeast"/>
        <w:ind w:left="1080" w:right="849"/>
        <w:jc w:val="both"/>
        <w:rPr>
          <w:rFonts w:cs="Arial"/>
          <w:i/>
        </w:rPr>
      </w:pPr>
      <w:r w:rsidRPr="00872C29">
        <w:rPr>
          <w:rFonts w:cs="Arial"/>
          <w:b/>
          <w:i/>
        </w:rPr>
        <w:t>Special Conditions – Entertainment</w:t>
      </w:r>
    </w:p>
    <w:p w:rsidR="00872C29" w:rsidRPr="00872C29" w:rsidRDefault="00872C29" w:rsidP="00E07BB5">
      <w:pPr>
        <w:pStyle w:val="ListParagraph"/>
        <w:numPr>
          <w:ilvl w:val="0"/>
          <w:numId w:val="19"/>
        </w:numPr>
        <w:spacing w:after="240" w:line="240" w:lineRule="atLeast"/>
        <w:ind w:left="1702" w:right="851" w:hanging="284"/>
        <w:jc w:val="both"/>
        <w:rPr>
          <w:rFonts w:cs="Arial"/>
          <w:i/>
        </w:rPr>
      </w:pPr>
      <w:r w:rsidRPr="00872C29">
        <w:rPr>
          <w:rFonts w:cs="Arial"/>
          <w:i/>
        </w:rPr>
        <w:t>No speakers or live performances permitted in the Alfresco Area.”</w:t>
      </w:r>
    </w:p>
    <w:p w:rsidR="00720AD8" w:rsidRDefault="00B23AA4" w:rsidP="003B38E2">
      <w:pPr>
        <w:numPr>
          <w:ilvl w:val="0"/>
          <w:numId w:val="1"/>
        </w:numPr>
        <w:tabs>
          <w:tab w:val="clear" w:pos="720"/>
        </w:tabs>
        <w:spacing w:after="240" w:line="240" w:lineRule="atLeast"/>
        <w:ind w:left="426" w:hanging="426"/>
        <w:jc w:val="both"/>
        <w:rPr>
          <w:rFonts w:cs="Arial"/>
        </w:rPr>
      </w:pPr>
      <w:r>
        <w:rPr>
          <w:rFonts w:cs="Arial"/>
        </w:rPr>
        <w:t>A joint objection to the application was received from Mr Ross Baynes and Miss Avril Vaughan who reside at Wharf 1, Kitchener Drive.  In a Decision of the Chairman of 24 July 2014, the objection was determined as valid and required a Hearing pursuant to Section 47I(7) of the Liquor Act</w:t>
      </w:r>
      <w:proofErr w:type="gramStart"/>
      <w:r>
        <w:rPr>
          <w:rFonts w:cs="Arial"/>
        </w:rPr>
        <w:t xml:space="preserve">.  </w:t>
      </w:r>
      <w:proofErr w:type="gramEnd"/>
      <w:r>
        <w:rPr>
          <w:rFonts w:cs="Arial"/>
        </w:rPr>
        <w:t>In that Decision it was noted that no formal response to the application had been sought from Police, the Waterfront Corporation and Health as normally occurs at the time of an application being advertised.</w:t>
      </w:r>
    </w:p>
    <w:p w:rsidR="00B23AA4" w:rsidRDefault="00422ED3" w:rsidP="003B38E2">
      <w:pPr>
        <w:numPr>
          <w:ilvl w:val="0"/>
          <w:numId w:val="1"/>
        </w:numPr>
        <w:tabs>
          <w:tab w:val="clear" w:pos="720"/>
        </w:tabs>
        <w:spacing w:after="240" w:line="240" w:lineRule="atLeast"/>
        <w:ind w:left="426" w:hanging="426"/>
        <w:jc w:val="both"/>
        <w:rPr>
          <w:rFonts w:cs="Arial"/>
        </w:rPr>
      </w:pPr>
      <w:r>
        <w:rPr>
          <w:rFonts w:cs="Arial"/>
        </w:rPr>
        <w:lastRenderedPageBreak/>
        <w:t>Following discussions involving the objectors, the applicant and a Licensing Inspector, the objectors determined not to give evidence at a formal Hearing, but to rely on their written objection as submitted on 14 May 2014.  The Commission then determined to conduct a Hearing on the Papers.</w:t>
      </w:r>
    </w:p>
    <w:p w:rsidR="00422ED3" w:rsidRDefault="00422ED3" w:rsidP="003B38E2">
      <w:pPr>
        <w:numPr>
          <w:ilvl w:val="0"/>
          <w:numId w:val="1"/>
        </w:numPr>
        <w:tabs>
          <w:tab w:val="clear" w:pos="720"/>
        </w:tabs>
        <w:spacing w:after="240" w:line="240" w:lineRule="atLeast"/>
        <w:ind w:left="426" w:hanging="426"/>
        <w:jc w:val="both"/>
        <w:rPr>
          <w:rFonts w:cs="Arial"/>
        </w:rPr>
      </w:pPr>
      <w:r>
        <w:rPr>
          <w:rFonts w:cs="Arial"/>
        </w:rPr>
        <w:t>Mr Terry O’Neill, Deputy CEO, Darwin Waterfront Corporation had sought clarification over the advertising and objection process and was invited to speak to the three Commission Member panel.  His appearance w</w:t>
      </w:r>
      <w:r w:rsidR="0015522E">
        <w:rPr>
          <w:rFonts w:cs="Arial"/>
        </w:rPr>
        <w:t>a</w:t>
      </w:r>
      <w:r>
        <w:rPr>
          <w:rFonts w:cs="Arial"/>
        </w:rPr>
        <w:t>s to provide background on the Waterfront, its development and general attitude to liquor licensing.</w:t>
      </w:r>
    </w:p>
    <w:p w:rsidR="000048F3" w:rsidRDefault="0085018E" w:rsidP="00CA53CE">
      <w:pPr>
        <w:pStyle w:val="Heading2"/>
      </w:pPr>
      <w:r>
        <w:t>Hearing on Papers</w:t>
      </w:r>
    </w:p>
    <w:p w:rsidR="0015522E" w:rsidRPr="0015522E" w:rsidRDefault="0015522E" w:rsidP="0015522E">
      <w:pPr>
        <w:numPr>
          <w:ilvl w:val="0"/>
          <w:numId w:val="1"/>
        </w:numPr>
        <w:tabs>
          <w:tab w:val="clear" w:pos="720"/>
        </w:tabs>
        <w:spacing w:after="240" w:line="240" w:lineRule="atLeast"/>
        <w:ind w:left="426" w:hanging="426"/>
        <w:jc w:val="both"/>
        <w:rPr>
          <w:rFonts w:cs="Arial"/>
          <w:i/>
        </w:rPr>
      </w:pPr>
      <w:r>
        <w:rPr>
          <w:rFonts w:cs="Arial"/>
        </w:rPr>
        <w:t>Mr O’Neill spoke to the “Darwin Waterfront Corporation Liquor Guidelines” as issued in April 2013.  He outlined the mixed use concept behind the Waterfront development and that in public areas and open spaces it was designed to be family friendly.  Accordingly he advised there was a focus on fostering family friendly ambience at the recreation lake, lawn areas and wave pool</w:t>
      </w:r>
      <w:proofErr w:type="gramStart"/>
      <w:r>
        <w:rPr>
          <w:rFonts w:cs="Arial"/>
        </w:rPr>
        <w:t xml:space="preserve">.  </w:t>
      </w:r>
      <w:proofErr w:type="gramEnd"/>
      <w:r>
        <w:rPr>
          <w:rFonts w:cs="Arial"/>
        </w:rPr>
        <w:t>He explained that it was the Waterfront Corporation</w:t>
      </w:r>
      <w:r w:rsidR="007329BA">
        <w:rPr>
          <w:rFonts w:cs="Arial"/>
        </w:rPr>
        <w:t>’s</w:t>
      </w:r>
      <w:r>
        <w:rPr>
          <w:rFonts w:cs="Arial"/>
        </w:rPr>
        <w:t xml:space="preserve"> concern that alfresco areas of licensed premises that face out onto the public areas provide an appearance consistent with this family friendly usage.  To meet this objective the Waterfront Corporation would prefer that patrons in alfresco areas be seated and that noise coming from the alfresco areas be at a volume so as not to cause disturbance to the public areas.  In particular he referred to the need for lifesavers at the wave pool to hear any distress calls, with the potential safety of the wave pool users compromised if noise from The Precinct Tavern alfresco area was at too high a volume.</w:t>
      </w:r>
    </w:p>
    <w:p w:rsidR="0015522E" w:rsidRPr="0015522E" w:rsidRDefault="0015522E" w:rsidP="0015522E">
      <w:pPr>
        <w:numPr>
          <w:ilvl w:val="0"/>
          <w:numId w:val="1"/>
        </w:numPr>
        <w:tabs>
          <w:tab w:val="clear" w:pos="720"/>
        </w:tabs>
        <w:spacing w:after="240" w:line="240" w:lineRule="atLeast"/>
        <w:ind w:left="426" w:hanging="426"/>
        <w:jc w:val="both"/>
        <w:rPr>
          <w:rFonts w:cs="Arial"/>
          <w:i/>
        </w:rPr>
      </w:pPr>
      <w:r>
        <w:rPr>
          <w:rFonts w:cs="Arial"/>
        </w:rPr>
        <w:t>The Commission note</w:t>
      </w:r>
      <w:r w:rsidR="007329BA">
        <w:rPr>
          <w:rFonts w:cs="Arial"/>
        </w:rPr>
        <w:t>d</w:t>
      </w:r>
      <w:r>
        <w:rPr>
          <w:rFonts w:cs="Arial"/>
        </w:rPr>
        <w:t xml:space="preserve"> the safety issue of noise in relation to the operation of life savers at the wave pool.  It also noted the desire of the Waterfront Corporation to maintain a mixed used and family friendly environment in the Waterfront Precinct area.  In relation to the noise from The Precinct Tavern, including the alfresco area, the Commission expresses the requirement that noise or music is not to adversely impact on the amenity of the neighbourhood or impair the safety operations of nearby wave pool life guards.</w:t>
      </w:r>
    </w:p>
    <w:p w:rsidR="0015522E" w:rsidRPr="0015522E" w:rsidRDefault="0015522E" w:rsidP="0015522E">
      <w:pPr>
        <w:numPr>
          <w:ilvl w:val="0"/>
          <w:numId w:val="1"/>
        </w:numPr>
        <w:tabs>
          <w:tab w:val="clear" w:pos="720"/>
        </w:tabs>
        <w:spacing w:after="240" w:line="240" w:lineRule="atLeast"/>
        <w:ind w:left="426" w:hanging="426"/>
        <w:jc w:val="both"/>
        <w:rPr>
          <w:rFonts w:cs="Arial"/>
          <w:i/>
        </w:rPr>
      </w:pPr>
      <w:r>
        <w:rPr>
          <w:rFonts w:cs="Arial"/>
        </w:rPr>
        <w:t xml:space="preserve">Careful consideration was made of the application to remove the requirements for patrons to be seated in the alfresco area.  The Commission is mindful of the Waterfront Corporation’s desire to maintain a family friendly atmosphere in public spaces.  Visibility of the licensed alfresco areas from the lawns and </w:t>
      </w:r>
      <w:r w:rsidR="00A772B5">
        <w:rPr>
          <w:rFonts w:cs="Arial"/>
        </w:rPr>
        <w:t>aquatic</w:t>
      </w:r>
      <w:r>
        <w:rPr>
          <w:rFonts w:cs="Arial"/>
        </w:rPr>
        <w:t xml:space="preserve"> areas of the Waterfront require that they present an orderly appearance.  </w:t>
      </w:r>
      <w:r w:rsidR="007329BA">
        <w:rPr>
          <w:rFonts w:cs="Arial"/>
        </w:rPr>
        <w:t>In the Commission’s view p</w:t>
      </w:r>
      <w:r>
        <w:rPr>
          <w:rFonts w:cs="Arial"/>
        </w:rPr>
        <w:t xml:space="preserve">atrons </w:t>
      </w:r>
      <w:r w:rsidR="007329BA">
        <w:rPr>
          <w:rFonts w:cs="Arial"/>
        </w:rPr>
        <w:t>standing</w:t>
      </w:r>
      <w:r>
        <w:rPr>
          <w:rFonts w:cs="Arial"/>
        </w:rPr>
        <w:t xml:space="preserve"> </w:t>
      </w:r>
      <w:r w:rsidR="00BB54B5">
        <w:rPr>
          <w:rFonts w:cs="Arial"/>
        </w:rPr>
        <w:t>while drinking</w:t>
      </w:r>
      <w:r w:rsidR="00A772B5">
        <w:rPr>
          <w:rFonts w:cs="Arial"/>
        </w:rPr>
        <w:t xml:space="preserve"> is less likely to present such an orderly environment than if patrons are seated.</w:t>
      </w:r>
    </w:p>
    <w:p w:rsidR="002C6BB7" w:rsidRPr="002C6BB7" w:rsidRDefault="0085018E" w:rsidP="00CA53CE">
      <w:pPr>
        <w:pStyle w:val="Heading2"/>
      </w:pPr>
      <w:r>
        <w:t>Decision</w:t>
      </w:r>
    </w:p>
    <w:p w:rsidR="00E05D93" w:rsidRDefault="00274997" w:rsidP="003B38E2">
      <w:pPr>
        <w:numPr>
          <w:ilvl w:val="0"/>
          <w:numId w:val="1"/>
        </w:numPr>
        <w:tabs>
          <w:tab w:val="clear" w:pos="720"/>
        </w:tabs>
        <w:spacing w:after="240" w:line="240" w:lineRule="atLeast"/>
        <w:ind w:left="426" w:hanging="426"/>
        <w:jc w:val="both"/>
        <w:rPr>
          <w:rFonts w:cs="Arial"/>
        </w:rPr>
      </w:pPr>
      <w:r>
        <w:rPr>
          <w:rFonts w:cs="Arial"/>
        </w:rPr>
        <w:t xml:space="preserve">The Commission has determined </w:t>
      </w:r>
      <w:r w:rsidR="00A772B5">
        <w:rPr>
          <w:rFonts w:cs="Arial"/>
        </w:rPr>
        <w:t>to remove the following conditions from The Precinct Tavern liquor licence:</w:t>
      </w:r>
    </w:p>
    <w:p w:rsidR="00A772B5" w:rsidRPr="00A772B5" w:rsidRDefault="00A772B5" w:rsidP="00A772B5">
      <w:pPr>
        <w:spacing w:line="240" w:lineRule="atLeast"/>
        <w:ind w:left="426"/>
        <w:jc w:val="both"/>
        <w:rPr>
          <w:rFonts w:cs="Arial"/>
        </w:rPr>
      </w:pPr>
      <w:r w:rsidRPr="00A772B5">
        <w:rPr>
          <w:rFonts w:cs="Arial"/>
        </w:rPr>
        <w:t>•</w:t>
      </w:r>
      <w:r w:rsidRPr="00A772B5">
        <w:rPr>
          <w:rFonts w:cs="Arial"/>
        </w:rPr>
        <w:tab/>
        <w:t>Liquor shall only be sold by way of wait staff to patrons who are seated at a table.</w:t>
      </w:r>
    </w:p>
    <w:p w:rsidR="00A772B5" w:rsidRPr="00A772B5" w:rsidRDefault="00A772B5" w:rsidP="00A772B5">
      <w:pPr>
        <w:spacing w:line="240" w:lineRule="atLeast"/>
        <w:ind w:left="426"/>
        <w:jc w:val="both"/>
        <w:rPr>
          <w:rFonts w:cs="Arial"/>
        </w:rPr>
      </w:pPr>
      <w:r w:rsidRPr="00A772B5">
        <w:rPr>
          <w:rFonts w:cs="Arial"/>
        </w:rPr>
        <w:t>•</w:t>
      </w:r>
      <w:r w:rsidRPr="00A772B5">
        <w:rPr>
          <w:rFonts w:cs="Arial"/>
        </w:rPr>
        <w:tab/>
        <w:t>No high tables or bar stools permitted in the Restaurant Area.</w:t>
      </w:r>
    </w:p>
    <w:p w:rsidR="00A772B5" w:rsidRPr="00A772B5" w:rsidRDefault="00A772B5" w:rsidP="00A772B5">
      <w:pPr>
        <w:spacing w:line="240" w:lineRule="atLeast"/>
        <w:ind w:left="426"/>
        <w:jc w:val="both"/>
        <w:rPr>
          <w:rFonts w:cs="Arial"/>
        </w:rPr>
      </w:pPr>
      <w:r w:rsidRPr="00A772B5">
        <w:rPr>
          <w:rFonts w:cs="Arial"/>
        </w:rPr>
        <w:t>•</w:t>
      </w:r>
      <w:r w:rsidRPr="00A772B5">
        <w:rPr>
          <w:rFonts w:cs="Arial"/>
        </w:rPr>
        <w:tab/>
        <w:t>No high tables or stools permitted in the Alfresco Area.</w:t>
      </w:r>
    </w:p>
    <w:p w:rsidR="00A772B5" w:rsidRDefault="00A772B5" w:rsidP="00A772B5">
      <w:pPr>
        <w:numPr>
          <w:ilvl w:val="0"/>
          <w:numId w:val="1"/>
        </w:numPr>
        <w:tabs>
          <w:tab w:val="clear" w:pos="720"/>
        </w:tabs>
        <w:spacing w:before="240" w:after="240" w:line="240" w:lineRule="atLeast"/>
        <w:ind w:left="426" w:hanging="426"/>
        <w:jc w:val="both"/>
        <w:rPr>
          <w:rFonts w:cs="Arial"/>
        </w:rPr>
      </w:pPr>
      <w:r>
        <w:rPr>
          <w:rFonts w:cs="Arial"/>
        </w:rPr>
        <w:lastRenderedPageBreak/>
        <w:t>The Commission does not remove the requirement that patrons in the Alfresco Area are to be seated.</w:t>
      </w:r>
    </w:p>
    <w:p w:rsidR="00A772B5" w:rsidRDefault="00A772B5" w:rsidP="003B38E2">
      <w:pPr>
        <w:numPr>
          <w:ilvl w:val="0"/>
          <w:numId w:val="1"/>
        </w:numPr>
        <w:tabs>
          <w:tab w:val="clear" w:pos="720"/>
        </w:tabs>
        <w:spacing w:after="240" w:line="240" w:lineRule="atLeast"/>
        <w:ind w:left="426" w:hanging="426"/>
        <w:jc w:val="both"/>
        <w:rPr>
          <w:rFonts w:cs="Arial"/>
        </w:rPr>
      </w:pPr>
      <w:r>
        <w:rPr>
          <w:rFonts w:cs="Arial"/>
        </w:rPr>
        <w:t>In relation to the existing licence condition that “No speaker</w:t>
      </w:r>
      <w:r w:rsidR="007329BA">
        <w:rPr>
          <w:rFonts w:cs="Arial"/>
        </w:rPr>
        <w:t>s</w:t>
      </w:r>
      <w:r>
        <w:rPr>
          <w:rFonts w:cs="Arial"/>
        </w:rPr>
        <w:t xml:space="preserve"> or live performances permitted in the Alfresco Area”, the Commission removes the ban on speakers.  Speakers will be permitted to broadcast music so long as the volume does not adversely impact on the amenity of others users and occupiers of the area and does not impact on the safety of users of the wave pool.  The playing of live music in the alfresco area is to be subject to individual application and approval as a temporary licence variation.</w:t>
      </w:r>
    </w:p>
    <w:p w:rsidR="002C6BB7" w:rsidRDefault="002C6BB7" w:rsidP="0085018E">
      <w:pPr>
        <w:spacing w:before="1200" w:line="240" w:lineRule="atLeast"/>
        <w:ind w:left="426" w:hanging="426"/>
        <w:jc w:val="both"/>
        <w:rPr>
          <w:rFonts w:cs="Arial"/>
        </w:rPr>
      </w:pPr>
      <w:r>
        <w:rPr>
          <w:rFonts w:cs="Arial"/>
        </w:rPr>
        <w:t>Richard O’Sullivan</w:t>
      </w:r>
    </w:p>
    <w:p w:rsidR="002C6BB7" w:rsidRDefault="002C6BB7" w:rsidP="003B38E2">
      <w:pPr>
        <w:spacing w:after="240" w:line="240" w:lineRule="atLeast"/>
        <w:ind w:left="426" w:hanging="426"/>
        <w:jc w:val="both"/>
        <w:rPr>
          <w:rFonts w:cs="Arial"/>
        </w:rPr>
      </w:pPr>
      <w:r>
        <w:rPr>
          <w:rFonts w:cs="Arial"/>
        </w:rPr>
        <w:t>C</w:t>
      </w:r>
      <w:r w:rsidR="0085018E">
        <w:rPr>
          <w:rFonts w:cs="Arial"/>
        </w:rPr>
        <w:t>hairman</w:t>
      </w:r>
    </w:p>
    <w:p w:rsidR="008707D3" w:rsidRDefault="000F3C19" w:rsidP="003B38E2">
      <w:pPr>
        <w:spacing w:after="240" w:line="240" w:lineRule="atLeast"/>
        <w:ind w:left="426" w:hanging="426"/>
        <w:jc w:val="both"/>
        <w:rPr>
          <w:rFonts w:cs="Arial"/>
        </w:rPr>
      </w:pPr>
      <w:r>
        <w:rPr>
          <w:rFonts w:cs="Arial"/>
        </w:rPr>
        <w:t xml:space="preserve">29 </w:t>
      </w:r>
      <w:r w:rsidR="00A772B5">
        <w:rPr>
          <w:rFonts w:cs="Arial"/>
        </w:rPr>
        <w:t>August</w:t>
      </w:r>
      <w:r w:rsidR="00742D00">
        <w:rPr>
          <w:rFonts w:cs="Arial"/>
        </w:rPr>
        <w:t xml:space="preserve"> 2014</w:t>
      </w:r>
    </w:p>
    <w:sectPr w:rsidR="008707D3" w:rsidSect="003B38E2">
      <w:headerReference w:type="even" r:id="rId9"/>
      <w:headerReference w:type="default" r:id="rId10"/>
      <w:headerReference w:type="first" r:id="rId11"/>
      <w:pgSz w:w="11906" w:h="16838" w:code="9"/>
      <w:pgMar w:top="1440" w:right="1134"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3A7" w:rsidRDefault="00D923A7">
      <w:r>
        <w:separator/>
      </w:r>
    </w:p>
  </w:endnote>
  <w:endnote w:type="continuationSeparator" w:id="0">
    <w:p w:rsidR="00D923A7" w:rsidRDefault="00D9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3A7" w:rsidRDefault="00D923A7">
      <w:r>
        <w:separator/>
      </w:r>
    </w:p>
  </w:footnote>
  <w:footnote w:type="continuationSeparator" w:id="0">
    <w:p w:rsidR="00D923A7" w:rsidRDefault="00D92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25D" w:rsidRDefault="00C5025D" w:rsidP="00F2791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025D" w:rsidRDefault="00C5025D" w:rsidP="00340E1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499662"/>
      <w:docPartObj>
        <w:docPartGallery w:val="Page Numbers (Top of Page)"/>
        <w:docPartUnique/>
      </w:docPartObj>
    </w:sdtPr>
    <w:sdtEndPr>
      <w:rPr>
        <w:noProof/>
      </w:rPr>
    </w:sdtEndPr>
    <w:sdtContent>
      <w:p w:rsidR="00C5025D" w:rsidRDefault="0085018E" w:rsidP="0085018E">
        <w:pPr>
          <w:pStyle w:val="Header"/>
          <w:jc w:val="right"/>
        </w:pPr>
        <w:r>
          <w:fldChar w:fldCharType="begin"/>
        </w:r>
        <w:r>
          <w:instrText xml:space="preserve"> PAGE   \* MERGEFORMAT </w:instrText>
        </w:r>
        <w:r>
          <w:fldChar w:fldCharType="separate"/>
        </w:r>
        <w:r w:rsidR="00EF59BF">
          <w:rPr>
            <w:noProof/>
          </w:rPr>
          <w:t>3</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8E2" w:rsidRDefault="0085018E" w:rsidP="003B38E2">
    <w:pPr>
      <w:jc w:val="center"/>
    </w:pPr>
    <w:r w:rsidRPr="00C26AA1">
      <w:rPr>
        <w:b/>
        <w:sz w:val="32"/>
      </w:rPr>
      <w:t xml:space="preserve">Northern Territory </w:t>
    </w:r>
    <w:r>
      <w:rPr>
        <w:b/>
        <w:sz w:val="32"/>
      </w:rPr>
      <w:t>Licensing</w:t>
    </w:r>
    <w:r w:rsidRPr="00C26AA1">
      <w:rPr>
        <w:b/>
        <w:sz w:val="32"/>
      </w:rPr>
      <w:t xml:space="preserve">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350"/>
    <w:multiLevelType w:val="hybridMultilevel"/>
    <w:tmpl w:val="9C2E37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A92568"/>
    <w:multiLevelType w:val="hybridMultilevel"/>
    <w:tmpl w:val="32C2C904"/>
    <w:lvl w:ilvl="0" w:tplc="07467D5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C2B97"/>
    <w:multiLevelType w:val="hybridMultilevel"/>
    <w:tmpl w:val="DF36DC2A"/>
    <w:lvl w:ilvl="0" w:tplc="EFB47C52">
      <w:start w:val="1"/>
      <w:numFmt w:val="decimal"/>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3">
    <w:nsid w:val="099F3D7E"/>
    <w:multiLevelType w:val="hybridMultilevel"/>
    <w:tmpl w:val="721064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13F4EEF"/>
    <w:multiLevelType w:val="hybridMultilevel"/>
    <w:tmpl w:val="FC2249B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nsid w:val="16806903"/>
    <w:multiLevelType w:val="hybridMultilevel"/>
    <w:tmpl w:val="9DD0A7FA"/>
    <w:lvl w:ilvl="0" w:tplc="7B48F9E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17582DA2"/>
    <w:multiLevelType w:val="hybridMultilevel"/>
    <w:tmpl w:val="60EE19E4"/>
    <w:lvl w:ilvl="0" w:tplc="0C090001">
      <w:start w:val="1"/>
      <w:numFmt w:val="bullet"/>
      <w:lvlText w:val=""/>
      <w:lvlJc w:val="left"/>
      <w:pPr>
        <w:tabs>
          <w:tab w:val="num" w:pos="4452"/>
        </w:tabs>
        <w:ind w:left="4452" w:hanging="360"/>
      </w:pPr>
      <w:rPr>
        <w:rFonts w:ascii="Symbol" w:hAnsi="Symbol" w:hint="default"/>
      </w:rPr>
    </w:lvl>
    <w:lvl w:ilvl="1" w:tplc="0C090003">
      <w:start w:val="1"/>
      <w:numFmt w:val="bullet"/>
      <w:lvlText w:val="o"/>
      <w:lvlJc w:val="left"/>
      <w:pPr>
        <w:tabs>
          <w:tab w:val="num" w:pos="5172"/>
        </w:tabs>
        <w:ind w:left="5172" w:hanging="360"/>
      </w:pPr>
      <w:rPr>
        <w:rFonts w:ascii="Courier New" w:hAnsi="Courier New" w:cs="Courier New" w:hint="default"/>
      </w:rPr>
    </w:lvl>
    <w:lvl w:ilvl="2" w:tplc="0C090005">
      <w:start w:val="1"/>
      <w:numFmt w:val="bullet"/>
      <w:lvlText w:val=""/>
      <w:lvlJc w:val="left"/>
      <w:pPr>
        <w:tabs>
          <w:tab w:val="num" w:pos="5892"/>
        </w:tabs>
        <w:ind w:left="5892" w:hanging="360"/>
      </w:pPr>
      <w:rPr>
        <w:rFonts w:ascii="Wingdings" w:hAnsi="Wingdings" w:hint="default"/>
      </w:rPr>
    </w:lvl>
    <w:lvl w:ilvl="3" w:tplc="0C090001" w:tentative="1">
      <w:start w:val="1"/>
      <w:numFmt w:val="bullet"/>
      <w:lvlText w:val=""/>
      <w:lvlJc w:val="left"/>
      <w:pPr>
        <w:tabs>
          <w:tab w:val="num" w:pos="6612"/>
        </w:tabs>
        <w:ind w:left="6612" w:hanging="360"/>
      </w:pPr>
      <w:rPr>
        <w:rFonts w:ascii="Symbol" w:hAnsi="Symbol" w:hint="default"/>
      </w:rPr>
    </w:lvl>
    <w:lvl w:ilvl="4" w:tplc="0C090003" w:tentative="1">
      <w:start w:val="1"/>
      <w:numFmt w:val="bullet"/>
      <w:lvlText w:val="o"/>
      <w:lvlJc w:val="left"/>
      <w:pPr>
        <w:tabs>
          <w:tab w:val="num" w:pos="7332"/>
        </w:tabs>
        <w:ind w:left="7332" w:hanging="360"/>
      </w:pPr>
      <w:rPr>
        <w:rFonts w:ascii="Courier New" w:hAnsi="Courier New" w:cs="Courier New" w:hint="default"/>
      </w:rPr>
    </w:lvl>
    <w:lvl w:ilvl="5" w:tplc="0C090005" w:tentative="1">
      <w:start w:val="1"/>
      <w:numFmt w:val="bullet"/>
      <w:lvlText w:val=""/>
      <w:lvlJc w:val="left"/>
      <w:pPr>
        <w:tabs>
          <w:tab w:val="num" w:pos="8052"/>
        </w:tabs>
        <w:ind w:left="8052" w:hanging="360"/>
      </w:pPr>
      <w:rPr>
        <w:rFonts w:ascii="Wingdings" w:hAnsi="Wingdings" w:hint="default"/>
      </w:rPr>
    </w:lvl>
    <w:lvl w:ilvl="6" w:tplc="0C090001" w:tentative="1">
      <w:start w:val="1"/>
      <w:numFmt w:val="bullet"/>
      <w:lvlText w:val=""/>
      <w:lvlJc w:val="left"/>
      <w:pPr>
        <w:tabs>
          <w:tab w:val="num" w:pos="8772"/>
        </w:tabs>
        <w:ind w:left="8772" w:hanging="360"/>
      </w:pPr>
      <w:rPr>
        <w:rFonts w:ascii="Symbol" w:hAnsi="Symbol" w:hint="default"/>
      </w:rPr>
    </w:lvl>
    <w:lvl w:ilvl="7" w:tplc="0C090003" w:tentative="1">
      <w:start w:val="1"/>
      <w:numFmt w:val="bullet"/>
      <w:lvlText w:val="o"/>
      <w:lvlJc w:val="left"/>
      <w:pPr>
        <w:tabs>
          <w:tab w:val="num" w:pos="9492"/>
        </w:tabs>
        <w:ind w:left="9492" w:hanging="360"/>
      </w:pPr>
      <w:rPr>
        <w:rFonts w:ascii="Courier New" w:hAnsi="Courier New" w:cs="Courier New" w:hint="default"/>
      </w:rPr>
    </w:lvl>
    <w:lvl w:ilvl="8" w:tplc="0C090005" w:tentative="1">
      <w:start w:val="1"/>
      <w:numFmt w:val="bullet"/>
      <w:lvlText w:val=""/>
      <w:lvlJc w:val="left"/>
      <w:pPr>
        <w:tabs>
          <w:tab w:val="num" w:pos="10212"/>
        </w:tabs>
        <w:ind w:left="10212" w:hanging="360"/>
      </w:pPr>
      <w:rPr>
        <w:rFonts w:ascii="Wingdings" w:hAnsi="Wingdings" w:hint="default"/>
      </w:rPr>
    </w:lvl>
  </w:abstractNum>
  <w:abstractNum w:abstractNumId="7">
    <w:nsid w:val="1E5D1582"/>
    <w:multiLevelType w:val="hybridMultilevel"/>
    <w:tmpl w:val="81DA0F00"/>
    <w:lvl w:ilvl="0" w:tplc="0C09000F">
      <w:start w:val="1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9">
    <w:nsid w:val="33A467B9"/>
    <w:multiLevelType w:val="hybridMultilevel"/>
    <w:tmpl w:val="D5BE7660"/>
    <w:lvl w:ilvl="0" w:tplc="3D403FC4">
      <w:start w:val="17"/>
      <w:numFmt w:val="decimal"/>
      <w:lvlText w:val="%1"/>
      <w:lvlJc w:val="left"/>
      <w:pPr>
        <w:ind w:left="915" w:hanging="360"/>
      </w:pPr>
      <w:rPr>
        <w:rFonts w:hint="default"/>
      </w:rPr>
    </w:lvl>
    <w:lvl w:ilvl="1" w:tplc="0C090019" w:tentative="1">
      <w:start w:val="1"/>
      <w:numFmt w:val="lowerLetter"/>
      <w:lvlText w:val="%2."/>
      <w:lvlJc w:val="left"/>
      <w:pPr>
        <w:ind w:left="1635" w:hanging="360"/>
      </w:pPr>
    </w:lvl>
    <w:lvl w:ilvl="2" w:tplc="0C09001B" w:tentative="1">
      <w:start w:val="1"/>
      <w:numFmt w:val="lowerRoman"/>
      <w:lvlText w:val="%3."/>
      <w:lvlJc w:val="right"/>
      <w:pPr>
        <w:ind w:left="2355" w:hanging="180"/>
      </w:pPr>
    </w:lvl>
    <w:lvl w:ilvl="3" w:tplc="0C09000F" w:tentative="1">
      <w:start w:val="1"/>
      <w:numFmt w:val="decimal"/>
      <w:lvlText w:val="%4."/>
      <w:lvlJc w:val="left"/>
      <w:pPr>
        <w:ind w:left="3075" w:hanging="360"/>
      </w:pPr>
    </w:lvl>
    <w:lvl w:ilvl="4" w:tplc="0C090019" w:tentative="1">
      <w:start w:val="1"/>
      <w:numFmt w:val="lowerLetter"/>
      <w:lvlText w:val="%5."/>
      <w:lvlJc w:val="left"/>
      <w:pPr>
        <w:ind w:left="3795" w:hanging="360"/>
      </w:pPr>
    </w:lvl>
    <w:lvl w:ilvl="5" w:tplc="0C09001B" w:tentative="1">
      <w:start w:val="1"/>
      <w:numFmt w:val="lowerRoman"/>
      <w:lvlText w:val="%6."/>
      <w:lvlJc w:val="right"/>
      <w:pPr>
        <w:ind w:left="4515" w:hanging="180"/>
      </w:pPr>
    </w:lvl>
    <w:lvl w:ilvl="6" w:tplc="0C09000F" w:tentative="1">
      <w:start w:val="1"/>
      <w:numFmt w:val="decimal"/>
      <w:lvlText w:val="%7."/>
      <w:lvlJc w:val="left"/>
      <w:pPr>
        <w:ind w:left="5235" w:hanging="360"/>
      </w:pPr>
    </w:lvl>
    <w:lvl w:ilvl="7" w:tplc="0C090019" w:tentative="1">
      <w:start w:val="1"/>
      <w:numFmt w:val="lowerLetter"/>
      <w:lvlText w:val="%8."/>
      <w:lvlJc w:val="left"/>
      <w:pPr>
        <w:ind w:left="5955" w:hanging="360"/>
      </w:pPr>
    </w:lvl>
    <w:lvl w:ilvl="8" w:tplc="0C09001B" w:tentative="1">
      <w:start w:val="1"/>
      <w:numFmt w:val="lowerRoman"/>
      <w:lvlText w:val="%9."/>
      <w:lvlJc w:val="right"/>
      <w:pPr>
        <w:ind w:left="6675" w:hanging="180"/>
      </w:pPr>
    </w:lvl>
  </w:abstractNum>
  <w:abstractNum w:abstractNumId="10">
    <w:nsid w:val="412D1F43"/>
    <w:multiLevelType w:val="hybridMultilevel"/>
    <w:tmpl w:val="478E83FA"/>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44301AAD"/>
    <w:multiLevelType w:val="hybridMultilevel"/>
    <w:tmpl w:val="4364AAF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nsid w:val="454E72A1"/>
    <w:multiLevelType w:val="hybridMultilevel"/>
    <w:tmpl w:val="DA9E8D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47FA16E2"/>
    <w:multiLevelType w:val="hybridMultilevel"/>
    <w:tmpl w:val="D8749682"/>
    <w:lvl w:ilvl="0" w:tplc="0C090011">
      <w:start w:val="4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E50753"/>
    <w:multiLevelType w:val="hybridMultilevel"/>
    <w:tmpl w:val="17D25A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D810F8F"/>
    <w:multiLevelType w:val="hybridMultilevel"/>
    <w:tmpl w:val="263E8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516B42D2"/>
    <w:multiLevelType w:val="hybridMultilevel"/>
    <w:tmpl w:val="A61038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FB90505"/>
    <w:multiLevelType w:val="hybridMultilevel"/>
    <w:tmpl w:val="9ED0391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nsid w:val="6DF64946"/>
    <w:multiLevelType w:val="hybridMultilevel"/>
    <w:tmpl w:val="284C51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504670D"/>
    <w:multiLevelType w:val="hybridMultilevel"/>
    <w:tmpl w:val="BAF4DAC8"/>
    <w:lvl w:ilvl="0" w:tplc="6568A536">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0">
    <w:nsid w:val="7D7A00E3"/>
    <w:multiLevelType w:val="hybridMultilevel"/>
    <w:tmpl w:val="73749AE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10"/>
  </w:num>
  <w:num w:numId="2">
    <w:abstractNumId w:val="9"/>
  </w:num>
  <w:num w:numId="3">
    <w:abstractNumId w:val="7"/>
  </w:num>
  <w:num w:numId="4">
    <w:abstractNumId w:val="5"/>
  </w:num>
  <w:num w:numId="5">
    <w:abstractNumId w:val="16"/>
  </w:num>
  <w:num w:numId="6">
    <w:abstractNumId w:val="18"/>
  </w:num>
  <w:num w:numId="7">
    <w:abstractNumId w:val="14"/>
  </w:num>
  <w:num w:numId="8">
    <w:abstractNumId w:val="0"/>
  </w:num>
  <w:num w:numId="9">
    <w:abstractNumId w:val="19"/>
  </w:num>
  <w:num w:numId="10">
    <w:abstractNumId w:val="13"/>
  </w:num>
  <w:num w:numId="11">
    <w:abstractNumId w:val="2"/>
  </w:num>
  <w:num w:numId="12">
    <w:abstractNumId w:val="3"/>
  </w:num>
  <w:num w:numId="13">
    <w:abstractNumId w:val="12"/>
  </w:num>
  <w:num w:numId="14">
    <w:abstractNumId w:val="15"/>
  </w:num>
  <w:num w:numId="15">
    <w:abstractNumId w:val="1"/>
  </w:num>
  <w:num w:numId="16">
    <w:abstractNumId w:val="4"/>
  </w:num>
  <w:num w:numId="17">
    <w:abstractNumId w:val="20"/>
  </w:num>
  <w:num w:numId="18">
    <w:abstractNumId w:val="11"/>
  </w:num>
  <w:num w:numId="19">
    <w:abstractNumId w:val="17"/>
  </w:num>
  <w:num w:numId="20">
    <w:abstractNumId w:val="8"/>
  </w:num>
  <w:num w:numId="21">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A7"/>
    <w:rsid w:val="00000D37"/>
    <w:rsid w:val="000020F8"/>
    <w:rsid w:val="000048F3"/>
    <w:rsid w:val="00060698"/>
    <w:rsid w:val="0006656F"/>
    <w:rsid w:val="000808B9"/>
    <w:rsid w:val="00082CE5"/>
    <w:rsid w:val="00091732"/>
    <w:rsid w:val="000A71E5"/>
    <w:rsid w:val="000E1540"/>
    <w:rsid w:val="000F3C19"/>
    <w:rsid w:val="00102517"/>
    <w:rsid w:val="00115E4C"/>
    <w:rsid w:val="00126EF4"/>
    <w:rsid w:val="0012714B"/>
    <w:rsid w:val="001304C4"/>
    <w:rsid w:val="00130E2B"/>
    <w:rsid w:val="00140933"/>
    <w:rsid w:val="001444A8"/>
    <w:rsid w:val="0015522E"/>
    <w:rsid w:val="00180CE5"/>
    <w:rsid w:val="00184F2E"/>
    <w:rsid w:val="00186286"/>
    <w:rsid w:val="00192903"/>
    <w:rsid w:val="001C03C0"/>
    <w:rsid w:val="001D59D6"/>
    <w:rsid w:val="001D6307"/>
    <w:rsid w:val="001D6966"/>
    <w:rsid w:val="001F335D"/>
    <w:rsid w:val="00204481"/>
    <w:rsid w:val="00206E6E"/>
    <w:rsid w:val="00232C58"/>
    <w:rsid w:val="002339C1"/>
    <w:rsid w:val="00262155"/>
    <w:rsid w:val="00272238"/>
    <w:rsid w:val="002740A4"/>
    <w:rsid w:val="00274997"/>
    <w:rsid w:val="00277569"/>
    <w:rsid w:val="00277AE9"/>
    <w:rsid w:val="00282C73"/>
    <w:rsid w:val="002A18C8"/>
    <w:rsid w:val="002A25AA"/>
    <w:rsid w:val="002B6BBF"/>
    <w:rsid w:val="002C0774"/>
    <w:rsid w:val="002C46C5"/>
    <w:rsid w:val="002C6BB7"/>
    <w:rsid w:val="002E6113"/>
    <w:rsid w:val="002F03D5"/>
    <w:rsid w:val="002F0E22"/>
    <w:rsid w:val="002F720B"/>
    <w:rsid w:val="00311798"/>
    <w:rsid w:val="00320DA3"/>
    <w:rsid w:val="00334303"/>
    <w:rsid w:val="00340E1B"/>
    <w:rsid w:val="00341AC5"/>
    <w:rsid w:val="003502BB"/>
    <w:rsid w:val="00352D6D"/>
    <w:rsid w:val="00357B7A"/>
    <w:rsid w:val="00380081"/>
    <w:rsid w:val="0039542A"/>
    <w:rsid w:val="003A37FE"/>
    <w:rsid w:val="003A3E83"/>
    <w:rsid w:val="003A6488"/>
    <w:rsid w:val="003B38E2"/>
    <w:rsid w:val="003B3C8B"/>
    <w:rsid w:val="003C2416"/>
    <w:rsid w:val="003C4E27"/>
    <w:rsid w:val="003E507B"/>
    <w:rsid w:val="003F0044"/>
    <w:rsid w:val="003F10DF"/>
    <w:rsid w:val="003F35EB"/>
    <w:rsid w:val="003F7E8F"/>
    <w:rsid w:val="00403E6D"/>
    <w:rsid w:val="004124E8"/>
    <w:rsid w:val="00422ED3"/>
    <w:rsid w:val="00423AFA"/>
    <w:rsid w:val="0042631D"/>
    <w:rsid w:val="004405CB"/>
    <w:rsid w:val="004408CC"/>
    <w:rsid w:val="00454068"/>
    <w:rsid w:val="004717FF"/>
    <w:rsid w:val="00480975"/>
    <w:rsid w:val="004B422E"/>
    <w:rsid w:val="004B4696"/>
    <w:rsid w:val="004D373A"/>
    <w:rsid w:val="004F33F5"/>
    <w:rsid w:val="00517D0F"/>
    <w:rsid w:val="005223B7"/>
    <w:rsid w:val="005231F4"/>
    <w:rsid w:val="00532A8E"/>
    <w:rsid w:val="0058569B"/>
    <w:rsid w:val="00587579"/>
    <w:rsid w:val="005A5E6A"/>
    <w:rsid w:val="005C38DC"/>
    <w:rsid w:val="005C403D"/>
    <w:rsid w:val="005C7B2A"/>
    <w:rsid w:val="005D116B"/>
    <w:rsid w:val="00612471"/>
    <w:rsid w:val="00615992"/>
    <w:rsid w:val="0063050D"/>
    <w:rsid w:val="00634062"/>
    <w:rsid w:val="006516BC"/>
    <w:rsid w:val="00682899"/>
    <w:rsid w:val="00682C3C"/>
    <w:rsid w:val="006A7AED"/>
    <w:rsid w:val="006D06D6"/>
    <w:rsid w:val="006F4F9B"/>
    <w:rsid w:val="007010AC"/>
    <w:rsid w:val="007046C6"/>
    <w:rsid w:val="00712274"/>
    <w:rsid w:val="00712415"/>
    <w:rsid w:val="00720AD8"/>
    <w:rsid w:val="00725F12"/>
    <w:rsid w:val="007329BA"/>
    <w:rsid w:val="00733EB9"/>
    <w:rsid w:val="00735AB3"/>
    <w:rsid w:val="00741C28"/>
    <w:rsid w:val="00742D00"/>
    <w:rsid w:val="007635FA"/>
    <w:rsid w:val="00763830"/>
    <w:rsid w:val="00764464"/>
    <w:rsid w:val="00792389"/>
    <w:rsid w:val="007B0F27"/>
    <w:rsid w:val="007D15A0"/>
    <w:rsid w:val="007E7020"/>
    <w:rsid w:val="00807DCA"/>
    <w:rsid w:val="008132FB"/>
    <w:rsid w:val="00817FA8"/>
    <w:rsid w:val="00821B56"/>
    <w:rsid w:val="00824D04"/>
    <w:rsid w:val="0085018E"/>
    <w:rsid w:val="00851D26"/>
    <w:rsid w:val="00861250"/>
    <w:rsid w:val="008707D3"/>
    <w:rsid w:val="00872C29"/>
    <w:rsid w:val="008968EA"/>
    <w:rsid w:val="008D2606"/>
    <w:rsid w:val="008D5E6F"/>
    <w:rsid w:val="008D711D"/>
    <w:rsid w:val="008E1DAA"/>
    <w:rsid w:val="008E4D7C"/>
    <w:rsid w:val="00903E87"/>
    <w:rsid w:val="00933C41"/>
    <w:rsid w:val="00956916"/>
    <w:rsid w:val="00961A91"/>
    <w:rsid w:val="00974EEC"/>
    <w:rsid w:val="00990D5A"/>
    <w:rsid w:val="00992F18"/>
    <w:rsid w:val="00993B76"/>
    <w:rsid w:val="009A20E6"/>
    <w:rsid w:val="009A2184"/>
    <w:rsid w:val="009A6124"/>
    <w:rsid w:val="009E2C01"/>
    <w:rsid w:val="009E7B70"/>
    <w:rsid w:val="00A07D57"/>
    <w:rsid w:val="00A10C4F"/>
    <w:rsid w:val="00A11BCD"/>
    <w:rsid w:val="00A179CF"/>
    <w:rsid w:val="00A300E9"/>
    <w:rsid w:val="00A37BA5"/>
    <w:rsid w:val="00A467CA"/>
    <w:rsid w:val="00A510F3"/>
    <w:rsid w:val="00A520B3"/>
    <w:rsid w:val="00A772B5"/>
    <w:rsid w:val="00A85362"/>
    <w:rsid w:val="00A94982"/>
    <w:rsid w:val="00AA1AD2"/>
    <w:rsid w:val="00AA4E9C"/>
    <w:rsid w:val="00AB4D34"/>
    <w:rsid w:val="00AD0566"/>
    <w:rsid w:val="00AD7B16"/>
    <w:rsid w:val="00AE3ED6"/>
    <w:rsid w:val="00AF4879"/>
    <w:rsid w:val="00B00073"/>
    <w:rsid w:val="00B22965"/>
    <w:rsid w:val="00B23AA4"/>
    <w:rsid w:val="00B50B06"/>
    <w:rsid w:val="00B60D8B"/>
    <w:rsid w:val="00B67201"/>
    <w:rsid w:val="00B760BD"/>
    <w:rsid w:val="00B92758"/>
    <w:rsid w:val="00B9579E"/>
    <w:rsid w:val="00BB54B5"/>
    <w:rsid w:val="00BC79A2"/>
    <w:rsid w:val="00BD3B4B"/>
    <w:rsid w:val="00BD67DF"/>
    <w:rsid w:val="00BE3A88"/>
    <w:rsid w:val="00C02779"/>
    <w:rsid w:val="00C32F2B"/>
    <w:rsid w:val="00C40E25"/>
    <w:rsid w:val="00C5025D"/>
    <w:rsid w:val="00C5070C"/>
    <w:rsid w:val="00C735CA"/>
    <w:rsid w:val="00C817B3"/>
    <w:rsid w:val="00C921AB"/>
    <w:rsid w:val="00CA530C"/>
    <w:rsid w:val="00CA53CE"/>
    <w:rsid w:val="00CB49CF"/>
    <w:rsid w:val="00CC1E53"/>
    <w:rsid w:val="00CE6D02"/>
    <w:rsid w:val="00CF2AE7"/>
    <w:rsid w:val="00CF3964"/>
    <w:rsid w:val="00D07B98"/>
    <w:rsid w:val="00D1617A"/>
    <w:rsid w:val="00D263A9"/>
    <w:rsid w:val="00D54C0A"/>
    <w:rsid w:val="00D70DAC"/>
    <w:rsid w:val="00D76980"/>
    <w:rsid w:val="00D923A7"/>
    <w:rsid w:val="00DA37E9"/>
    <w:rsid w:val="00DB77E4"/>
    <w:rsid w:val="00DC6365"/>
    <w:rsid w:val="00DE0C6D"/>
    <w:rsid w:val="00E0130B"/>
    <w:rsid w:val="00E023C4"/>
    <w:rsid w:val="00E05D93"/>
    <w:rsid w:val="00E0603B"/>
    <w:rsid w:val="00E07BB5"/>
    <w:rsid w:val="00E30D0A"/>
    <w:rsid w:val="00E64F46"/>
    <w:rsid w:val="00E735FB"/>
    <w:rsid w:val="00E95BC9"/>
    <w:rsid w:val="00EA4C41"/>
    <w:rsid w:val="00EA65EF"/>
    <w:rsid w:val="00EB0E4C"/>
    <w:rsid w:val="00EF1E38"/>
    <w:rsid w:val="00EF3278"/>
    <w:rsid w:val="00EF52C1"/>
    <w:rsid w:val="00EF59BF"/>
    <w:rsid w:val="00EF7574"/>
    <w:rsid w:val="00F0254E"/>
    <w:rsid w:val="00F06E17"/>
    <w:rsid w:val="00F11069"/>
    <w:rsid w:val="00F27918"/>
    <w:rsid w:val="00F61D36"/>
    <w:rsid w:val="00F74D1D"/>
    <w:rsid w:val="00F76C94"/>
    <w:rsid w:val="00F914E2"/>
    <w:rsid w:val="00F94C5D"/>
    <w:rsid w:val="00FA095C"/>
    <w:rsid w:val="00FA3B90"/>
    <w:rsid w:val="00FB7BF2"/>
    <w:rsid w:val="00FC22BE"/>
    <w:rsid w:val="00FC33D6"/>
    <w:rsid w:val="00FD1314"/>
    <w:rsid w:val="00FD5946"/>
    <w:rsid w:val="00FF75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18E"/>
    <w:rPr>
      <w:rFonts w:ascii="Arial" w:hAnsi="Arial"/>
      <w:sz w:val="24"/>
      <w:szCs w:val="24"/>
    </w:rPr>
  </w:style>
  <w:style w:type="paragraph" w:styleId="Heading1">
    <w:name w:val="heading 1"/>
    <w:basedOn w:val="Normal"/>
    <w:next w:val="Normal"/>
    <w:link w:val="Heading1Char"/>
    <w:qFormat/>
    <w:rsid w:val="0085018E"/>
    <w:pPr>
      <w:keepNext/>
      <w:pBdr>
        <w:bottom w:val="single" w:sz="12" w:space="6" w:color="auto"/>
      </w:pBdr>
      <w:spacing w:after="240"/>
      <w:jc w:val="center"/>
      <w:outlineLvl w:val="0"/>
    </w:pPr>
    <w:rPr>
      <w:b/>
      <w:bCs/>
      <w:kern w:val="32"/>
      <w:sz w:val="32"/>
      <w:szCs w:val="32"/>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link w:val="HeaderChar"/>
    <w:uiPriority w:val="99"/>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HeaderChar">
    <w:name w:val="Header Char"/>
    <w:basedOn w:val="DefaultParagraphFont"/>
    <w:link w:val="Header"/>
    <w:uiPriority w:val="99"/>
    <w:rsid w:val="0085018E"/>
    <w:rPr>
      <w:rFonts w:ascii="Arial" w:hAnsi="Arial"/>
      <w:sz w:val="24"/>
      <w:szCs w:val="24"/>
    </w:rPr>
  </w:style>
  <w:style w:type="character" w:customStyle="1" w:styleId="Heading1Char">
    <w:name w:val="Heading 1 Char"/>
    <w:basedOn w:val="DefaultParagraphFont"/>
    <w:link w:val="Heading1"/>
    <w:rsid w:val="0085018E"/>
    <w:rPr>
      <w:rFonts w:ascii="Arial" w:hAnsi="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18E"/>
    <w:rPr>
      <w:rFonts w:ascii="Arial" w:hAnsi="Arial"/>
      <w:sz w:val="24"/>
      <w:szCs w:val="24"/>
    </w:rPr>
  </w:style>
  <w:style w:type="paragraph" w:styleId="Heading1">
    <w:name w:val="heading 1"/>
    <w:basedOn w:val="Normal"/>
    <w:next w:val="Normal"/>
    <w:link w:val="Heading1Char"/>
    <w:qFormat/>
    <w:rsid w:val="0085018E"/>
    <w:pPr>
      <w:keepNext/>
      <w:pBdr>
        <w:bottom w:val="single" w:sz="12" w:space="6" w:color="auto"/>
      </w:pBdr>
      <w:spacing w:after="240"/>
      <w:jc w:val="center"/>
      <w:outlineLvl w:val="0"/>
    </w:pPr>
    <w:rPr>
      <w:b/>
      <w:bCs/>
      <w:kern w:val="32"/>
      <w:sz w:val="32"/>
      <w:szCs w:val="32"/>
    </w:rPr>
  </w:style>
  <w:style w:type="paragraph" w:styleId="Heading2">
    <w:name w:val="heading 2"/>
    <w:basedOn w:val="Normal"/>
    <w:next w:val="Normal"/>
    <w:link w:val="Heading2Char"/>
    <w:unhideWhenUsed/>
    <w:qFormat/>
    <w:rsid w:val="003B38E2"/>
    <w:pPr>
      <w:keepNext/>
      <w:spacing w:before="360" w:after="120"/>
      <w:jc w:val="both"/>
      <w:outlineLvl w:val="1"/>
    </w:pPr>
    <w:rPr>
      <w:b/>
      <w:bCs/>
      <w:iCs/>
      <w:sz w:val="28"/>
      <w:szCs w:val="28"/>
    </w:rPr>
  </w:style>
  <w:style w:type="paragraph" w:styleId="Heading3">
    <w:name w:val="heading 3"/>
    <w:basedOn w:val="Normal"/>
    <w:next w:val="Normal"/>
    <w:link w:val="Heading3Char"/>
    <w:unhideWhenUsed/>
    <w:qFormat/>
    <w:rsid w:val="00CA53CE"/>
    <w:pPr>
      <w:keepNext/>
      <w:spacing w:before="360" w:after="120"/>
      <w:jc w:val="both"/>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08B9"/>
    <w:pPr>
      <w:tabs>
        <w:tab w:val="right" w:pos="9105"/>
      </w:tabs>
      <w:overflowPunct w:val="0"/>
      <w:autoSpaceDE w:val="0"/>
      <w:autoSpaceDN w:val="0"/>
      <w:adjustRightInd w:val="0"/>
      <w:jc w:val="center"/>
    </w:pPr>
    <w:rPr>
      <w:rFonts w:eastAsia="Calibri"/>
      <w:b/>
      <w:u w:val="single"/>
      <w:lang w:val="en-GB" w:eastAsia="x-none"/>
    </w:rPr>
  </w:style>
  <w:style w:type="character" w:customStyle="1" w:styleId="TitleChar">
    <w:name w:val="Title Char"/>
    <w:link w:val="Title"/>
    <w:locked/>
    <w:rsid w:val="000808B9"/>
    <w:rPr>
      <w:rFonts w:ascii="Arial" w:eastAsia="Calibri" w:hAnsi="Arial"/>
      <w:b/>
      <w:sz w:val="24"/>
      <w:szCs w:val="24"/>
      <w:u w:val="single"/>
      <w:lang w:val="en-GB" w:eastAsia="x-none" w:bidi="ar-SA"/>
    </w:rPr>
  </w:style>
  <w:style w:type="paragraph" w:styleId="Header">
    <w:name w:val="header"/>
    <w:basedOn w:val="Normal"/>
    <w:link w:val="HeaderChar"/>
    <w:uiPriority w:val="99"/>
    <w:rsid w:val="00340E1B"/>
    <w:pPr>
      <w:tabs>
        <w:tab w:val="center" w:pos="4153"/>
        <w:tab w:val="right" w:pos="8306"/>
      </w:tabs>
    </w:pPr>
  </w:style>
  <w:style w:type="character" w:styleId="PageNumber">
    <w:name w:val="page number"/>
    <w:basedOn w:val="DefaultParagraphFont"/>
    <w:rsid w:val="00340E1B"/>
  </w:style>
  <w:style w:type="paragraph" w:styleId="BalloonText">
    <w:name w:val="Balloon Text"/>
    <w:basedOn w:val="Normal"/>
    <w:semiHidden/>
    <w:rsid w:val="00C02779"/>
    <w:rPr>
      <w:rFonts w:ascii="Tahoma" w:hAnsi="Tahoma" w:cs="Tahoma"/>
      <w:sz w:val="16"/>
      <w:szCs w:val="16"/>
    </w:rPr>
  </w:style>
  <w:style w:type="paragraph" w:styleId="ListParagraph">
    <w:name w:val="List Paragraph"/>
    <w:basedOn w:val="Normal"/>
    <w:uiPriority w:val="34"/>
    <w:qFormat/>
    <w:rsid w:val="004D373A"/>
    <w:pPr>
      <w:ind w:left="720"/>
    </w:pPr>
  </w:style>
  <w:style w:type="paragraph" w:styleId="Footer">
    <w:name w:val="footer"/>
    <w:basedOn w:val="Normal"/>
    <w:link w:val="FooterChar"/>
    <w:rsid w:val="00AB4D34"/>
    <w:pPr>
      <w:tabs>
        <w:tab w:val="center" w:pos="4513"/>
        <w:tab w:val="right" w:pos="9026"/>
      </w:tabs>
    </w:pPr>
  </w:style>
  <w:style w:type="character" w:customStyle="1" w:styleId="FooterChar">
    <w:name w:val="Footer Char"/>
    <w:link w:val="Footer"/>
    <w:rsid w:val="00AB4D34"/>
    <w:rPr>
      <w:sz w:val="24"/>
      <w:szCs w:val="24"/>
    </w:rPr>
  </w:style>
  <w:style w:type="paragraph" w:styleId="FootnoteText">
    <w:name w:val="footnote text"/>
    <w:basedOn w:val="Normal"/>
    <w:link w:val="FootnoteTextChar"/>
    <w:rsid w:val="003502BB"/>
    <w:rPr>
      <w:sz w:val="20"/>
      <w:szCs w:val="20"/>
    </w:rPr>
  </w:style>
  <w:style w:type="character" w:customStyle="1" w:styleId="FootnoteTextChar">
    <w:name w:val="Footnote Text Char"/>
    <w:basedOn w:val="DefaultParagraphFont"/>
    <w:link w:val="FootnoteText"/>
    <w:rsid w:val="003502BB"/>
  </w:style>
  <w:style w:type="character" w:styleId="FootnoteReference">
    <w:name w:val="footnote reference"/>
    <w:rsid w:val="003502BB"/>
    <w:rPr>
      <w:vertAlign w:val="superscript"/>
    </w:rPr>
  </w:style>
  <w:style w:type="character" w:styleId="CommentReference">
    <w:name w:val="annotation reference"/>
    <w:rsid w:val="003C4E27"/>
    <w:rPr>
      <w:sz w:val="16"/>
      <w:szCs w:val="16"/>
    </w:rPr>
  </w:style>
  <w:style w:type="paragraph" w:styleId="CommentText">
    <w:name w:val="annotation text"/>
    <w:basedOn w:val="Normal"/>
    <w:link w:val="CommentTextChar"/>
    <w:rsid w:val="003C4E27"/>
    <w:rPr>
      <w:sz w:val="20"/>
      <w:szCs w:val="20"/>
    </w:rPr>
  </w:style>
  <w:style w:type="character" w:customStyle="1" w:styleId="CommentTextChar">
    <w:name w:val="Comment Text Char"/>
    <w:basedOn w:val="DefaultParagraphFont"/>
    <w:link w:val="CommentText"/>
    <w:rsid w:val="003C4E27"/>
  </w:style>
  <w:style w:type="paragraph" w:styleId="CommentSubject">
    <w:name w:val="annotation subject"/>
    <w:basedOn w:val="CommentText"/>
    <w:next w:val="CommentText"/>
    <w:link w:val="CommentSubjectChar"/>
    <w:rsid w:val="003C4E27"/>
    <w:rPr>
      <w:b/>
      <w:bCs/>
    </w:rPr>
  </w:style>
  <w:style w:type="character" w:customStyle="1" w:styleId="CommentSubjectChar">
    <w:name w:val="Comment Subject Char"/>
    <w:link w:val="CommentSubject"/>
    <w:rsid w:val="003C4E27"/>
    <w:rPr>
      <w:b/>
      <w:bCs/>
    </w:rPr>
  </w:style>
  <w:style w:type="paragraph" w:customStyle="1" w:styleId="NewSectionHeading">
    <w:name w:val="New Section Heading"/>
    <w:basedOn w:val="Normal"/>
    <w:next w:val="Normal"/>
    <w:rsid w:val="00682C3C"/>
    <w:pPr>
      <w:keepNext/>
      <w:keepLines/>
      <w:widowControl w:val="0"/>
      <w:spacing w:after="240"/>
      <w:ind w:left="1100" w:hanging="1100"/>
      <w:outlineLvl w:val="4"/>
    </w:pPr>
    <w:rPr>
      <w:rFonts w:ascii="Helvetica" w:hAnsi="Helvetica"/>
      <w:b/>
    </w:rPr>
  </w:style>
  <w:style w:type="paragraph" w:customStyle="1" w:styleId="Subsection">
    <w:name w:val="Subsection"/>
    <w:basedOn w:val="Normal"/>
    <w:rsid w:val="00682C3C"/>
    <w:pPr>
      <w:widowControl w:val="0"/>
      <w:tabs>
        <w:tab w:val="right" w:pos="902"/>
      </w:tabs>
      <w:spacing w:after="240"/>
      <w:ind w:left="1100" w:hanging="1100"/>
      <w:jc w:val="both"/>
    </w:pPr>
    <w:rPr>
      <w:rFonts w:ascii="Helvetica" w:hAnsi="Helvetica"/>
    </w:rPr>
  </w:style>
  <w:style w:type="paragraph" w:customStyle="1" w:styleId="Paragraph">
    <w:name w:val="Paragraph"/>
    <w:basedOn w:val="Normal"/>
    <w:rsid w:val="00682C3C"/>
    <w:pPr>
      <w:widowControl w:val="0"/>
      <w:spacing w:after="240"/>
      <w:ind w:left="1667" w:hanging="567"/>
      <w:jc w:val="both"/>
    </w:pPr>
    <w:rPr>
      <w:rFonts w:ascii="Helvetica" w:hAnsi="Helvetica"/>
    </w:rPr>
  </w:style>
  <w:style w:type="paragraph" w:styleId="NoSpacing">
    <w:name w:val="No Spacing"/>
    <w:uiPriority w:val="1"/>
    <w:qFormat/>
    <w:rsid w:val="00D54C0A"/>
    <w:rPr>
      <w:sz w:val="24"/>
      <w:szCs w:val="24"/>
    </w:rPr>
  </w:style>
  <w:style w:type="character" w:customStyle="1" w:styleId="Heading2Char">
    <w:name w:val="Heading 2 Char"/>
    <w:basedOn w:val="DefaultParagraphFont"/>
    <w:link w:val="Heading2"/>
    <w:rsid w:val="003B38E2"/>
    <w:rPr>
      <w:rFonts w:ascii="Arial" w:hAnsi="Arial"/>
      <w:b/>
      <w:bCs/>
      <w:iCs/>
      <w:sz w:val="28"/>
      <w:szCs w:val="28"/>
    </w:rPr>
  </w:style>
  <w:style w:type="paragraph" w:customStyle="1" w:styleId="BottomLine">
    <w:name w:val="Bottom Line"/>
    <w:basedOn w:val="Normal"/>
    <w:rsid w:val="003B38E2"/>
    <w:pPr>
      <w:pBdr>
        <w:top w:val="single" w:sz="12" w:space="1" w:color="auto"/>
      </w:pBdr>
      <w:jc w:val="both"/>
    </w:pPr>
    <w:rPr>
      <w:szCs w:val="20"/>
    </w:rPr>
  </w:style>
  <w:style w:type="character" w:customStyle="1" w:styleId="Heading3Char">
    <w:name w:val="Heading 3 Char"/>
    <w:basedOn w:val="DefaultParagraphFont"/>
    <w:link w:val="Heading3"/>
    <w:rsid w:val="00CA53CE"/>
    <w:rPr>
      <w:rFonts w:ascii="Arial" w:hAnsi="Arial" w:cs="Arial"/>
      <w:b/>
      <w:bCs/>
      <w:sz w:val="26"/>
      <w:szCs w:val="26"/>
    </w:rPr>
  </w:style>
  <w:style w:type="character" w:customStyle="1" w:styleId="HeaderChar">
    <w:name w:val="Header Char"/>
    <w:basedOn w:val="DefaultParagraphFont"/>
    <w:link w:val="Header"/>
    <w:uiPriority w:val="99"/>
    <w:rsid w:val="0085018E"/>
    <w:rPr>
      <w:rFonts w:ascii="Arial" w:hAnsi="Arial"/>
      <w:sz w:val="24"/>
      <w:szCs w:val="24"/>
    </w:rPr>
  </w:style>
  <w:style w:type="character" w:customStyle="1" w:styleId="Heading1Char">
    <w:name w:val="Heading 1 Char"/>
    <w:basedOn w:val="DefaultParagraphFont"/>
    <w:link w:val="Heading1"/>
    <w:rsid w:val="0085018E"/>
    <w:rPr>
      <w:rFonts w:ascii="Arial" w:hAnsi="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2014-08-28T14:30:00+00:00</Hearing_x0020_Date>
    <Decision_x0020_Category xmlns="28e3188d-fccf-4e87-a6b6-2e446be4517c">Liquor</Decision_x0020_Category>
    <_dlc_DocId xmlns="28e3188d-fccf-4e87-a6b6-2e446be4517c">2AXQX2YYQNYC-455-1339</_dlc_DocId>
    <_dlc_DocIdUrl xmlns="28e3188d-fccf-4e87-a6b6-2e446be4517c">
      <Url>http://www.dob.nt.gov.au/gambling-licensing/decisions/hearings-decisions/_layouts/DocIdRedir.aspx?ID=2AXQX2YYQNYC-455-1339</Url>
      <Description>2AXQX2YYQNYC-455-1339</Description>
    </_dlc_DocIdUrl>
  </documentManagement>
</p:properties>
</file>

<file path=customXml/itemProps1.xml><?xml version="1.0" encoding="utf-8"?>
<ds:datastoreItem xmlns:ds="http://schemas.openxmlformats.org/officeDocument/2006/customXml" ds:itemID="{39DB312B-CFAE-4AE6-87AA-E4F02869FC24}"/>
</file>

<file path=customXml/itemProps2.xml><?xml version="1.0" encoding="utf-8"?>
<ds:datastoreItem xmlns:ds="http://schemas.openxmlformats.org/officeDocument/2006/customXml" ds:itemID="{679A75F8-DC8E-4CDC-B0A9-249313F2C365}"/>
</file>

<file path=customXml/itemProps3.xml><?xml version="1.0" encoding="utf-8"?>
<ds:datastoreItem xmlns:ds="http://schemas.openxmlformats.org/officeDocument/2006/customXml" ds:itemID="{5E7EF89D-195B-44B0-9D2D-2339BA24CEF1}"/>
</file>

<file path=customXml/itemProps4.xml><?xml version="1.0" encoding="utf-8"?>
<ds:datastoreItem xmlns:ds="http://schemas.openxmlformats.org/officeDocument/2006/customXml" ds:itemID="{2AF23D48-6DF3-4B89-AB73-974071E45D65}"/>
</file>

<file path=customXml/itemProps5.xml><?xml version="1.0" encoding="utf-8"?>
<ds:datastoreItem xmlns:ds="http://schemas.openxmlformats.org/officeDocument/2006/customXml" ds:itemID="{0747C2D2-C2EE-4B57-BE73-7675BFC2C391}"/>
</file>

<file path=docProps/app.xml><?xml version="1.0" encoding="utf-8"?>
<Properties xmlns="http://schemas.openxmlformats.org/officeDocument/2006/extended-properties" xmlns:vt="http://schemas.openxmlformats.org/officeDocument/2006/docPropsVTypes">
  <Template>Normal.dotm</Template>
  <TotalTime>4</TotalTime>
  <Pages>3</Pages>
  <Words>848</Words>
  <Characters>4329</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Precinct Tavern Variation to Licence</dc:title>
  <dc:creator>Judith Boiteau</dc:creator>
  <cp:lastModifiedBy>Marlene Woods</cp:lastModifiedBy>
  <cp:revision>4</cp:revision>
  <cp:lastPrinted>2014-07-24T02:17:00Z</cp:lastPrinted>
  <dcterms:created xsi:type="dcterms:W3CDTF">2015-01-06T06:31:00Z</dcterms:created>
  <dcterms:modified xsi:type="dcterms:W3CDTF">2015-01-06T06:36:00Z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d5ef1c70-5c00-4425-83ea-610f574c36b6</vt:lpwstr>
  </property>
</Properties>
</file>