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521845" w:rsidRDefault="003B38E2" w:rsidP="00521845">
      <w:pPr>
        <w:pStyle w:val="Heading1"/>
      </w:pPr>
      <w:r w:rsidRPr="00521845">
        <w:t>Reasons for Decision</w:t>
      </w:r>
    </w:p>
    <w:p w:rsidR="003B38E2" w:rsidRPr="00521845" w:rsidRDefault="003B38E2" w:rsidP="00521845">
      <w:pPr>
        <w:tabs>
          <w:tab w:val="left" w:pos="2835"/>
        </w:tabs>
        <w:spacing w:after="240"/>
        <w:rPr>
          <w:b/>
          <w:lang w:val="en-GB"/>
        </w:rPr>
      </w:pPr>
      <w:r w:rsidRPr="00521845">
        <w:rPr>
          <w:b/>
          <w:szCs w:val="20"/>
        </w:rPr>
        <w:t>Licensee</w:t>
      </w:r>
      <w:r w:rsidRPr="00521845">
        <w:rPr>
          <w:b/>
          <w:lang w:val="en-GB"/>
        </w:rPr>
        <w:t>:</w:t>
      </w:r>
      <w:r w:rsidRPr="00521845">
        <w:rPr>
          <w:b/>
          <w:lang w:val="en-GB"/>
        </w:rPr>
        <w:tab/>
      </w:r>
      <w:proofErr w:type="spellStart"/>
      <w:r w:rsidR="00934988" w:rsidRPr="00521845">
        <w:rPr>
          <w:b/>
          <w:lang w:val="en-GB"/>
        </w:rPr>
        <w:t>Liquorland</w:t>
      </w:r>
      <w:proofErr w:type="spellEnd"/>
      <w:r w:rsidR="00934988" w:rsidRPr="00521845">
        <w:rPr>
          <w:b/>
          <w:lang w:val="en-GB"/>
        </w:rPr>
        <w:t xml:space="preserve"> (Australia) Pty Ltd</w:t>
      </w:r>
    </w:p>
    <w:p w:rsidR="00F76C94" w:rsidRDefault="00934988" w:rsidP="00521845">
      <w:pPr>
        <w:tabs>
          <w:tab w:val="left" w:pos="2835"/>
        </w:tabs>
        <w:spacing w:after="240"/>
        <w:rPr>
          <w:lang w:val="en-GB"/>
        </w:rPr>
      </w:pPr>
      <w:r w:rsidRPr="00521845">
        <w:rPr>
          <w:b/>
          <w:szCs w:val="20"/>
        </w:rPr>
        <w:t>Premises</w:t>
      </w:r>
      <w:r w:rsidR="00F76C94" w:rsidRPr="00521845">
        <w:rPr>
          <w:b/>
          <w:lang w:val="en-GB"/>
        </w:rPr>
        <w:t>:</w:t>
      </w:r>
      <w:r w:rsidR="00F76C94">
        <w:rPr>
          <w:lang w:val="en-GB"/>
        </w:rPr>
        <w:tab/>
      </w:r>
      <w:r>
        <w:rPr>
          <w:lang w:val="en-GB"/>
        </w:rPr>
        <w:t>Liquorland Casuarina</w:t>
      </w:r>
    </w:p>
    <w:p w:rsidR="00F76C94" w:rsidRPr="00C05A58" w:rsidRDefault="00F76C94" w:rsidP="00521845">
      <w:pPr>
        <w:tabs>
          <w:tab w:val="left" w:pos="2835"/>
        </w:tabs>
        <w:spacing w:after="240"/>
        <w:rPr>
          <w:lang w:val="en-GB"/>
        </w:rPr>
      </w:pPr>
      <w:r w:rsidRPr="00521845">
        <w:rPr>
          <w:b/>
          <w:szCs w:val="20"/>
        </w:rPr>
        <w:t>Licence Number</w:t>
      </w:r>
      <w:r w:rsidRPr="00521845">
        <w:rPr>
          <w:b/>
          <w:lang w:val="en-GB"/>
        </w:rPr>
        <w:t>:</w:t>
      </w:r>
      <w:r>
        <w:rPr>
          <w:lang w:val="en-GB"/>
        </w:rPr>
        <w:tab/>
      </w:r>
      <w:r w:rsidR="00934988">
        <w:rPr>
          <w:lang w:val="en-GB"/>
        </w:rPr>
        <w:t>80903600</w:t>
      </w:r>
    </w:p>
    <w:p w:rsidR="00F76C94" w:rsidRDefault="00F76C94" w:rsidP="00521845">
      <w:pPr>
        <w:tabs>
          <w:tab w:val="left" w:pos="2835"/>
        </w:tabs>
        <w:spacing w:after="240"/>
        <w:rPr>
          <w:i/>
          <w:lang w:val="en-GB"/>
        </w:rPr>
      </w:pPr>
      <w:r w:rsidRPr="00521845">
        <w:rPr>
          <w:b/>
          <w:szCs w:val="20"/>
        </w:rPr>
        <w:t>Legislation:</w:t>
      </w:r>
      <w:r>
        <w:rPr>
          <w:lang w:val="en-GB"/>
        </w:rPr>
        <w:tab/>
        <w:t xml:space="preserve">Sections 47F to 47I of the </w:t>
      </w:r>
      <w:r w:rsidRPr="00F76C94">
        <w:rPr>
          <w:i/>
          <w:lang w:val="en-GB"/>
        </w:rPr>
        <w:t>Liquor Act</w:t>
      </w:r>
    </w:p>
    <w:p w:rsidR="00934988" w:rsidRDefault="00934988" w:rsidP="00521845">
      <w:pPr>
        <w:tabs>
          <w:tab w:val="left" w:pos="2835"/>
        </w:tabs>
        <w:spacing w:after="240"/>
        <w:rPr>
          <w:lang w:val="en-GB"/>
        </w:rPr>
      </w:pPr>
      <w:r w:rsidRPr="00521845">
        <w:rPr>
          <w:b/>
          <w:szCs w:val="20"/>
        </w:rPr>
        <w:t>Objection Submission</w:t>
      </w:r>
      <w:r w:rsidRPr="00521845">
        <w:rPr>
          <w:b/>
          <w:lang w:val="en-GB"/>
        </w:rPr>
        <w:t>:</w:t>
      </w:r>
      <w:r w:rsidRPr="00C05A58">
        <w:rPr>
          <w:lang w:val="en-GB"/>
        </w:rPr>
        <w:tab/>
      </w:r>
      <w:r>
        <w:rPr>
          <w:lang w:val="en-GB"/>
        </w:rPr>
        <w:t>Mr Matthew Salter</w:t>
      </w:r>
    </w:p>
    <w:p w:rsidR="003B38E2" w:rsidRDefault="00F76C94" w:rsidP="00521845">
      <w:pPr>
        <w:tabs>
          <w:tab w:val="left" w:pos="2835"/>
        </w:tabs>
        <w:spacing w:after="240"/>
      </w:pPr>
      <w:r w:rsidRPr="00521845">
        <w:rPr>
          <w:b/>
          <w:szCs w:val="20"/>
        </w:rPr>
        <w:t>Decision of</w:t>
      </w:r>
      <w:r w:rsidR="003B38E2" w:rsidRPr="00521845">
        <w:rPr>
          <w:b/>
          <w:lang w:val="en-GB"/>
        </w:rPr>
        <w:t>:</w:t>
      </w:r>
      <w:r w:rsidR="003B38E2" w:rsidRPr="00C05A58">
        <w:rPr>
          <w:lang w:val="en-GB"/>
        </w:rPr>
        <w:tab/>
      </w:r>
      <w:r w:rsidR="003B38E2">
        <w:rPr>
          <w:lang w:val="en-GB"/>
        </w:rPr>
        <w:t>M</w:t>
      </w:r>
      <w:r w:rsidR="00FD5946">
        <w:rPr>
          <w:lang w:val="en-GB"/>
        </w:rPr>
        <w:t>r Richard O’Sullivan (Chairman)</w:t>
      </w:r>
    </w:p>
    <w:p w:rsidR="003B38E2" w:rsidRPr="00A30195" w:rsidRDefault="003B38E2" w:rsidP="003B38E2">
      <w:pPr>
        <w:spacing w:after="200"/>
        <w:ind w:left="2835" w:hanging="2835"/>
        <w:rPr>
          <w:rFonts w:cs="Arial"/>
          <w:b/>
        </w:rPr>
      </w:pPr>
      <w:r>
        <w:rPr>
          <w:rFonts w:cs="Arial"/>
          <w:b/>
        </w:rPr>
        <w:t xml:space="preserve">Date of </w:t>
      </w:r>
      <w:r w:rsidRPr="00A30195">
        <w:rPr>
          <w:b/>
          <w:szCs w:val="20"/>
        </w:rPr>
        <w:t>Decision</w:t>
      </w:r>
      <w:r>
        <w:rPr>
          <w:rFonts w:cs="Arial"/>
          <w:b/>
        </w:rPr>
        <w:t>:</w:t>
      </w:r>
      <w:r>
        <w:rPr>
          <w:rFonts w:cs="Arial"/>
          <w:b/>
        </w:rPr>
        <w:tab/>
      </w:r>
      <w:r w:rsidR="00150021" w:rsidRPr="00150021">
        <w:rPr>
          <w:rFonts w:cs="Arial"/>
        </w:rPr>
        <w:t>4 September 2014</w:t>
      </w:r>
    </w:p>
    <w:p w:rsidR="003B38E2" w:rsidRPr="00A30195" w:rsidRDefault="003B38E2" w:rsidP="003B38E2">
      <w:pPr>
        <w:pStyle w:val="BottomLine"/>
      </w:pPr>
    </w:p>
    <w:p w:rsidR="003B38E2" w:rsidRPr="00903E87" w:rsidRDefault="00D62DC9" w:rsidP="00E07BB5">
      <w:pPr>
        <w:pStyle w:val="Heading2"/>
        <w:spacing w:before="0" w:line="240" w:lineRule="atLeast"/>
        <w:rPr>
          <w:rFonts w:cs="Arial"/>
        </w:rPr>
      </w:pPr>
      <w:r w:rsidRPr="003B38E2">
        <w:t>Background</w:t>
      </w:r>
    </w:p>
    <w:p w:rsidR="00934988" w:rsidRDefault="00934988" w:rsidP="00B74566">
      <w:pPr>
        <w:numPr>
          <w:ilvl w:val="0"/>
          <w:numId w:val="1"/>
        </w:numPr>
        <w:tabs>
          <w:tab w:val="clear" w:pos="720"/>
        </w:tabs>
        <w:spacing w:after="240" w:line="240" w:lineRule="atLeast"/>
        <w:ind w:left="425" w:hanging="425"/>
        <w:jc w:val="both"/>
        <w:rPr>
          <w:rFonts w:cs="Arial"/>
        </w:rPr>
      </w:pPr>
      <w:r>
        <w:rPr>
          <w:rFonts w:cs="Arial"/>
        </w:rPr>
        <w:t xml:space="preserve">Pursuant to Section 46A of the Liquor Act (“the Act”) Ward Keller Solicitors on behalf of Liquorland (Australia) Pty Ltd on 17 April 2014 made application for the substitution of </w:t>
      </w:r>
      <w:r w:rsidR="00B74566">
        <w:rPr>
          <w:rFonts w:cs="Arial"/>
        </w:rPr>
        <w:t xml:space="preserve">the </w:t>
      </w:r>
      <w:proofErr w:type="spellStart"/>
      <w:r>
        <w:rPr>
          <w:rFonts w:cs="Arial"/>
        </w:rPr>
        <w:t>Liquorland</w:t>
      </w:r>
      <w:proofErr w:type="spellEnd"/>
      <w:r>
        <w:rPr>
          <w:rFonts w:cs="Arial"/>
        </w:rPr>
        <w:t xml:space="preserve"> Casuarina Village</w:t>
      </w:r>
      <w:r w:rsidR="00B74566">
        <w:rPr>
          <w:rFonts w:cs="Arial"/>
        </w:rPr>
        <w:t xml:space="preserve"> liquor licence</w:t>
      </w:r>
      <w:r>
        <w:rPr>
          <w:rFonts w:cs="Arial"/>
        </w:rPr>
        <w:t xml:space="preserve"> to </w:t>
      </w:r>
      <w:proofErr w:type="spellStart"/>
      <w:r>
        <w:rPr>
          <w:rFonts w:cs="Arial"/>
        </w:rPr>
        <w:t>Liquorland</w:t>
      </w:r>
      <w:proofErr w:type="spellEnd"/>
      <w:r>
        <w:rPr>
          <w:rFonts w:cs="Arial"/>
        </w:rPr>
        <w:t xml:space="preserve"> </w:t>
      </w:r>
      <w:proofErr w:type="spellStart"/>
      <w:r>
        <w:rPr>
          <w:rFonts w:cs="Arial"/>
        </w:rPr>
        <w:t>Coolalinga</w:t>
      </w:r>
      <w:proofErr w:type="spellEnd"/>
      <w:r>
        <w:rPr>
          <w:rFonts w:cs="Arial"/>
        </w:rPr>
        <w:t xml:space="preserve"> Shopping Village.</w:t>
      </w:r>
    </w:p>
    <w:p w:rsidR="00934988" w:rsidRDefault="00AC0965" w:rsidP="00B74566">
      <w:pPr>
        <w:numPr>
          <w:ilvl w:val="0"/>
          <w:numId w:val="1"/>
        </w:numPr>
        <w:tabs>
          <w:tab w:val="clear" w:pos="720"/>
        </w:tabs>
        <w:spacing w:after="240" w:line="240" w:lineRule="atLeast"/>
        <w:ind w:left="425" w:hanging="425"/>
        <w:jc w:val="both"/>
        <w:rPr>
          <w:rFonts w:cs="Arial"/>
        </w:rPr>
      </w:pPr>
      <w:r>
        <w:rPr>
          <w:rFonts w:cs="Arial"/>
        </w:rPr>
        <w:t>Coles Supermarkets Australia Pty Ltd (“Coles”) has</w:t>
      </w:r>
      <w:r w:rsidR="00B74566">
        <w:rPr>
          <w:rFonts w:cs="Arial"/>
        </w:rPr>
        <w:t xml:space="preserve"> an</w:t>
      </w:r>
      <w:r>
        <w:rPr>
          <w:rFonts w:cs="Arial"/>
        </w:rPr>
        <w:t xml:space="preserve"> agreement to lease retail premises from </w:t>
      </w:r>
      <w:proofErr w:type="spellStart"/>
      <w:r>
        <w:rPr>
          <w:rFonts w:cs="Arial"/>
        </w:rPr>
        <w:t>Gwelo</w:t>
      </w:r>
      <w:proofErr w:type="spellEnd"/>
      <w:r>
        <w:rPr>
          <w:rFonts w:cs="Arial"/>
        </w:rPr>
        <w:t xml:space="preserve"> Developments Pty Ltd at the new Coolalinga Shopping Village currently under construction.  Under the lease agreement there is provision for Coles to enter into a further lease with Liquorland for a retail liquor outlet.  Liquorland intend substituting (or relocating) its Casuarina Village store liquor licence to the newly developed Coolalinga Shopping Centre.</w:t>
      </w:r>
    </w:p>
    <w:p w:rsidR="00AC0965" w:rsidRDefault="00AC0965" w:rsidP="00E07BB5">
      <w:pPr>
        <w:numPr>
          <w:ilvl w:val="0"/>
          <w:numId w:val="1"/>
        </w:numPr>
        <w:tabs>
          <w:tab w:val="clear" w:pos="720"/>
        </w:tabs>
        <w:spacing w:after="120" w:line="240" w:lineRule="atLeast"/>
        <w:ind w:left="425" w:hanging="425"/>
        <w:jc w:val="both"/>
        <w:rPr>
          <w:rFonts w:cs="Arial"/>
        </w:rPr>
      </w:pPr>
      <w:r>
        <w:rPr>
          <w:rFonts w:cs="Arial"/>
        </w:rPr>
        <w:t>Through Ward Keller Solicitors, public interest criteria relating to the substitution and operation of the licence are addressed</w:t>
      </w:r>
      <w:r w:rsidR="00B74566">
        <w:rPr>
          <w:rFonts w:cs="Arial"/>
        </w:rPr>
        <w:t xml:space="preserve"> in the application</w:t>
      </w:r>
      <w:r>
        <w:rPr>
          <w:rFonts w:cs="Arial"/>
        </w:rPr>
        <w:t xml:space="preserve"> as required pursuant to </w:t>
      </w:r>
      <w:r w:rsidR="00E9044D">
        <w:rPr>
          <w:rFonts w:cs="Arial"/>
        </w:rPr>
        <w:t>Section</w:t>
      </w:r>
      <w:r>
        <w:rPr>
          <w:rFonts w:cs="Arial"/>
        </w:rPr>
        <w:t xml:space="preserve"> 6(2) of the Act.  Section 6 states:</w:t>
      </w:r>
    </w:p>
    <w:p w:rsidR="00C958E9" w:rsidRPr="00D62DC9" w:rsidRDefault="00C958E9" w:rsidP="00D62DC9">
      <w:pPr>
        <w:spacing w:after="120"/>
        <w:ind w:left="720"/>
        <w:rPr>
          <w:b/>
          <w:i/>
        </w:rPr>
      </w:pPr>
      <w:bookmarkStart w:id="0" w:name="_Hlk71600278"/>
      <w:bookmarkStart w:id="1" w:name="_Toc388961205"/>
      <w:r w:rsidRPr="00D62DC9">
        <w:rPr>
          <w:b/>
          <w:i/>
        </w:rPr>
        <w:t>“6</w:t>
      </w:r>
      <w:bookmarkEnd w:id="0"/>
      <w:r w:rsidRPr="00D62DC9">
        <w:rPr>
          <w:b/>
          <w:i/>
        </w:rPr>
        <w:tab/>
        <w:t>Public interest criteria in respect of licence or licensed premises</w:t>
      </w:r>
      <w:bookmarkEnd w:id="1"/>
    </w:p>
    <w:p w:rsidR="00C958E9" w:rsidRPr="00C958E9" w:rsidRDefault="00C958E9" w:rsidP="00B74566">
      <w:pPr>
        <w:pStyle w:val="Subsection"/>
        <w:keepNext/>
        <w:keepLines/>
        <w:tabs>
          <w:tab w:val="clear" w:pos="902"/>
        </w:tabs>
        <w:spacing w:after="120"/>
        <w:ind w:left="1820" w:right="565" w:hanging="556"/>
        <w:rPr>
          <w:i/>
        </w:rPr>
      </w:pPr>
      <w:r w:rsidRPr="00C958E9">
        <w:rPr>
          <w:i/>
        </w:rPr>
        <w:t>(1)</w:t>
      </w:r>
      <w:r w:rsidRPr="00C958E9">
        <w:rPr>
          <w:i/>
        </w:rPr>
        <w:tab/>
        <w:t>When the Commission has regard to the objects of this Act in:</w:t>
      </w:r>
    </w:p>
    <w:p w:rsidR="00C958E9" w:rsidRPr="00C958E9" w:rsidRDefault="00C958E9" w:rsidP="00486CBC">
      <w:pPr>
        <w:pStyle w:val="Paragraph"/>
        <w:spacing w:after="120"/>
        <w:ind w:left="2127" w:right="565" w:hanging="426"/>
        <w:rPr>
          <w:i/>
        </w:rPr>
      </w:pPr>
      <w:r w:rsidRPr="00C958E9">
        <w:rPr>
          <w:i/>
        </w:rPr>
        <w:t>(a)</w:t>
      </w:r>
      <w:r w:rsidRPr="00C958E9">
        <w:rPr>
          <w:i/>
        </w:rPr>
        <w:tab/>
      </w:r>
      <w:proofErr w:type="gramStart"/>
      <w:r w:rsidRPr="00C958E9">
        <w:rPr>
          <w:i/>
        </w:rPr>
        <w:t>considering</w:t>
      </w:r>
      <w:proofErr w:type="gramEnd"/>
      <w:r w:rsidRPr="00C958E9">
        <w:rPr>
          <w:i/>
        </w:rPr>
        <w:t xml:space="preserve"> or determining an application under this Act in respect of a licence or licensed premises; or</w:t>
      </w:r>
    </w:p>
    <w:p w:rsidR="00C958E9" w:rsidRPr="00C958E9" w:rsidRDefault="00C958E9" w:rsidP="00486CBC">
      <w:pPr>
        <w:pStyle w:val="Paragraph"/>
        <w:spacing w:after="120"/>
        <w:ind w:left="2127" w:right="565" w:hanging="426"/>
        <w:rPr>
          <w:i/>
        </w:rPr>
      </w:pPr>
      <w:r w:rsidRPr="00C958E9">
        <w:rPr>
          <w:i/>
        </w:rPr>
        <w:t>(b)</w:t>
      </w:r>
      <w:r w:rsidRPr="00C958E9">
        <w:rPr>
          <w:i/>
        </w:rPr>
        <w:tab/>
      </w:r>
      <w:proofErr w:type="gramStart"/>
      <w:r w:rsidRPr="00C958E9">
        <w:rPr>
          <w:i/>
        </w:rPr>
        <w:t>determining</w:t>
      </w:r>
      <w:proofErr w:type="gramEnd"/>
      <w:r w:rsidRPr="00C958E9">
        <w:rPr>
          <w:i/>
        </w:rPr>
        <w:t xml:space="preserve"> the conditions of a licence,</w:t>
      </w:r>
      <w:r w:rsidR="00B74566">
        <w:rPr>
          <w:i/>
        </w:rPr>
        <w:t xml:space="preserve"> </w:t>
      </w:r>
      <w:r w:rsidRPr="00C958E9">
        <w:rPr>
          <w:i/>
        </w:rPr>
        <w:t>the Commission must, when taking into account the public interest in the sale, provision, promotion and consumption of liquor, consider any of the criteria specified in subsection (2) that are relevant to the application or conditions.</w:t>
      </w:r>
    </w:p>
    <w:p w:rsidR="00C958E9" w:rsidRPr="00C958E9" w:rsidRDefault="00C958E9" w:rsidP="00B74566">
      <w:pPr>
        <w:pStyle w:val="Subsection"/>
        <w:keepNext/>
        <w:keepLines/>
        <w:tabs>
          <w:tab w:val="clear" w:pos="902"/>
        </w:tabs>
        <w:spacing w:after="120"/>
        <w:ind w:left="1820" w:right="565" w:hanging="556"/>
        <w:rPr>
          <w:i/>
        </w:rPr>
      </w:pPr>
      <w:r w:rsidRPr="00C958E9">
        <w:rPr>
          <w:i/>
        </w:rPr>
        <w:t>(2)</w:t>
      </w:r>
      <w:r w:rsidRPr="00C958E9">
        <w:rPr>
          <w:i/>
        </w:rPr>
        <w:tab/>
        <w:t>For subsection (1), the criteria are the following:</w:t>
      </w:r>
    </w:p>
    <w:p w:rsidR="00C958E9" w:rsidRPr="00C958E9" w:rsidRDefault="00C958E9" w:rsidP="00486CBC">
      <w:pPr>
        <w:pStyle w:val="Paragraph"/>
        <w:spacing w:after="120"/>
        <w:ind w:left="2127" w:right="565" w:hanging="426"/>
        <w:rPr>
          <w:i/>
        </w:rPr>
      </w:pPr>
      <w:r w:rsidRPr="00C958E9">
        <w:rPr>
          <w:i/>
        </w:rPr>
        <w:t>(a)</w:t>
      </w:r>
      <w:r w:rsidRPr="00C958E9">
        <w:rPr>
          <w:i/>
        </w:rPr>
        <w:tab/>
      </w:r>
      <w:proofErr w:type="gramStart"/>
      <w:r w:rsidRPr="00C958E9">
        <w:rPr>
          <w:i/>
        </w:rPr>
        <w:t>harm</w:t>
      </w:r>
      <w:proofErr w:type="gramEnd"/>
      <w:r w:rsidRPr="00C958E9">
        <w:rPr>
          <w:i/>
        </w:rPr>
        <w:t xml:space="preserve"> or ill-health caused to people, or a group of people, by the consumption of liquor is to be minimised;</w:t>
      </w:r>
    </w:p>
    <w:p w:rsidR="00C958E9" w:rsidRPr="00C958E9" w:rsidRDefault="00C958E9" w:rsidP="00486CBC">
      <w:pPr>
        <w:pStyle w:val="Paragraph"/>
        <w:spacing w:after="120"/>
        <w:ind w:left="2127" w:right="565" w:hanging="426"/>
        <w:rPr>
          <w:i/>
        </w:rPr>
      </w:pPr>
      <w:r w:rsidRPr="00C958E9">
        <w:rPr>
          <w:i/>
        </w:rPr>
        <w:t>(b)</w:t>
      </w:r>
      <w:r w:rsidRPr="00C958E9">
        <w:rPr>
          <w:i/>
        </w:rPr>
        <w:tab/>
      </w:r>
      <w:proofErr w:type="gramStart"/>
      <w:r w:rsidRPr="00C958E9">
        <w:rPr>
          <w:i/>
        </w:rPr>
        <w:t>liquor</w:t>
      </w:r>
      <w:proofErr w:type="gramEnd"/>
      <w:r w:rsidRPr="00C958E9">
        <w:rPr>
          <w:i/>
        </w:rPr>
        <w:t xml:space="preserve"> is to be sold, or sold and consumed, on licensed premises in a responsible manner;</w:t>
      </w:r>
    </w:p>
    <w:p w:rsidR="00C958E9" w:rsidRPr="00C958E9" w:rsidRDefault="00C958E9" w:rsidP="00486CBC">
      <w:pPr>
        <w:pStyle w:val="Paragraph"/>
        <w:spacing w:after="120"/>
        <w:ind w:left="2127" w:right="565" w:hanging="426"/>
        <w:rPr>
          <w:i/>
        </w:rPr>
      </w:pPr>
      <w:r w:rsidRPr="00C958E9">
        <w:rPr>
          <w:i/>
        </w:rPr>
        <w:lastRenderedPageBreak/>
        <w:t>(c)</w:t>
      </w:r>
      <w:r w:rsidRPr="00C958E9">
        <w:rPr>
          <w:i/>
        </w:rPr>
        <w:tab/>
      </w:r>
      <w:proofErr w:type="gramStart"/>
      <w:r w:rsidRPr="00C958E9">
        <w:rPr>
          <w:i/>
        </w:rPr>
        <w:t>public</w:t>
      </w:r>
      <w:proofErr w:type="gramEnd"/>
      <w:r w:rsidRPr="00C958E9">
        <w:rPr>
          <w:i/>
        </w:rPr>
        <w:t xml:space="preserve"> order and safety must not to be jeopardised, particularly where circumstances or events are expected to attract large numbers of persons to licensed premises or an area adjacent to those premises;</w:t>
      </w:r>
    </w:p>
    <w:p w:rsidR="00C958E9" w:rsidRPr="00C958E9" w:rsidRDefault="00C958E9" w:rsidP="00486CBC">
      <w:pPr>
        <w:pStyle w:val="Paragraph"/>
        <w:spacing w:after="120"/>
        <w:ind w:left="2127" w:right="565" w:hanging="426"/>
        <w:rPr>
          <w:i/>
        </w:rPr>
      </w:pPr>
      <w:r w:rsidRPr="00C958E9">
        <w:rPr>
          <w:i/>
        </w:rPr>
        <w:t>(d)</w:t>
      </w:r>
      <w:r w:rsidRPr="00C958E9">
        <w:rPr>
          <w:i/>
        </w:rPr>
        <w:tab/>
      </w:r>
      <w:proofErr w:type="gramStart"/>
      <w:r w:rsidRPr="00C958E9">
        <w:rPr>
          <w:i/>
        </w:rPr>
        <w:t>the</w:t>
      </w:r>
      <w:proofErr w:type="gramEnd"/>
      <w:r w:rsidRPr="00C958E9">
        <w:rPr>
          <w:i/>
        </w:rPr>
        <w:t xml:space="preserve"> safety, health and welfare of persons who use licensed premises must not be put at risk;</w:t>
      </w:r>
    </w:p>
    <w:p w:rsidR="00C958E9" w:rsidRPr="00C958E9" w:rsidRDefault="00C958E9" w:rsidP="00486CBC">
      <w:pPr>
        <w:pStyle w:val="Paragraph"/>
        <w:spacing w:after="120"/>
        <w:ind w:left="2127" w:right="565" w:hanging="426"/>
        <w:rPr>
          <w:i/>
        </w:rPr>
      </w:pPr>
      <w:r w:rsidRPr="00C958E9">
        <w:rPr>
          <w:i/>
        </w:rPr>
        <w:t>(e)</w:t>
      </w:r>
      <w:r w:rsidRPr="00C958E9">
        <w:rPr>
          <w:i/>
        </w:rPr>
        <w:tab/>
      </w:r>
      <w:proofErr w:type="gramStart"/>
      <w:r w:rsidRPr="00C958E9">
        <w:rPr>
          <w:i/>
        </w:rPr>
        <w:t>noise</w:t>
      </w:r>
      <w:proofErr w:type="gramEnd"/>
      <w:r w:rsidRPr="00C958E9">
        <w:rPr>
          <w:i/>
        </w:rPr>
        <w:t xml:space="preserve"> emanations from licensed premises must not be excessive;</w:t>
      </w:r>
    </w:p>
    <w:p w:rsidR="00C958E9" w:rsidRPr="00C958E9" w:rsidRDefault="00C958E9" w:rsidP="00486CBC">
      <w:pPr>
        <w:pStyle w:val="Paragraph"/>
        <w:spacing w:after="120"/>
        <w:ind w:left="2127" w:right="565" w:hanging="426"/>
        <w:rPr>
          <w:i/>
        </w:rPr>
      </w:pPr>
      <w:r w:rsidRPr="00C958E9">
        <w:rPr>
          <w:i/>
        </w:rPr>
        <w:t>(f)</w:t>
      </w:r>
      <w:r w:rsidRPr="00C958E9">
        <w:rPr>
          <w:i/>
        </w:rPr>
        <w:tab/>
        <w:t>business conducted at licensed premises must not cause undue offence, annoyance, disturbance or inconvenience to persons who reside or work in the neighbourhood of the premises or who are making their way to or from, or using the services of, a place of public worship, hospital or school;</w:t>
      </w:r>
    </w:p>
    <w:p w:rsidR="00C958E9" w:rsidRPr="00C958E9" w:rsidRDefault="00C958E9" w:rsidP="00486CBC">
      <w:pPr>
        <w:pStyle w:val="Paragraph"/>
        <w:spacing w:after="120"/>
        <w:ind w:left="2127" w:right="565" w:hanging="426"/>
        <w:rPr>
          <w:i/>
        </w:rPr>
      </w:pPr>
      <w:r w:rsidRPr="00C958E9">
        <w:rPr>
          <w:i/>
        </w:rPr>
        <w:t>(g)</w:t>
      </w:r>
      <w:r w:rsidRPr="00C958E9">
        <w:rPr>
          <w:i/>
        </w:rPr>
        <w:tab/>
      </w:r>
      <w:proofErr w:type="gramStart"/>
      <w:r w:rsidRPr="00C958E9">
        <w:rPr>
          <w:i/>
        </w:rPr>
        <w:t>a</w:t>
      </w:r>
      <w:proofErr w:type="gramEnd"/>
      <w:r w:rsidRPr="00C958E9">
        <w:rPr>
          <w:i/>
        </w:rPr>
        <w:t xml:space="preserve"> licensee must comply with provisions of this Act and any other law in force in the Territory which regulate in any manner the sale or consumption of liquor or the location, construction or facilities of licensed premises, including:</w:t>
      </w:r>
    </w:p>
    <w:p w:rsidR="00C958E9" w:rsidRPr="00C958E9" w:rsidRDefault="00C958E9" w:rsidP="00486CBC">
      <w:pPr>
        <w:pStyle w:val="Paragraph"/>
        <w:spacing w:after="120"/>
        <w:ind w:left="2127" w:right="565" w:hanging="426"/>
        <w:rPr>
          <w:i/>
        </w:rPr>
      </w:pPr>
      <w:r w:rsidRPr="00C958E9">
        <w:rPr>
          <w:i/>
        </w:rPr>
        <w:t>(</w:t>
      </w:r>
      <w:proofErr w:type="spellStart"/>
      <w:r w:rsidRPr="00C958E9">
        <w:rPr>
          <w:i/>
        </w:rPr>
        <w:t>i</w:t>
      </w:r>
      <w:proofErr w:type="spellEnd"/>
      <w:r w:rsidRPr="00C958E9">
        <w:rPr>
          <w:i/>
        </w:rPr>
        <w:t>)</w:t>
      </w:r>
      <w:r w:rsidRPr="00C958E9">
        <w:rPr>
          <w:i/>
        </w:rPr>
        <w:tab/>
        <w:t>by-laws made under the Local Government Act; and</w:t>
      </w:r>
    </w:p>
    <w:p w:rsidR="00C958E9" w:rsidRPr="00C958E9" w:rsidRDefault="00C958E9" w:rsidP="00486CBC">
      <w:pPr>
        <w:pStyle w:val="Paragraph"/>
        <w:spacing w:after="120"/>
        <w:ind w:left="2127" w:right="565" w:hanging="426"/>
        <w:rPr>
          <w:i/>
        </w:rPr>
      </w:pPr>
      <w:r w:rsidRPr="00C958E9">
        <w:rPr>
          <w:i/>
        </w:rPr>
        <w:t>(ii)</w:t>
      </w:r>
      <w:r w:rsidRPr="00C958E9">
        <w:rPr>
          <w:i/>
        </w:rPr>
        <w:tab/>
      </w:r>
      <w:proofErr w:type="gramStart"/>
      <w:r w:rsidRPr="00C958E9">
        <w:rPr>
          <w:i/>
        </w:rPr>
        <w:t>provisions</w:t>
      </w:r>
      <w:proofErr w:type="gramEnd"/>
      <w:r w:rsidRPr="00C958E9">
        <w:rPr>
          <w:i/>
        </w:rPr>
        <w:t xml:space="preserve"> of or under the Planning Act;</w:t>
      </w:r>
    </w:p>
    <w:p w:rsidR="00C958E9" w:rsidRPr="00C958E9" w:rsidRDefault="00C958E9" w:rsidP="00486CBC">
      <w:pPr>
        <w:pStyle w:val="Paragraph"/>
        <w:spacing w:after="120"/>
        <w:ind w:left="2127" w:right="565" w:hanging="426"/>
        <w:rPr>
          <w:i/>
        </w:rPr>
      </w:pPr>
      <w:r w:rsidRPr="00C958E9">
        <w:rPr>
          <w:i/>
        </w:rPr>
        <w:t>(h)</w:t>
      </w:r>
      <w:r w:rsidRPr="00C958E9">
        <w:rPr>
          <w:i/>
        </w:rPr>
        <w:tab/>
      </w:r>
      <w:proofErr w:type="gramStart"/>
      <w:r w:rsidRPr="00C958E9">
        <w:rPr>
          <w:i/>
        </w:rPr>
        <w:t>each</w:t>
      </w:r>
      <w:proofErr w:type="gramEnd"/>
      <w:r w:rsidRPr="00C958E9">
        <w:rPr>
          <w:i/>
        </w:rPr>
        <w:t xml:space="preserve"> person involved in the business conducted at licensed premises must receive suitable training relevant to the person's role in the conduct of the business;</w:t>
      </w:r>
    </w:p>
    <w:p w:rsidR="00C958E9" w:rsidRPr="00C958E9" w:rsidRDefault="00C958E9" w:rsidP="00486CBC">
      <w:pPr>
        <w:pStyle w:val="Paragraph"/>
        <w:spacing w:after="120"/>
        <w:ind w:left="2127" w:right="565" w:hanging="426"/>
        <w:rPr>
          <w:i/>
        </w:rPr>
      </w:pPr>
      <w:r w:rsidRPr="00C958E9">
        <w:rPr>
          <w:i/>
        </w:rPr>
        <w:t>(</w:t>
      </w:r>
      <w:proofErr w:type="spellStart"/>
      <w:r w:rsidRPr="00C958E9">
        <w:rPr>
          <w:i/>
        </w:rPr>
        <w:t>i</w:t>
      </w:r>
      <w:proofErr w:type="spellEnd"/>
      <w:r w:rsidRPr="00C958E9">
        <w:rPr>
          <w:i/>
        </w:rPr>
        <w:t>)</w:t>
      </w:r>
      <w:r w:rsidRPr="00C958E9">
        <w:rPr>
          <w:i/>
        </w:rPr>
        <w:tab/>
      </w:r>
      <w:proofErr w:type="gramStart"/>
      <w:r w:rsidRPr="00C958E9">
        <w:rPr>
          <w:i/>
        </w:rPr>
        <w:t>the</w:t>
      </w:r>
      <w:proofErr w:type="gramEnd"/>
      <w:r w:rsidRPr="00C958E9">
        <w:rPr>
          <w:i/>
        </w:rPr>
        <w:t xml:space="preserve"> use of credit in the sale of liquor must be controlled;</w:t>
      </w:r>
    </w:p>
    <w:p w:rsidR="00C958E9" w:rsidRPr="00C958E9" w:rsidRDefault="00C958E9" w:rsidP="00486CBC">
      <w:pPr>
        <w:pStyle w:val="Paragraph"/>
        <w:spacing w:after="120"/>
        <w:ind w:left="2127" w:right="565" w:hanging="426"/>
        <w:rPr>
          <w:i/>
        </w:rPr>
      </w:pPr>
      <w:r w:rsidRPr="00C958E9">
        <w:rPr>
          <w:i/>
        </w:rPr>
        <w:t>(j)</w:t>
      </w:r>
      <w:r w:rsidRPr="00C958E9">
        <w:rPr>
          <w:i/>
        </w:rPr>
        <w:tab/>
      </w:r>
      <w:proofErr w:type="gramStart"/>
      <w:r w:rsidRPr="00C958E9">
        <w:rPr>
          <w:i/>
        </w:rPr>
        <w:t>practices</w:t>
      </w:r>
      <w:proofErr w:type="gramEnd"/>
      <w:r w:rsidRPr="00C958E9">
        <w:rPr>
          <w:i/>
        </w:rPr>
        <w:t xml:space="preserve"> which encourage irresponsible drinking must be prohibited;</w:t>
      </w:r>
    </w:p>
    <w:p w:rsidR="00C958E9" w:rsidRPr="00C958E9" w:rsidRDefault="00C958E9" w:rsidP="00486CBC">
      <w:pPr>
        <w:pStyle w:val="Paragraph"/>
        <w:spacing w:after="120"/>
        <w:ind w:left="2127" w:right="565" w:hanging="426"/>
        <w:rPr>
          <w:i/>
        </w:rPr>
      </w:pPr>
      <w:r w:rsidRPr="00C958E9">
        <w:rPr>
          <w:i/>
        </w:rPr>
        <w:t>(k)</w:t>
      </w:r>
      <w:r w:rsidRPr="00C958E9">
        <w:rPr>
          <w:i/>
        </w:rPr>
        <w:tab/>
      </w:r>
      <w:proofErr w:type="gramStart"/>
      <w:r w:rsidRPr="00C958E9">
        <w:rPr>
          <w:i/>
        </w:rPr>
        <w:t>it</w:t>
      </w:r>
      <w:proofErr w:type="gramEnd"/>
      <w:r w:rsidRPr="00C958E9">
        <w:rPr>
          <w:i/>
        </w:rPr>
        <w:t xml:space="preserve"> may be necessary or desirable to limit any of the following:</w:t>
      </w:r>
    </w:p>
    <w:p w:rsidR="00C958E9" w:rsidRPr="00C958E9" w:rsidRDefault="00C958E9" w:rsidP="00B74566">
      <w:pPr>
        <w:pStyle w:val="Subpara"/>
        <w:spacing w:after="60"/>
        <w:ind w:left="2977" w:right="565" w:hanging="556"/>
        <w:rPr>
          <w:i/>
        </w:rPr>
      </w:pPr>
      <w:r w:rsidRPr="00C958E9">
        <w:rPr>
          <w:i/>
        </w:rPr>
        <w:t>(</w:t>
      </w:r>
      <w:proofErr w:type="spellStart"/>
      <w:r w:rsidRPr="00C958E9">
        <w:rPr>
          <w:i/>
        </w:rPr>
        <w:t>i</w:t>
      </w:r>
      <w:proofErr w:type="spellEnd"/>
      <w:r w:rsidRPr="00C958E9">
        <w:rPr>
          <w:i/>
        </w:rPr>
        <w:t>)</w:t>
      </w:r>
      <w:r w:rsidRPr="00C958E9">
        <w:rPr>
          <w:i/>
        </w:rPr>
        <w:tab/>
      </w:r>
      <w:proofErr w:type="gramStart"/>
      <w:r w:rsidRPr="00C958E9">
        <w:rPr>
          <w:i/>
        </w:rPr>
        <w:t>the</w:t>
      </w:r>
      <w:proofErr w:type="gramEnd"/>
      <w:r w:rsidRPr="00C958E9">
        <w:rPr>
          <w:i/>
        </w:rPr>
        <w:t xml:space="preserve"> kinds of liquor that may be sold;</w:t>
      </w:r>
    </w:p>
    <w:p w:rsidR="00C958E9" w:rsidRPr="00C958E9" w:rsidRDefault="00C958E9" w:rsidP="00B74566">
      <w:pPr>
        <w:pStyle w:val="Subpara"/>
        <w:spacing w:after="60"/>
        <w:ind w:left="2977" w:right="565" w:hanging="556"/>
        <w:rPr>
          <w:i/>
        </w:rPr>
      </w:pPr>
      <w:r w:rsidRPr="00C958E9">
        <w:rPr>
          <w:i/>
        </w:rPr>
        <w:t>(ii)</w:t>
      </w:r>
      <w:r w:rsidRPr="00C958E9">
        <w:rPr>
          <w:i/>
        </w:rPr>
        <w:tab/>
      </w:r>
      <w:proofErr w:type="gramStart"/>
      <w:r w:rsidRPr="00C958E9">
        <w:rPr>
          <w:i/>
        </w:rPr>
        <w:t>the</w:t>
      </w:r>
      <w:proofErr w:type="gramEnd"/>
      <w:r w:rsidRPr="00C958E9">
        <w:rPr>
          <w:i/>
        </w:rPr>
        <w:t xml:space="preserve"> manner in which liquor may be sold;</w:t>
      </w:r>
    </w:p>
    <w:p w:rsidR="00C958E9" w:rsidRPr="00C958E9" w:rsidRDefault="00C958E9" w:rsidP="00B74566">
      <w:pPr>
        <w:pStyle w:val="Subpara"/>
        <w:spacing w:after="60"/>
        <w:ind w:left="2977" w:right="565" w:hanging="556"/>
        <w:rPr>
          <w:i/>
        </w:rPr>
      </w:pPr>
      <w:r w:rsidRPr="00C958E9">
        <w:rPr>
          <w:i/>
        </w:rPr>
        <w:t>(iii)</w:t>
      </w:r>
      <w:r w:rsidRPr="00C958E9">
        <w:rPr>
          <w:i/>
        </w:rPr>
        <w:tab/>
      </w:r>
      <w:proofErr w:type="gramStart"/>
      <w:r w:rsidRPr="00C958E9">
        <w:rPr>
          <w:i/>
        </w:rPr>
        <w:t>the</w:t>
      </w:r>
      <w:proofErr w:type="gramEnd"/>
      <w:r w:rsidRPr="00C958E9">
        <w:rPr>
          <w:i/>
        </w:rPr>
        <w:t xml:space="preserve"> containers, or number or types of containers, in which liquor may be sold;</w:t>
      </w:r>
    </w:p>
    <w:p w:rsidR="00C958E9" w:rsidRPr="00C958E9" w:rsidRDefault="00C958E9" w:rsidP="00B74566">
      <w:pPr>
        <w:pStyle w:val="Subpara"/>
        <w:spacing w:after="120"/>
        <w:ind w:left="2977" w:right="565" w:hanging="556"/>
        <w:rPr>
          <w:i/>
        </w:rPr>
      </w:pPr>
      <w:r w:rsidRPr="00C958E9">
        <w:rPr>
          <w:i/>
        </w:rPr>
        <w:t>(iv)</w:t>
      </w:r>
      <w:r w:rsidRPr="00C958E9">
        <w:rPr>
          <w:i/>
        </w:rPr>
        <w:tab/>
      </w:r>
      <w:proofErr w:type="gramStart"/>
      <w:r w:rsidRPr="00C958E9">
        <w:rPr>
          <w:i/>
        </w:rPr>
        <w:t>the</w:t>
      </w:r>
      <w:proofErr w:type="gramEnd"/>
      <w:r w:rsidRPr="00C958E9">
        <w:rPr>
          <w:i/>
        </w:rPr>
        <w:t xml:space="preserve"> days on which and the times at which liquor may be sold;</w:t>
      </w:r>
    </w:p>
    <w:p w:rsidR="00C958E9" w:rsidRPr="00C958E9" w:rsidRDefault="00C958E9" w:rsidP="00486CBC">
      <w:pPr>
        <w:pStyle w:val="Paragraph"/>
        <w:spacing w:after="120"/>
        <w:ind w:left="2127" w:right="565" w:hanging="426"/>
        <w:rPr>
          <w:i/>
        </w:rPr>
      </w:pPr>
      <w:r w:rsidRPr="00C958E9">
        <w:rPr>
          <w:i/>
        </w:rPr>
        <w:t>(l)</w:t>
      </w:r>
      <w:r w:rsidRPr="00C958E9">
        <w:rPr>
          <w:i/>
        </w:rPr>
        <w:tab/>
      </w:r>
      <w:proofErr w:type="gramStart"/>
      <w:r w:rsidRPr="00C958E9">
        <w:rPr>
          <w:i/>
        </w:rPr>
        <w:t>it</w:t>
      </w:r>
      <w:proofErr w:type="gramEnd"/>
      <w:r w:rsidRPr="00C958E9">
        <w:rPr>
          <w:i/>
        </w:rPr>
        <w:t xml:space="preserve"> may be necessary or desirable to prohibit persons or limit the number of persons who may be on licensed premises, on any particular part of licensed premises or in an adjacent area subject to the control of the licensee;</w:t>
      </w:r>
    </w:p>
    <w:p w:rsidR="00C958E9" w:rsidRPr="00C958E9" w:rsidRDefault="00C958E9" w:rsidP="00486CBC">
      <w:pPr>
        <w:pStyle w:val="Paragraph"/>
        <w:spacing w:after="120"/>
        <w:ind w:left="2127" w:right="565" w:hanging="426"/>
        <w:rPr>
          <w:i/>
        </w:rPr>
      </w:pPr>
      <w:r w:rsidRPr="00C958E9">
        <w:rPr>
          <w:i/>
        </w:rPr>
        <w:t>(m)</w:t>
      </w:r>
      <w:r w:rsidRPr="00C958E9">
        <w:rPr>
          <w:i/>
        </w:rPr>
        <w:tab/>
      </w:r>
      <w:proofErr w:type="gramStart"/>
      <w:r w:rsidRPr="00C958E9">
        <w:rPr>
          <w:i/>
        </w:rPr>
        <w:t>it</w:t>
      </w:r>
      <w:proofErr w:type="gramEnd"/>
      <w:r w:rsidRPr="00C958E9">
        <w:rPr>
          <w:i/>
        </w:rPr>
        <w:t xml:space="preserve"> may be necessary or desirable to prohibit or limit the entertainment, or the kind of entertainment, which may be provided on licensed premises or in an adjacent area under the control of the licensee;</w:t>
      </w:r>
    </w:p>
    <w:p w:rsidR="00C958E9" w:rsidRPr="00C958E9" w:rsidRDefault="00C958E9" w:rsidP="00486CBC">
      <w:pPr>
        <w:pStyle w:val="Paragraph"/>
        <w:spacing w:after="120"/>
        <w:ind w:left="2127" w:right="565" w:hanging="426"/>
        <w:rPr>
          <w:i/>
        </w:rPr>
      </w:pPr>
      <w:r w:rsidRPr="00C958E9">
        <w:rPr>
          <w:i/>
        </w:rPr>
        <w:t>(n)</w:t>
      </w:r>
      <w:r w:rsidRPr="00C958E9">
        <w:rPr>
          <w:i/>
        </w:rPr>
        <w:tab/>
      </w:r>
      <w:proofErr w:type="gramStart"/>
      <w:r w:rsidRPr="00C958E9">
        <w:rPr>
          <w:i/>
        </w:rPr>
        <w:t>it</w:t>
      </w:r>
      <w:proofErr w:type="gramEnd"/>
      <w:r w:rsidRPr="00C958E9">
        <w:rPr>
          <w:i/>
        </w:rPr>
        <w:t xml:space="preserve"> may be necessary or desirable to prohibit or limit promotional activities in which drinks are offered free or at reduced prices.</w:t>
      </w:r>
    </w:p>
    <w:p w:rsidR="00C958E9" w:rsidRPr="00C958E9" w:rsidRDefault="00C958E9" w:rsidP="00B74566">
      <w:pPr>
        <w:pStyle w:val="Subsection"/>
        <w:keepNext/>
        <w:keepLines/>
        <w:tabs>
          <w:tab w:val="clear" w:pos="902"/>
        </w:tabs>
        <w:spacing w:after="120"/>
        <w:ind w:left="1820" w:right="565" w:hanging="556"/>
        <w:rPr>
          <w:i/>
        </w:rPr>
      </w:pPr>
      <w:r w:rsidRPr="00C958E9">
        <w:rPr>
          <w:i/>
        </w:rPr>
        <w:lastRenderedPageBreak/>
        <w:t>(3)</w:t>
      </w:r>
      <w:r w:rsidRPr="00C958E9">
        <w:rPr>
          <w:i/>
        </w:rPr>
        <w:tab/>
        <w:t>Also, the Commission must consider:</w:t>
      </w:r>
    </w:p>
    <w:p w:rsidR="00C958E9" w:rsidRPr="00C958E9" w:rsidRDefault="00C958E9" w:rsidP="00486CBC">
      <w:pPr>
        <w:pStyle w:val="Paragraph"/>
        <w:spacing w:after="120"/>
        <w:ind w:left="2127" w:right="565" w:hanging="426"/>
        <w:rPr>
          <w:i/>
        </w:rPr>
      </w:pPr>
      <w:r w:rsidRPr="00C958E9">
        <w:rPr>
          <w:i/>
        </w:rPr>
        <w:t>(a)</w:t>
      </w:r>
      <w:r w:rsidRPr="00C958E9">
        <w:rPr>
          <w:i/>
        </w:rPr>
        <w:tab/>
        <w:t>any other matter the Commission believes is relevant to the public interest in the sale, provision, promotion and consumption of liquor in respect of the application or conditions under consideration; and</w:t>
      </w:r>
    </w:p>
    <w:p w:rsidR="00C958E9" w:rsidRPr="00C958E9" w:rsidRDefault="00C958E9" w:rsidP="00486CBC">
      <w:pPr>
        <w:pStyle w:val="Paragraph"/>
        <w:spacing w:after="120"/>
        <w:ind w:left="2127" w:right="565" w:hanging="426"/>
        <w:rPr>
          <w:i/>
        </w:rPr>
      </w:pPr>
      <w:r w:rsidRPr="00C958E9">
        <w:rPr>
          <w:i/>
        </w:rPr>
        <w:t>(b)</w:t>
      </w:r>
      <w:r w:rsidRPr="00C958E9">
        <w:rPr>
          <w:i/>
        </w:rPr>
        <w:tab/>
      </w:r>
      <w:proofErr w:type="gramStart"/>
      <w:r w:rsidRPr="00C958E9">
        <w:rPr>
          <w:i/>
        </w:rPr>
        <w:t>any</w:t>
      </w:r>
      <w:proofErr w:type="gramEnd"/>
      <w:r w:rsidRPr="00C958E9">
        <w:rPr>
          <w:i/>
        </w:rPr>
        <w:t xml:space="preserve"> information or matter contained in an application, or otherwise provided or raised by the applicant, which is relevant to the public interest in the sale, provision, promotion and consumption of liquor.</w:t>
      </w:r>
      <w:r w:rsidRPr="00150021">
        <w:t>”</w:t>
      </w:r>
    </w:p>
    <w:p w:rsidR="00934988" w:rsidRDefault="00D009A8" w:rsidP="00B74566">
      <w:pPr>
        <w:numPr>
          <w:ilvl w:val="0"/>
          <w:numId w:val="1"/>
        </w:numPr>
        <w:tabs>
          <w:tab w:val="clear" w:pos="720"/>
        </w:tabs>
        <w:spacing w:after="120" w:line="240" w:lineRule="atLeast"/>
        <w:ind w:left="425" w:hanging="425"/>
        <w:jc w:val="both"/>
        <w:rPr>
          <w:rFonts w:cs="Arial"/>
        </w:rPr>
      </w:pPr>
      <w:r>
        <w:rPr>
          <w:rFonts w:cs="Arial"/>
        </w:rPr>
        <w:t>The application was subsequently advertised, as required under the Act, on 9 and 14 May 2014 as follows:</w:t>
      </w:r>
    </w:p>
    <w:p w:rsidR="0010723F" w:rsidRPr="0010723F" w:rsidRDefault="00B74566" w:rsidP="00B74566">
      <w:pPr>
        <w:spacing w:after="120" w:line="240" w:lineRule="exact"/>
        <w:ind w:left="709" w:right="565"/>
        <w:jc w:val="both"/>
        <w:rPr>
          <w:szCs w:val="20"/>
        </w:rPr>
      </w:pPr>
      <w:r>
        <w:rPr>
          <w:szCs w:val="20"/>
        </w:rPr>
        <w:t>“</w:t>
      </w:r>
      <w:proofErr w:type="spellStart"/>
      <w:r w:rsidR="00D62DC9">
        <w:rPr>
          <w:b/>
          <w:szCs w:val="20"/>
        </w:rPr>
        <w:t>Liquorland</w:t>
      </w:r>
      <w:proofErr w:type="spellEnd"/>
      <w:r w:rsidR="0010723F" w:rsidRPr="0010723F">
        <w:rPr>
          <w:szCs w:val="20"/>
        </w:rPr>
        <w:t xml:space="preserve"> (Australia) Pty Ltd, </w:t>
      </w:r>
      <w:r w:rsidR="00D62DC9">
        <w:rPr>
          <w:b/>
          <w:szCs w:val="20"/>
        </w:rPr>
        <w:t xml:space="preserve">hereby </w:t>
      </w:r>
      <w:proofErr w:type="spellStart"/>
      <w:r w:rsidR="00D62DC9">
        <w:rPr>
          <w:b/>
          <w:szCs w:val="20"/>
        </w:rPr>
        <w:t>give</w:t>
      </w:r>
      <w:proofErr w:type="spellEnd"/>
      <w:r w:rsidR="00D62DC9">
        <w:rPr>
          <w:b/>
          <w:szCs w:val="20"/>
        </w:rPr>
        <w:t xml:space="preserve"> notice</w:t>
      </w:r>
      <w:r w:rsidR="0010723F" w:rsidRPr="0010723F">
        <w:rPr>
          <w:szCs w:val="20"/>
        </w:rPr>
        <w:t xml:space="preserve"> that we have applied to the Northern Territory Licensing Commission for a substitution of the premises from which liquor is sold under a</w:t>
      </w:r>
      <w:r w:rsidR="0010723F" w:rsidRPr="0010723F">
        <w:rPr>
          <w:color w:val="C00000"/>
          <w:szCs w:val="20"/>
        </w:rPr>
        <w:t xml:space="preserve"> </w:t>
      </w:r>
      <w:r w:rsidR="00D62DC9">
        <w:rPr>
          <w:b/>
          <w:szCs w:val="20"/>
        </w:rPr>
        <w:t>store licence</w:t>
      </w:r>
      <w:r w:rsidR="0010723F" w:rsidRPr="0010723F">
        <w:rPr>
          <w:szCs w:val="20"/>
        </w:rPr>
        <w:t>, from</w:t>
      </w:r>
      <w:r w:rsidR="0010723F" w:rsidRPr="0010723F">
        <w:rPr>
          <w:color w:val="C00000"/>
          <w:szCs w:val="20"/>
        </w:rPr>
        <w:t xml:space="preserve"> </w:t>
      </w:r>
      <w:proofErr w:type="spellStart"/>
      <w:r w:rsidR="00D62DC9" w:rsidRPr="00D62DC9">
        <w:rPr>
          <w:b/>
          <w:szCs w:val="20"/>
        </w:rPr>
        <w:t>Liquorland</w:t>
      </w:r>
      <w:proofErr w:type="spellEnd"/>
      <w:r w:rsidR="00D62DC9" w:rsidRPr="00D62DC9">
        <w:rPr>
          <w:b/>
          <w:szCs w:val="20"/>
        </w:rPr>
        <w:t xml:space="preserve"> Casuarina Village</w:t>
      </w:r>
      <w:r w:rsidR="0010723F" w:rsidRPr="0010723F">
        <w:rPr>
          <w:szCs w:val="20"/>
        </w:rPr>
        <w:t xml:space="preserve"> located at</w:t>
      </w:r>
      <w:r w:rsidR="0010723F" w:rsidRPr="0010723F">
        <w:rPr>
          <w:color w:val="C00000"/>
          <w:szCs w:val="20"/>
        </w:rPr>
        <w:t xml:space="preserve"> </w:t>
      </w:r>
      <w:r w:rsidR="0010723F" w:rsidRPr="0010723F">
        <w:rPr>
          <w:szCs w:val="20"/>
        </w:rPr>
        <w:t xml:space="preserve">Casuarina Village Shopping Centre, to the new Coolalinga Shopping Village, currently being constructed and located at Coolalinga NT. </w:t>
      </w:r>
    </w:p>
    <w:p w:rsidR="0010723F" w:rsidRPr="0010723F" w:rsidRDefault="00D62DC9" w:rsidP="00B74566">
      <w:pPr>
        <w:spacing w:after="120" w:line="240" w:lineRule="exact"/>
        <w:ind w:left="709" w:right="565"/>
        <w:jc w:val="both"/>
        <w:rPr>
          <w:szCs w:val="20"/>
        </w:rPr>
      </w:pPr>
      <w:r w:rsidRPr="00D62DC9">
        <w:rPr>
          <w:b/>
          <w:szCs w:val="20"/>
        </w:rPr>
        <w:t>Proposed trading details</w:t>
      </w:r>
      <w:r w:rsidR="0010723F" w:rsidRPr="0010723F">
        <w:rPr>
          <w:szCs w:val="20"/>
        </w:rPr>
        <w:t xml:space="preserve"> for the sale of liquor are unchanged and are as follows:</w:t>
      </w:r>
    </w:p>
    <w:p w:rsidR="0010723F" w:rsidRPr="0010723F" w:rsidRDefault="0010723F" w:rsidP="00B74566">
      <w:pPr>
        <w:numPr>
          <w:ilvl w:val="0"/>
          <w:numId w:val="22"/>
        </w:numPr>
        <w:tabs>
          <w:tab w:val="clear" w:pos="720"/>
        </w:tabs>
        <w:spacing w:before="60" w:line="240" w:lineRule="exact"/>
        <w:ind w:left="1134" w:right="565" w:hanging="283"/>
        <w:jc w:val="both"/>
        <w:rPr>
          <w:szCs w:val="20"/>
        </w:rPr>
      </w:pPr>
      <w:r w:rsidRPr="0010723F">
        <w:rPr>
          <w:szCs w:val="20"/>
        </w:rPr>
        <w:t xml:space="preserve">This licence authorises the sale of liquor for removal and consumption away from the licensed premises. </w:t>
      </w:r>
    </w:p>
    <w:p w:rsidR="0010723F" w:rsidRPr="00D62DC9" w:rsidRDefault="00D62DC9" w:rsidP="00B74566">
      <w:pPr>
        <w:tabs>
          <w:tab w:val="num" w:pos="1134"/>
        </w:tabs>
        <w:spacing w:before="120" w:after="120" w:line="240" w:lineRule="exact"/>
        <w:ind w:left="709" w:right="565"/>
        <w:jc w:val="both"/>
        <w:rPr>
          <w:b/>
          <w:szCs w:val="20"/>
        </w:rPr>
      </w:pPr>
      <w:r w:rsidRPr="00D62DC9">
        <w:rPr>
          <w:b/>
          <w:szCs w:val="20"/>
        </w:rPr>
        <w:t>Trading hours</w:t>
      </w:r>
    </w:p>
    <w:p w:rsidR="0010723F" w:rsidRPr="0010723F" w:rsidRDefault="0010723F" w:rsidP="00B74566">
      <w:pPr>
        <w:numPr>
          <w:ilvl w:val="0"/>
          <w:numId w:val="22"/>
        </w:numPr>
        <w:tabs>
          <w:tab w:val="clear" w:pos="720"/>
        </w:tabs>
        <w:spacing w:before="60" w:line="240" w:lineRule="exact"/>
        <w:ind w:left="1134" w:right="565" w:hanging="283"/>
        <w:jc w:val="both"/>
        <w:rPr>
          <w:szCs w:val="20"/>
        </w:rPr>
      </w:pPr>
      <w:r w:rsidRPr="0010723F">
        <w:rPr>
          <w:szCs w:val="20"/>
        </w:rPr>
        <w:t xml:space="preserve">Monday to Friday between the hours of 10:00 and 22:00 hours; </w:t>
      </w:r>
    </w:p>
    <w:p w:rsidR="0010723F" w:rsidRPr="0010723F" w:rsidRDefault="0010723F" w:rsidP="00B74566">
      <w:pPr>
        <w:numPr>
          <w:ilvl w:val="0"/>
          <w:numId w:val="22"/>
        </w:numPr>
        <w:tabs>
          <w:tab w:val="clear" w:pos="720"/>
        </w:tabs>
        <w:spacing w:before="60" w:line="240" w:lineRule="exact"/>
        <w:ind w:left="1134" w:right="565" w:hanging="283"/>
        <w:jc w:val="both"/>
        <w:rPr>
          <w:szCs w:val="20"/>
        </w:rPr>
      </w:pPr>
      <w:r w:rsidRPr="0010723F">
        <w:rPr>
          <w:szCs w:val="20"/>
        </w:rPr>
        <w:t>Saturday and Public Holidays between the hours of 09:00 and 22:00; and</w:t>
      </w:r>
    </w:p>
    <w:p w:rsidR="0010723F" w:rsidRPr="0010723F" w:rsidRDefault="0010723F" w:rsidP="00B74566">
      <w:pPr>
        <w:numPr>
          <w:ilvl w:val="0"/>
          <w:numId w:val="22"/>
        </w:numPr>
        <w:tabs>
          <w:tab w:val="clear" w:pos="720"/>
        </w:tabs>
        <w:spacing w:before="60" w:after="120" w:line="240" w:lineRule="exact"/>
        <w:ind w:left="1134" w:right="565" w:hanging="283"/>
        <w:jc w:val="both"/>
        <w:rPr>
          <w:szCs w:val="20"/>
        </w:rPr>
      </w:pPr>
      <w:r w:rsidRPr="0010723F">
        <w:rPr>
          <w:szCs w:val="20"/>
        </w:rPr>
        <w:t xml:space="preserve">No trading on Sunday, Good Friday or Christmas Day. </w:t>
      </w:r>
    </w:p>
    <w:p w:rsidR="0010723F" w:rsidRPr="00D62DC9" w:rsidRDefault="0010723F" w:rsidP="00B74566">
      <w:pPr>
        <w:spacing w:after="120" w:line="240" w:lineRule="exact"/>
        <w:ind w:left="709" w:right="565"/>
        <w:jc w:val="both"/>
        <w:rPr>
          <w:szCs w:val="20"/>
        </w:rPr>
      </w:pPr>
      <w:r w:rsidRPr="0010723F">
        <w:rPr>
          <w:szCs w:val="20"/>
        </w:rPr>
        <w:t>This is the first notice of application. The notice will be published again on</w:t>
      </w:r>
      <w:r w:rsidRPr="0010723F">
        <w:rPr>
          <w:color w:val="C00000"/>
          <w:szCs w:val="20"/>
        </w:rPr>
        <w:t xml:space="preserve"> </w:t>
      </w:r>
      <w:r w:rsidRPr="0010723F">
        <w:rPr>
          <w:szCs w:val="20"/>
        </w:rPr>
        <w:t>Wednesday, 14 May 2014</w:t>
      </w:r>
      <w:r w:rsidRPr="00D62DC9">
        <w:rPr>
          <w:szCs w:val="20"/>
        </w:rPr>
        <w:t>.</w:t>
      </w:r>
    </w:p>
    <w:p w:rsidR="0010723F" w:rsidRPr="0010723F" w:rsidRDefault="0010723F" w:rsidP="00B74566">
      <w:pPr>
        <w:spacing w:after="120" w:line="240" w:lineRule="exact"/>
        <w:ind w:left="709" w:right="565"/>
        <w:jc w:val="both"/>
        <w:rPr>
          <w:szCs w:val="20"/>
        </w:rPr>
      </w:pPr>
      <w:r w:rsidRPr="0010723F">
        <w:rPr>
          <w:szCs w:val="20"/>
        </w:rPr>
        <w:t>The objection period is deemed to commence</w:t>
      </w:r>
      <w:r w:rsidRPr="0010723F">
        <w:rPr>
          <w:color w:val="C00000"/>
          <w:szCs w:val="20"/>
        </w:rPr>
        <w:t xml:space="preserve"> </w:t>
      </w:r>
      <w:r w:rsidRPr="0010723F">
        <w:rPr>
          <w:szCs w:val="20"/>
        </w:rPr>
        <w:t>Wednesday, 14 May 2014 (date of publication of second notice).</w:t>
      </w:r>
    </w:p>
    <w:p w:rsidR="0010723F" w:rsidRPr="00B74566" w:rsidRDefault="0010723F" w:rsidP="00B74566">
      <w:pPr>
        <w:spacing w:after="120" w:line="240" w:lineRule="exact"/>
        <w:ind w:left="709" w:right="565"/>
        <w:jc w:val="both"/>
        <w:rPr>
          <w:szCs w:val="20"/>
        </w:rPr>
      </w:pPr>
      <w:r w:rsidRPr="00B74566">
        <w:rPr>
          <w:szCs w:val="20"/>
        </w:rPr>
        <w:t>The objection period will cease on Friday, 13 June 2014.</w:t>
      </w:r>
    </w:p>
    <w:p w:rsidR="0010723F" w:rsidRPr="00B74566" w:rsidRDefault="0010723F" w:rsidP="00B74566">
      <w:pPr>
        <w:spacing w:after="120" w:line="240" w:lineRule="exact"/>
        <w:ind w:left="709" w:right="565"/>
        <w:jc w:val="both"/>
        <w:rPr>
          <w:szCs w:val="20"/>
        </w:rPr>
      </w:pPr>
      <w:r w:rsidRPr="00B74566">
        <w:rPr>
          <w:szCs w:val="20"/>
        </w:rPr>
        <w:t xml:space="preserve">Pursuant to Section 47F(2) of the </w:t>
      </w:r>
      <w:r w:rsidRPr="00B74566">
        <w:rPr>
          <w:i/>
          <w:szCs w:val="20"/>
        </w:rPr>
        <w:t>Liquor Act</w:t>
      </w:r>
      <w:r w:rsidRPr="00B74566">
        <w:rPr>
          <w:szCs w:val="20"/>
        </w:rPr>
        <w:t xml:space="preserve"> an objection may only be made on the ground that the substitution of licensed premises may or will adversely affect:</w:t>
      </w:r>
    </w:p>
    <w:p w:rsidR="0010723F" w:rsidRPr="00B74566" w:rsidRDefault="0010723F" w:rsidP="00B74566">
      <w:pPr>
        <w:pStyle w:val="ListParagraph"/>
        <w:numPr>
          <w:ilvl w:val="0"/>
          <w:numId w:val="24"/>
        </w:numPr>
        <w:spacing w:before="60" w:line="240" w:lineRule="exact"/>
        <w:ind w:left="1418" w:right="565" w:hanging="567"/>
        <w:jc w:val="both"/>
        <w:rPr>
          <w:szCs w:val="20"/>
        </w:rPr>
      </w:pPr>
      <w:r w:rsidRPr="00B74566">
        <w:rPr>
          <w:szCs w:val="20"/>
        </w:rPr>
        <w:t>the amenity of the neighbourhood where the premises the subject of the application are or will be located; or</w:t>
      </w:r>
    </w:p>
    <w:p w:rsidR="0010723F" w:rsidRPr="00B74566" w:rsidRDefault="0010723F" w:rsidP="00B74566">
      <w:pPr>
        <w:pStyle w:val="ListParagraph"/>
        <w:numPr>
          <w:ilvl w:val="0"/>
          <w:numId w:val="24"/>
        </w:numPr>
        <w:spacing w:before="60" w:after="120" w:line="240" w:lineRule="exact"/>
        <w:ind w:left="1418" w:right="565" w:hanging="567"/>
        <w:jc w:val="both"/>
        <w:rPr>
          <w:szCs w:val="20"/>
        </w:rPr>
      </w:pPr>
      <w:proofErr w:type="gramStart"/>
      <w:r w:rsidRPr="00B74566">
        <w:rPr>
          <w:szCs w:val="20"/>
        </w:rPr>
        <w:t>health</w:t>
      </w:r>
      <w:proofErr w:type="gramEnd"/>
      <w:r w:rsidRPr="00B74566">
        <w:rPr>
          <w:szCs w:val="20"/>
        </w:rPr>
        <w:t>, education, public safety or social conditions in the community.</w:t>
      </w:r>
    </w:p>
    <w:p w:rsidR="0010723F" w:rsidRPr="0010723F" w:rsidRDefault="0010723F" w:rsidP="00B74566">
      <w:pPr>
        <w:spacing w:after="120" w:line="240" w:lineRule="exact"/>
        <w:ind w:left="709" w:right="565"/>
        <w:jc w:val="both"/>
        <w:rPr>
          <w:szCs w:val="20"/>
        </w:rPr>
      </w:pPr>
      <w:r w:rsidRPr="00B74566">
        <w:rPr>
          <w:szCs w:val="20"/>
        </w:rPr>
        <w:t>Only those persons</w:t>
      </w:r>
      <w:r w:rsidRPr="0010723F">
        <w:rPr>
          <w:szCs w:val="20"/>
        </w:rPr>
        <w:t xml:space="preserve">, organisations or groups described in Section </w:t>
      </w:r>
      <w:proofErr w:type="gramStart"/>
      <w:r w:rsidRPr="0010723F">
        <w:rPr>
          <w:szCs w:val="20"/>
        </w:rPr>
        <w:t>47F(</w:t>
      </w:r>
      <w:proofErr w:type="gramEnd"/>
      <w:r w:rsidRPr="0010723F">
        <w:rPr>
          <w:szCs w:val="20"/>
        </w:rPr>
        <w:t xml:space="preserve">3) of the </w:t>
      </w:r>
      <w:r w:rsidRPr="0010723F">
        <w:rPr>
          <w:i/>
          <w:szCs w:val="20"/>
        </w:rPr>
        <w:t>Liquor Act</w:t>
      </w:r>
      <w:r w:rsidRPr="0010723F">
        <w:rPr>
          <w:szCs w:val="20"/>
        </w:rPr>
        <w:t xml:space="preserve"> may make an objection. Section 47G of the </w:t>
      </w:r>
      <w:r w:rsidRPr="0010723F">
        <w:rPr>
          <w:i/>
          <w:szCs w:val="20"/>
        </w:rPr>
        <w:t>Liquor Act</w:t>
      </w:r>
      <w:r w:rsidRPr="0010723F">
        <w:rPr>
          <w:szCs w:val="20"/>
        </w:rPr>
        <w:t xml:space="preserve"> requires the Director of Licensing to inform the applicant of the substance of any objection. This will include the identity and where relevant the address of the objector.</w:t>
      </w:r>
    </w:p>
    <w:p w:rsidR="0010723F" w:rsidRPr="0010723F" w:rsidRDefault="0010723F" w:rsidP="00B74566">
      <w:pPr>
        <w:spacing w:after="120" w:line="240" w:lineRule="exact"/>
        <w:ind w:left="709" w:right="565"/>
        <w:jc w:val="both"/>
        <w:rPr>
          <w:szCs w:val="20"/>
        </w:rPr>
      </w:pPr>
      <w:r w:rsidRPr="0010723F">
        <w:rPr>
          <w:szCs w:val="20"/>
        </w:rPr>
        <w:t>For further information regarding this application contact the Director of Licensing on telephone 8999 1800. Objections to this application should be lodged in writing with the Director of Licensing, Gambling and Licensing Services, GPO Box 1154, Darwin, within thirty (30) days of the commence date of the objection period.</w:t>
      </w:r>
    </w:p>
    <w:p w:rsidR="0010723F" w:rsidRPr="0010723F" w:rsidRDefault="0010723F" w:rsidP="00B74566">
      <w:pPr>
        <w:spacing w:after="240" w:line="240" w:lineRule="exact"/>
        <w:ind w:left="709" w:right="565"/>
        <w:jc w:val="both"/>
        <w:rPr>
          <w:szCs w:val="20"/>
        </w:rPr>
      </w:pPr>
      <w:proofErr w:type="gramStart"/>
      <w:r w:rsidRPr="0010723F">
        <w:rPr>
          <w:szCs w:val="20"/>
        </w:rPr>
        <w:lastRenderedPageBreak/>
        <w:t>Dated this 10</w:t>
      </w:r>
      <w:r w:rsidRPr="0010723F">
        <w:rPr>
          <w:szCs w:val="20"/>
          <w:vertAlign w:val="superscript"/>
        </w:rPr>
        <w:t>th</w:t>
      </w:r>
      <w:r w:rsidRPr="0010723F">
        <w:rPr>
          <w:szCs w:val="20"/>
        </w:rPr>
        <w:t xml:space="preserve"> Day of May 2014.</w:t>
      </w:r>
      <w:r w:rsidR="00B74566">
        <w:rPr>
          <w:szCs w:val="20"/>
        </w:rPr>
        <w:t>”</w:t>
      </w:r>
      <w:proofErr w:type="gramEnd"/>
    </w:p>
    <w:p w:rsidR="006F4F9B" w:rsidRDefault="006F4F9B" w:rsidP="006F4F9B">
      <w:pPr>
        <w:numPr>
          <w:ilvl w:val="0"/>
          <w:numId w:val="1"/>
        </w:numPr>
        <w:tabs>
          <w:tab w:val="clear" w:pos="720"/>
        </w:tabs>
        <w:spacing w:after="240" w:line="240" w:lineRule="atLeast"/>
        <w:ind w:left="426" w:hanging="426"/>
        <w:jc w:val="both"/>
        <w:rPr>
          <w:rFonts w:cs="Arial"/>
        </w:rPr>
      </w:pPr>
      <w:r>
        <w:rPr>
          <w:rFonts w:cs="Arial"/>
        </w:rPr>
        <w:t xml:space="preserve">Pursuant to Section </w:t>
      </w:r>
      <w:proofErr w:type="gramStart"/>
      <w:r>
        <w:rPr>
          <w:rFonts w:cs="Arial"/>
        </w:rPr>
        <w:t>47F(</w:t>
      </w:r>
      <w:proofErr w:type="gramEnd"/>
      <w:r>
        <w:rPr>
          <w:rFonts w:cs="Arial"/>
        </w:rPr>
        <w:t xml:space="preserve">4)(d) an objection must be lodged within thirty days after the publication of the last notice, </w:t>
      </w:r>
      <w:r w:rsidR="00D009A8">
        <w:rPr>
          <w:rFonts w:cs="Arial"/>
        </w:rPr>
        <w:t>which for this application requires an objection be lodged by 13 June 2014.</w:t>
      </w:r>
    </w:p>
    <w:p w:rsidR="006F4F9B" w:rsidRPr="000C4F45" w:rsidRDefault="006F4F9B" w:rsidP="004408CC">
      <w:pPr>
        <w:numPr>
          <w:ilvl w:val="0"/>
          <w:numId w:val="1"/>
        </w:numPr>
        <w:tabs>
          <w:tab w:val="clear" w:pos="720"/>
        </w:tabs>
        <w:spacing w:after="120" w:line="240" w:lineRule="atLeast"/>
        <w:ind w:left="425" w:hanging="425"/>
        <w:jc w:val="both"/>
        <w:rPr>
          <w:rFonts w:cs="Arial"/>
        </w:rPr>
      </w:pPr>
      <w:r w:rsidRPr="000C4F45">
        <w:rPr>
          <w:rFonts w:cs="Arial"/>
        </w:rPr>
        <w:t>Section 47F of the Ac</w:t>
      </w:r>
      <w:r w:rsidR="00D009A8">
        <w:rPr>
          <w:rFonts w:cs="Arial"/>
        </w:rPr>
        <w:t>t prescribes the circumstances under</w:t>
      </w:r>
      <w:r w:rsidRPr="000C4F45">
        <w:rPr>
          <w:rFonts w:cs="Arial"/>
        </w:rPr>
        <w:t xml:space="preserve"> which an objection may be made, specifies the grounds for objection and identifies the persons entitled to object to a particular application</w:t>
      </w:r>
      <w:r w:rsidR="00725F12">
        <w:rPr>
          <w:rFonts w:cs="Arial"/>
        </w:rPr>
        <w:t>:</w:t>
      </w:r>
    </w:p>
    <w:p w:rsidR="006F4F9B" w:rsidRPr="000C4F45" w:rsidRDefault="00B74566" w:rsidP="00486CBC">
      <w:pPr>
        <w:spacing w:after="120"/>
        <w:ind w:left="1560" w:right="282" w:hanging="709"/>
        <w:rPr>
          <w:rFonts w:cs="Arial"/>
          <w:i/>
        </w:rPr>
      </w:pPr>
      <w:r>
        <w:rPr>
          <w:rFonts w:cs="Arial"/>
          <w:bCs/>
        </w:rPr>
        <w:t>“</w:t>
      </w:r>
      <w:r w:rsidR="006F4F9B" w:rsidRPr="000C4F45">
        <w:rPr>
          <w:rFonts w:cs="Arial"/>
          <w:b/>
          <w:bCs/>
          <w:i/>
        </w:rPr>
        <w:t>47F</w:t>
      </w:r>
      <w:bookmarkStart w:id="2" w:name="47F.%20Person%20may%20object%20to%20cert"/>
      <w:bookmarkEnd w:id="2"/>
      <w:r>
        <w:rPr>
          <w:rFonts w:cs="Arial"/>
          <w:b/>
          <w:bCs/>
          <w:i/>
        </w:rPr>
        <w:tab/>
      </w:r>
      <w:r w:rsidR="006F4F9B" w:rsidRPr="000C4F45">
        <w:rPr>
          <w:rFonts w:cs="Arial"/>
          <w:b/>
          <w:bCs/>
          <w:i/>
        </w:rPr>
        <w:t>Person may object to certain applications</w:t>
      </w:r>
      <w:r w:rsidR="006F4F9B" w:rsidRPr="000C4F45">
        <w:rPr>
          <w:rFonts w:cs="Arial"/>
          <w:i/>
        </w:rPr>
        <w:t xml:space="preserve"> </w:t>
      </w:r>
    </w:p>
    <w:p w:rsidR="006F4F9B" w:rsidRPr="000C4F45" w:rsidRDefault="006F4F9B" w:rsidP="00E9044D">
      <w:pPr>
        <w:spacing w:after="120"/>
        <w:ind w:left="1843" w:right="565" w:hanging="567"/>
        <w:rPr>
          <w:rFonts w:cs="Arial"/>
          <w:i/>
        </w:rPr>
      </w:pPr>
      <w:r>
        <w:rPr>
          <w:rFonts w:cs="Arial"/>
          <w:i/>
        </w:rPr>
        <w:t>(1)</w:t>
      </w:r>
      <w:r>
        <w:rPr>
          <w:rFonts w:cs="Arial"/>
          <w:i/>
        </w:rPr>
        <w:tab/>
      </w:r>
      <w:r w:rsidRPr="000C4F45">
        <w:rPr>
          <w:rFonts w:cs="Arial"/>
          <w:i/>
        </w:rPr>
        <w:t xml:space="preserve">Subject to this Section, a person, organisation or group may make an objection to the following applications: </w:t>
      </w:r>
    </w:p>
    <w:p w:rsidR="006F4F9B" w:rsidRPr="00486CBC" w:rsidRDefault="006F4F9B" w:rsidP="00486CBC">
      <w:pPr>
        <w:pStyle w:val="Paragraph"/>
        <w:spacing w:after="120"/>
        <w:ind w:left="2127" w:right="565" w:hanging="426"/>
        <w:rPr>
          <w:i/>
        </w:rPr>
      </w:pPr>
      <w:r>
        <w:rPr>
          <w:rFonts w:ascii="Arial" w:hAnsi="Arial" w:cs="Arial"/>
          <w:i/>
        </w:rPr>
        <w:t>(a)</w:t>
      </w:r>
      <w:r>
        <w:rPr>
          <w:rFonts w:ascii="Arial" w:hAnsi="Arial" w:cs="Arial"/>
          <w:i/>
        </w:rPr>
        <w:tab/>
      </w:r>
      <w:proofErr w:type="gramStart"/>
      <w:r w:rsidRPr="00486CBC">
        <w:rPr>
          <w:i/>
        </w:rPr>
        <w:t>an</w:t>
      </w:r>
      <w:proofErr w:type="gramEnd"/>
      <w:r w:rsidRPr="00486CBC">
        <w:rPr>
          <w:i/>
        </w:rPr>
        <w:t xml:space="preserve"> </w:t>
      </w:r>
      <w:r w:rsidRPr="00B74566">
        <w:rPr>
          <w:i/>
        </w:rPr>
        <w:t>application</w:t>
      </w:r>
      <w:r w:rsidRPr="00486CBC">
        <w:rPr>
          <w:i/>
        </w:rPr>
        <w:t xml:space="preserve"> for the grant of a licence, as notified under Section 27; </w:t>
      </w:r>
    </w:p>
    <w:p w:rsidR="006F4F9B" w:rsidRPr="000C4F45" w:rsidRDefault="006F4F9B" w:rsidP="00E9044D">
      <w:pPr>
        <w:spacing w:after="120"/>
        <w:ind w:left="1843" w:right="565" w:hanging="567"/>
        <w:rPr>
          <w:rFonts w:cs="Arial"/>
          <w:i/>
        </w:rPr>
      </w:pPr>
      <w:r>
        <w:rPr>
          <w:rFonts w:cs="Arial"/>
          <w:i/>
        </w:rPr>
        <w:t>(2)</w:t>
      </w:r>
      <w:r>
        <w:rPr>
          <w:rFonts w:cs="Arial"/>
          <w:i/>
        </w:rPr>
        <w:tab/>
      </w:r>
      <w:r w:rsidRPr="000C4F45">
        <w:rPr>
          <w:rFonts w:cs="Arial"/>
          <w:i/>
        </w:rPr>
        <w:t xml:space="preserve">The objection may only be made on the ground that the grant of the licence, variation of conditions, substitution of other premises or material alteration may or will adversely affect – </w:t>
      </w:r>
    </w:p>
    <w:p w:rsidR="006F4F9B" w:rsidRPr="00486CBC" w:rsidRDefault="006F4F9B" w:rsidP="00486CBC">
      <w:pPr>
        <w:pStyle w:val="Paragraph"/>
        <w:spacing w:after="120"/>
        <w:ind w:left="2127" w:right="565" w:hanging="426"/>
        <w:rPr>
          <w:i/>
        </w:rPr>
      </w:pPr>
      <w:r>
        <w:rPr>
          <w:rFonts w:ascii="Arial" w:hAnsi="Arial" w:cs="Arial"/>
          <w:i/>
        </w:rPr>
        <w:t>(a)</w:t>
      </w:r>
      <w:r>
        <w:rPr>
          <w:rFonts w:ascii="Arial" w:hAnsi="Arial" w:cs="Arial"/>
          <w:i/>
        </w:rPr>
        <w:tab/>
      </w:r>
      <w:proofErr w:type="gramStart"/>
      <w:r w:rsidRPr="00486CBC">
        <w:rPr>
          <w:i/>
        </w:rPr>
        <w:t>the</w:t>
      </w:r>
      <w:proofErr w:type="gramEnd"/>
      <w:r w:rsidRPr="00486CBC">
        <w:rPr>
          <w:i/>
        </w:rPr>
        <w:t xml:space="preserve"> </w:t>
      </w:r>
      <w:r w:rsidRPr="00B74566">
        <w:rPr>
          <w:i/>
        </w:rPr>
        <w:t>amenity</w:t>
      </w:r>
      <w:r w:rsidRPr="00486CBC">
        <w:rPr>
          <w:i/>
        </w:rPr>
        <w:t xml:space="preserve"> of the neighbourhood where the premises the subject of the application are or will be located; or </w:t>
      </w:r>
    </w:p>
    <w:p w:rsidR="006F4F9B" w:rsidRPr="00486CBC" w:rsidRDefault="006F4F9B" w:rsidP="00486CBC">
      <w:pPr>
        <w:pStyle w:val="Paragraph"/>
        <w:spacing w:after="120"/>
        <w:ind w:left="2127" w:right="565" w:hanging="426"/>
        <w:rPr>
          <w:i/>
        </w:rPr>
      </w:pPr>
      <w:r w:rsidRPr="00486CBC">
        <w:rPr>
          <w:i/>
        </w:rPr>
        <w:t>(b)</w:t>
      </w:r>
      <w:r w:rsidRPr="00486CBC">
        <w:rPr>
          <w:i/>
        </w:rPr>
        <w:tab/>
      </w:r>
      <w:proofErr w:type="gramStart"/>
      <w:r w:rsidRPr="00486CBC">
        <w:rPr>
          <w:i/>
        </w:rPr>
        <w:t>health</w:t>
      </w:r>
      <w:proofErr w:type="gramEnd"/>
      <w:r w:rsidRPr="00486CBC">
        <w:rPr>
          <w:i/>
        </w:rPr>
        <w:t>, education, public safety or social conditions in the community.</w:t>
      </w:r>
    </w:p>
    <w:p w:rsidR="006F4F9B" w:rsidRPr="000C4F45" w:rsidRDefault="006F4F9B" w:rsidP="00E9044D">
      <w:pPr>
        <w:spacing w:after="120"/>
        <w:ind w:left="1843" w:right="282" w:hanging="567"/>
        <w:rPr>
          <w:rFonts w:cs="Arial"/>
          <w:i/>
        </w:rPr>
      </w:pPr>
      <w:r>
        <w:rPr>
          <w:rFonts w:cs="Arial"/>
          <w:i/>
        </w:rPr>
        <w:t>(3)</w:t>
      </w:r>
      <w:r>
        <w:rPr>
          <w:rFonts w:cs="Arial"/>
          <w:i/>
        </w:rPr>
        <w:tab/>
      </w:r>
      <w:r w:rsidRPr="000C4F45">
        <w:rPr>
          <w:rFonts w:cs="Arial"/>
          <w:i/>
        </w:rPr>
        <w:t xml:space="preserve">Only the following persons, organisations or groups may make an objection under sub-Section (1): </w:t>
      </w:r>
    </w:p>
    <w:p w:rsidR="006F4F9B" w:rsidRPr="000C4F45" w:rsidRDefault="006F4F9B" w:rsidP="00486CBC">
      <w:pPr>
        <w:pStyle w:val="Paragraph"/>
        <w:spacing w:after="120"/>
        <w:ind w:left="2127" w:right="565" w:hanging="426"/>
        <w:rPr>
          <w:rFonts w:ascii="Arial" w:hAnsi="Arial" w:cs="Arial"/>
          <w:i/>
        </w:rPr>
      </w:pPr>
      <w:r w:rsidRPr="000C4F45">
        <w:rPr>
          <w:rFonts w:ascii="Arial" w:hAnsi="Arial" w:cs="Arial"/>
          <w:i/>
        </w:rPr>
        <w:t>(a)</w:t>
      </w:r>
      <w:r>
        <w:rPr>
          <w:rFonts w:ascii="Arial" w:hAnsi="Arial" w:cs="Arial"/>
          <w:i/>
        </w:rPr>
        <w:tab/>
      </w:r>
      <w:proofErr w:type="gramStart"/>
      <w:r w:rsidRPr="000C4F45">
        <w:rPr>
          <w:rFonts w:ascii="Arial" w:hAnsi="Arial" w:cs="Arial"/>
          <w:i/>
        </w:rPr>
        <w:t>a</w:t>
      </w:r>
      <w:proofErr w:type="gramEnd"/>
      <w:r w:rsidRPr="000C4F45">
        <w:rPr>
          <w:rFonts w:ascii="Arial" w:hAnsi="Arial" w:cs="Arial"/>
          <w:i/>
        </w:rPr>
        <w:t xml:space="preserve"> person residing or working in the neighbourhood where the </w:t>
      </w:r>
      <w:r w:rsidRPr="00486CBC">
        <w:rPr>
          <w:i/>
        </w:rPr>
        <w:t>premises</w:t>
      </w:r>
      <w:r w:rsidRPr="000C4F45">
        <w:rPr>
          <w:rFonts w:ascii="Arial" w:hAnsi="Arial" w:cs="Arial"/>
          <w:i/>
        </w:rPr>
        <w:t xml:space="preserve"> the subject of the application are or will be located; </w:t>
      </w:r>
    </w:p>
    <w:p w:rsidR="006F4F9B" w:rsidRPr="00486CBC" w:rsidRDefault="006F4F9B" w:rsidP="00486CBC">
      <w:pPr>
        <w:pStyle w:val="Paragraph"/>
        <w:spacing w:after="120"/>
        <w:ind w:left="2127" w:right="565" w:hanging="426"/>
        <w:rPr>
          <w:i/>
        </w:rPr>
      </w:pPr>
      <w:r>
        <w:rPr>
          <w:rFonts w:ascii="Arial" w:hAnsi="Arial" w:cs="Arial"/>
          <w:i/>
        </w:rPr>
        <w:t>(b)</w:t>
      </w:r>
      <w:r>
        <w:rPr>
          <w:rFonts w:ascii="Arial" w:hAnsi="Arial" w:cs="Arial"/>
          <w:i/>
        </w:rPr>
        <w:tab/>
      </w:r>
      <w:r w:rsidRPr="00486CBC">
        <w:rPr>
          <w:i/>
        </w:rPr>
        <w:t xml:space="preserve">a person holding an estate in fee simple in land, or a lease over land, in the neighbourhood where the premises the subject of the application are or will be located; </w:t>
      </w:r>
    </w:p>
    <w:p w:rsidR="006F4F9B" w:rsidRPr="00486CBC" w:rsidRDefault="006F4F9B" w:rsidP="00486CBC">
      <w:pPr>
        <w:pStyle w:val="Paragraph"/>
        <w:spacing w:after="120"/>
        <w:ind w:left="2127" w:right="565" w:hanging="426"/>
        <w:rPr>
          <w:i/>
        </w:rPr>
      </w:pPr>
      <w:r w:rsidRPr="00486CBC">
        <w:rPr>
          <w:i/>
        </w:rPr>
        <w:t>(c)</w:t>
      </w:r>
      <w:r w:rsidRPr="00486CBC">
        <w:rPr>
          <w:i/>
        </w:rPr>
        <w:tab/>
      </w:r>
      <w:proofErr w:type="gramStart"/>
      <w:r w:rsidRPr="00486CBC">
        <w:rPr>
          <w:i/>
        </w:rPr>
        <w:t>a</w:t>
      </w:r>
      <w:proofErr w:type="gramEnd"/>
      <w:r w:rsidRPr="00486CBC">
        <w:rPr>
          <w:i/>
        </w:rPr>
        <w:t xml:space="preserve"> member or employee of the Police Force acting in that capacity; </w:t>
      </w:r>
    </w:p>
    <w:p w:rsidR="006F4F9B" w:rsidRPr="00486CBC" w:rsidRDefault="006F4F9B" w:rsidP="00486CBC">
      <w:pPr>
        <w:pStyle w:val="Paragraph"/>
        <w:spacing w:after="120"/>
        <w:ind w:left="2127" w:right="565" w:hanging="426"/>
        <w:rPr>
          <w:i/>
        </w:rPr>
      </w:pPr>
      <w:r w:rsidRPr="00486CBC">
        <w:rPr>
          <w:i/>
        </w:rPr>
        <w:t>(d)</w:t>
      </w:r>
      <w:r w:rsidRPr="00486CBC">
        <w:rPr>
          <w:i/>
        </w:rPr>
        <w:tab/>
      </w:r>
      <w:proofErr w:type="gramStart"/>
      <w:r w:rsidRPr="00486CBC">
        <w:rPr>
          <w:i/>
        </w:rPr>
        <w:t>a</w:t>
      </w:r>
      <w:proofErr w:type="gramEnd"/>
      <w:r w:rsidRPr="00486CBC">
        <w:rPr>
          <w:i/>
        </w:rPr>
        <w:t xml:space="preserve"> member or employee of the Fire and Rescue Service within the meaning of the Fire and Emergency Act acting in that capacity; </w:t>
      </w:r>
    </w:p>
    <w:p w:rsidR="006F4F9B" w:rsidRPr="00486CBC" w:rsidRDefault="006F4F9B" w:rsidP="00486CBC">
      <w:pPr>
        <w:pStyle w:val="Paragraph"/>
        <w:spacing w:after="120"/>
        <w:ind w:left="2127" w:right="565" w:hanging="426"/>
        <w:rPr>
          <w:i/>
        </w:rPr>
      </w:pPr>
      <w:r w:rsidRPr="00486CBC">
        <w:rPr>
          <w:i/>
        </w:rPr>
        <w:t>(e)</w:t>
      </w:r>
      <w:r w:rsidRPr="00486CBC">
        <w:rPr>
          <w:i/>
        </w:rPr>
        <w:tab/>
      </w:r>
      <w:proofErr w:type="gramStart"/>
      <w:r w:rsidRPr="00486CBC">
        <w:rPr>
          <w:i/>
        </w:rPr>
        <w:t>an</w:t>
      </w:r>
      <w:proofErr w:type="gramEnd"/>
      <w:r w:rsidRPr="00486CBC">
        <w:rPr>
          <w:i/>
        </w:rPr>
        <w:t xml:space="preserve"> Agency or public authority that performs functions relating to public amenities, including health, education and public safety; </w:t>
      </w:r>
    </w:p>
    <w:p w:rsidR="006F4F9B" w:rsidRPr="00486CBC" w:rsidRDefault="006F4F9B" w:rsidP="00486CBC">
      <w:pPr>
        <w:pStyle w:val="Paragraph"/>
        <w:spacing w:after="120"/>
        <w:ind w:left="2127" w:right="565" w:hanging="426"/>
        <w:rPr>
          <w:i/>
        </w:rPr>
      </w:pPr>
      <w:r w:rsidRPr="00486CBC">
        <w:rPr>
          <w:i/>
        </w:rPr>
        <w:t>(f)</w:t>
      </w:r>
      <w:r w:rsidRPr="00486CBC">
        <w:rPr>
          <w:i/>
        </w:rPr>
        <w:tab/>
      </w:r>
      <w:proofErr w:type="gramStart"/>
      <w:r w:rsidRPr="00486CBC">
        <w:rPr>
          <w:i/>
        </w:rPr>
        <w:t>a</w:t>
      </w:r>
      <w:proofErr w:type="gramEnd"/>
      <w:r w:rsidRPr="00486CBC">
        <w:rPr>
          <w:i/>
        </w:rPr>
        <w:t xml:space="preserve"> community-based organisation or group (for example, a local action group or a charity).</w:t>
      </w:r>
    </w:p>
    <w:p w:rsidR="00B9579E" w:rsidRPr="00B9579E" w:rsidRDefault="00B9579E" w:rsidP="00E9044D">
      <w:pPr>
        <w:spacing w:after="120"/>
        <w:ind w:left="1843" w:right="282" w:hanging="567"/>
        <w:rPr>
          <w:rFonts w:cs="Arial"/>
          <w:i/>
        </w:rPr>
      </w:pPr>
      <w:r w:rsidRPr="00B9579E">
        <w:rPr>
          <w:rFonts w:cs="Arial"/>
          <w:i/>
        </w:rPr>
        <w:t>(4)</w:t>
      </w:r>
      <w:r w:rsidRPr="00B9579E">
        <w:rPr>
          <w:rFonts w:cs="Arial"/>
          <w:i/>
        </w:rPr>
        <w:tab/>
        <w:t>An objection under subsection (1) is to:</w:t>
      </w:r>
    </w:p>
    <w:p w:rsidR="00B9579E" w:rsidRPr="00486CBC" w:rsidRDefault="00B9579E" w:rsidP="00486CBC">
      <w:pPr>
        <w:pStyle w:val="Paragraph"/>
        <w:spacing w:after="120"/>
        <w:ind w:left="2127" w:right="565" w:hanging="426"/>
        <w:rPr>
          <w:i/>
        </w:rPr>
      </w:pPr>
      <w:r w:rsidRPr="00B9579E">
        <w:rPr>
          <w:rFonts w:ascii="Arial" w:hAnsi="Arial" w:cs="Arial"/>
          <w:i/>
        </w:rPr>
        <w:t>(a)</w:t>
      </w:r>
      <w:r w:rsidRPr="00B9579E">
        <w:rPr>
          <w:rFonts w:ascii="Arial" w:hAnsi="Arial" w:cs="Arial"/>
          <w:i/>
        </w:rPr>
        <w:tab/>
      </w:r>
      <w:proofErr w:type="gramStart"/>
      <w:r w:rsidRPr="00486CBC">
        <w:rPr>
          <w:i/>
        </w:rPr>
        <w:t>be</w:t>
      </w:r>
      <w:proofErr w:type="gramEnd"/>
      <w:r w:rsidRPr="00486CBC">
        <w:rPr>
          <w:i/>
        </w:rPr>
        <w:t xml:space="preserve"> in writing; and</w:t>
      </w:r>
    </w:p>
    <w:p w:rsidR="00B9579E" w:rsidRPr="00486CBC" w:rsidRDefault="00B9579E" w:rsidP="00486CBC">
      <w:pPr>
        <w:pStyle w:val="Paragraph"/>
        <w:spacing w:after="120"/>
        <w:ind w:left="2127" w:right="565" w:hanging="426"/>
        <w:rPr>
          <w:i/>
        </w:rPr>
      </w:pPr>
      <w:r w:rsidRPr="00486CBC">
        <w:rPr>
          <w:i/>
        </w:rPr>
        <w:t>(b)</w:t>
      </w:r>
      <w:r w:rsidRPr="00486CBC">
        <w:rPr>
          <w:i/>
        </w:rPr>
        <w:tab/>
      </w:r>
      <w:proofErr w:type="gramStart"/>
      <w:r w:rsidRPr="00486CBC">
        <w:rPr>
          <w:i/>
        </w:rPr>
        <w:t>be</w:t>
      </w:r>
      <w:proofErr w:type="gramEnd"/>
      <w:r w:rsidRPr="00486CBC">
        <w:rPr>
          <w:i/>
        </w:rPr>
        <w:t xml:space="preserve"> signed by or on behalf of the person, organisation or group making the objection; and</w:t>
      </w:r>
    </w:p>
    <w:p w:rsidR="00B9579E" w:rsidRPr="00486CBC" w:rsidRDefault="00B9579E" w:rsidP="00486CBC">
      <w:pPr>
        <w:pStyle w:val="Paragraph"/>
        <w:spacing w:after="120"/>
        <w:ind w:left="2127" w:right="565" w:hanging="426"/>
        <w:rPr>
          <w:i/>
        </w:rPr>
      </w:pPr>
      <w:r w:rsidRPr="00486CBC">
        <w:rPr>
          <w:i/>
        </w:rPr>
        <w:t>(c)</w:t>
      </w:r>
      <w:r w:rsidRPr="00486CBC">
        <w:rPr>
          <w:i/>
        </w:rPr>
        <w:tab/>
      </w:r>
      <w:proofErr w:type="gramStart"/>
      <w:r w:rsidRPr="00486CBC">
        <w:rPr>
          <w:i/>
        </w:rPr>
        <w:t>set</w:t>
      </w:r>
      <w:proofErr w:type="gramEnd"/>
      <w:r w:rsidRPr="00486CBC">
        <w:rPr>
          <w:i/>
        </w:rPr>
        <w:t xml:space="preserve"> out the facts relied on by the person, organisation or group </w:t>
      </w:r>
      <w:r w:rsidRPr="00486CBC">
        <w:rPr>
          <w:i/>
        </w:rPr>
        <w:lastRenderedPageBreak/>
        <w:t>to constitute the ground on which the objection is made; and</w:t>
      </w:r>
    </w:p>
    <w:p w:rsidR="00B9579E" w:rsidRPr="00486CBC" w:rsidRDefault="00B9579E" w:rsidP="00150021">
      <w:pPr>
        <w:pStyle w:val="Paragraph"/>
        <w:ind w:left="2127" w:right="565" w:hanging="426"/>
        <w:rPr>
          <w:i/>
        </w:rPr>
      </w:pPr>
      <w:r w:rsidRPr="00486CBC">
        <w:rPr>
          <w:i/>
        </w:rPr>
        <w:t>(d)</w:t>
      </w:r>
      <w:r w:rsidRPr="00486CBC">
        <w:rPr>
          <w:i/>
        </w:rPr>
        <w:tab/>
        <w:t>be lodged with the Director within 30 days after the publication of the notice or the last of the notices referred to in section 27, 32A, 46A or 119 (as applicable).</w:t>
      </w:r>
      <w:r w:rsidR="00E9044D" w:rsidRPr="00486CBC">
        <w:rPr>
          <w:i/>
        </w:rPr>
        <w:t>”</w:t>
      </w:r>
    </w:p>
    <w:p w:rsidR="00D009A8" w:rsidRDefault="00D009A8" w:rsidP="00E9044D">
      <w:pPr>
        <w:numPr>
          <w:ilvl w:val="0"/>
          <w:numId w:val="1"/>
        </w:numPr>
        <w:tabs>
          <w:tab w:val="clear" w:pos="720"/>
        </w:tabs>
        <w:autoSpaceDE w:val="0"/>
        <w:autoSpaceDN w:val="0"/>
        <w:adjustRightInd w:val="0"/>
        <w:spacing w:after="240"/>
        <w:ind w:left="425" w:hanging="425"/>
        <w:jc w:val="both"/>
        <w:rPr>
          <w:rFonts w:cs="Arial"/>
        </w:rPr>
      </w:pPr>
      <w:r>
        <w:rPr>
          <w:rFonts w:cs="Arial"/>
        </w:rPr>
        <w:t>One objection has been lodged in response to the application and the applicant has provided a response to the issues raised pursuant to Section 47G of the Act.  Under Section 47I of the Act the Commission must determine whether objections lodged with respect to an application are to proceed to Hearing.  The Commission must therefore determine if the person is eligible to object, whether the objection was received within the requisite timeframe and whether the reasons for the objection meet the grounds specified in the Act.</w:t>
      </w:r>
    </w:p>
    <w:p w:rsidR="00D009A8" w:rsidRDefault="00D009A8" w:rsidP="00D009A8">
      <w:pPr>
        <w:pStyle w:val="Heading3"/>
      </w:pPr>
      <w:r w:rsidRPr="00C52FE9">
        <w:t xml:space="preserve">Objection from </w:t>
      </w:r>
      <w:r>
        <w:t>Mr Matthew Salter</w:t>
      </w:r>
    </w:p>
    <w:p w:rsidR="00A510F3" w:rsidRPr="004523E9" w:rsidRDefault="004523E9" w:rsidP="004408CC">
      <w:pPr>
        <w:numPr>
          <w:ilvl w:val="0"/>
          <w:numId w:val="1"/>
        </w:numPr>
        <w:tabs>
          <w:tab w:val="clear" w:pos="720"/>
        </w:tabs>
        <w:autoSpaceDE w:val="0"/>
        <w:autoSpaceDN w:val="0"/>
        <w:adjustRightInd w:val="0"/>
        <w:spacing w:after="120"/>
        <w:ind w:left="425" w:hanging="425"/>
        <w:jc w:val="both"/>
        <w:rPr>
          <w:rFonts w:cs="Arial"/>
        </w:rPr>
      </w:pPr>
      <w:r w:rsidRPr="004523E9">
        <w:rPr>
          <w:rFonts w:cs="Arial"/>
        </w:rPr>
        <w:t>An objection was lodged by Mr Matthew Salter of 220 Madsen Road</w:t>
      </w:r>
      <w:r w:rsidR="00E9044D">
        <w:rPr>
          <w:rFonts w:cs="Arial"/>
        </w:rPr>
        <w:t>,</w:t>
      </w:r>
      <w:r w:rsidRPr="004523E9">
        <w:rPr>
          <w:rFonts w:cs="Arial"/>
        </w:rPr>
        <w:t xml:space="preserve"> Howard Springs on 28 May 2014.  Being lodged on 28 May 2014 the objection is within time and meets the requirements of </w:t>
      </w:r>
      <w:r w:rsidR="00E9044D">
        <w:rPr>
          <w:rFonts w:cs="Arial"/>
        </w:rPr>
        <w:t>Section</w:t>
      </w:r>
      <w:r w:rsidRPr="004523E9">
        <w:rPr>
          <w:rFonts w:cs="Arial"/>
        </w:rPr>
        <w:t xml:space="preserve"> 47</w:t>
      </w:r>
      <w:r w:rsidR="00150021">
        <w:rPr>
          <w:rFonts w:cs="Arial"/>
        </w:rPr>
        <w:t>F</w:t>
      </w:r>
      <w:r w:rsidRPr="004523E9">
        <w:rPr>
          <w:rFonts w:cs="Arial"/>
        </w:rPr>
        <w:t>(4)(d)</w:t>
      </w:r>
      <w:proofErr w:type="gramStart"/>
      <w:r w:rsidRPr="004523E9">
        <w:rPr>
          <w:rFonts w:cs="Arial"/>
        </w:rPr>
        <w:t xml:space="preserve">.  </w:t>
      </w:r>
      <w:proofErr w:type="gramEnd"/>
      <w:r w:rsidR="00A93D78">
        <w:rPr>
          <w:rFonts w:cs="Arial"/>
        </w:rPr>
        <w:t>Mr S</w:t>
      </w:r>
      <w:r w:rsidRPr="004523E9">
        <w:rPr>
          <w:rFonts w:cs="Arial"/>
        </w:rPr>
        <w:t xml:space="preserve">alters address in Howard Springs is some </w:t>
      </w:r>
      <w:r w:rsidR="00E9044D">
        <w:rPr>
          <w:rFonts w:cs="Arial"/>
        </w:rPr>
        <w:t>four (4)</w:t>
      </w:r>
      <w:r w:rsidRPr="004523E9">
        <w:rPr>
          <w:rFonts w:cs="Arial"/>
        </w:rPr>
        <w:t xml:space="preserve"> kilometres distance as the crow flies from the proposed operation of the substituted licence at Coolalinga.  The Act under Section </w:t>
      </w:r>
      <w:r w:rsidR="00A510F3" w:rsidRPr="004523E9">
        <w:rPr>
          <w:rFonts w:cs="Arial"/>
        </w:rPr>
        <w:t xml:space="preserve">47F(3)(a) </w:t>
      </w:r>
      <w:r>
        <w:rPr>
          <w:rFonts w:cs="Arial"/>
        </w:rPr>
        <w:t>qualifies that a person to be a valid objector must be:</w:t>
      </w:r>
    </w:p>
    <w:p w:rsidR="00A510F3" w:rsidRDefault="00A510F3" w:rsidP="00486CBC">
      <w:pPr>
        <w:autoSpaceDE w:val="0"/>
        <w:autoSpaceDN w:val="0"/>
        <w:adjustRightInd w:val="0"/>
        <w:spacing w:after="240"/>
        <w:ind w:left="851" w:right="565"/>
        <w:jc w:val="both"/>
        <w:rPr>
          <w:rFonts w:cs="Arial"/>
        </w:rPr>
      </w:pPr>
      <w:r w:rsidRPr="00E9044D">
        <w:rPr>
          <w:rFonts w:cs="Arial"/>
        </w:rPr>
        <w:t>“</w:t>
      </w:r>
      <w:proofErr w:type="gramStart"/>
      <w:r>
        <w:rPr>
          <w:rFonts w:cs="Arial"/>
          <w:i/>
        </w:rPr>
        <w:t>a</w:t>
      </w:r>
      <w:proofErr w:type="gramEnd"/>
      <w:r>
        <w:rPr>
          <w:rFonts w:cs="Arial"/>
          <w:i/>
        </w:rPr>
        <w:t xml:space="preserve"> person residing or working in the neighbourhood where the premises the subje</w:t>
      </w:r>
      <w:r w:rsidR="00725F12">
        <w:rPr>
          <w:rFonts w:cs="Arial"/>
          <w:i/>
        </w:rPr>
        <w:t>c</w:t>
      </w:r>
      <w:r>
        <w:rPr>
          <w:rFonts w:cs="Arial"/>
          <w:i/>
        </w:rPr>
        <w:t>t of the application are or will be located.</w:t>
      </w:r>
      <w:r w:rsidRPr="00E9044D">
        <w:rPr>
          <w:rFonts w:cs="Arial"/>
        </w:rPr>
        <w:t>”</w:t>
      </w:r>
    </w:p>
    <w:p w:rsidR="002740A4" w:rsidRDefault="004523E9" w:rsidP="003B38E2">
      <w:pPr>
        <w:numPr>
          <w:ilvl w:val="0"/>
          <w:numId w:val="1"/>
        </w:numPr>
        <w:tabs>
          <w:tab w:val="clear" w:pos="720"/>
        </w:tabs>
        <w:spacing w:after="240" w:line="240" w:lineRule="atLeast"/>
        <w:ind w:left="426" w:hanging="426"/>
        <w:jc w:val="both"/>
        <w:rPr>
          <w:rFonts w:cs="Arial"/>
        </w:rPr>
      </w:pPr>
      <w:r>
        <w:rPr>
          <w:rFonts w:cs="Arial"/>
        </w:rPr>
        <w:t xml:space="preserve">While for the rural area outside Darwin the term “neighbourhood” can embrace quite a large area, Madsen Road </w:t>
      </w:r>
      <w:r w:rsidR="00E9044D">
        <w:rPr>
          <w:rFonts w:cs="Arial"/>
        </w:rPr>
        <w:t>is</w:t>
      </w:r>
      <w:r>
        <w:rPr>
          <w:rFonts w:cs="Arial"/>
        </w:rPr>
        <w:t xml:space="preserve"> within closer proximity the Howard Springs Tavern and shopping precinct than to</w:t>
      </w:r>
      <w:r w:rsidR="00E9044D">
        <w:rPr>
          <w:rFonts w:cs="Arial"/>
        </w:rPr>
        <w:t xml:space="preserve"> the</w:t>
      </w:r>
      <w:r>
        <w:rPr>
          <w:rFonts w:cs="Arial"/>
        </w:rPr>
        <w:t xml:space="preserve"> more distant </w:t>
      </w:r>
      <w:proofErr w:type="spellStart"/>
      <w:r>
        <w:rPr>
          <w:rFonts w:cs="Arial"/>
        </w:rPr>
        <w:t>Coolalinga</w:t>
      </w:r>
      <w:proofErr w:type="spellEnd"/>
      <w:r>
        <w:rPr>
          <w:rFonts w:cs="Arial"/>
        </w:rPr>
        <w:t xml:space="preserve">.  </w:t>
      </w:r>
      <w:r w:rsidR="00150021">
        <w:rPr>
          <w:rFonts w:cs="Arial"/>
        </w:rPr>
        <w:t>It is noted that the d</w:t>
      </w:r>
      <w:r>
        <w:rPr>
          <w:rFonts w:cs="Arial"/>
        </w:rPr>
        <w:t>irect distance between the</w:t>
      </w:r>
      <w:r w:rsidR="00E9044D">
        <w:rPr>
          <w:rFonts w:cs="Arial"/>
        </w:rPr>
        <w:t xml:space="preserve"> proposed</w:t>
      </w:r>
      <w:r>
        <w:rPr>
          <w:rFonts w:cs="Arial"/>
        </w:rPr>
        <w:t xml:space="preserve"> licensed premises and the objector’s residence is approximately </w:t>
      </w:r>
      <w:r w:rsidR="00E9044D">
        <w:rPr>
          <w:rFonts w:cs="Arial"/>
        </w:rPr>
        <w:t>four (</w:t>
      </w:r>
      <w:r>
        <w:rPr>
          <w:rFonts w:cs="Arial"/>
        </w:rPr>
        <w:t>4</w:t>
      </w:r>
      <w:r w:rsidR="00E9044D">
        <w:rPr>
          <w:rFonts w:cs="Arial"/>
        </w:rPr>
        <w:t>)</w:t>
      </w:r>
      <w:r>
        <w:rPr>
          <w:rFonts w:cs="Arial"/>
        </w:rPr>
        <w:t xml:space="preserve"> kilometres, but to access Coolalinga from the objector’s residence would involve travel of a greater distance.  Under these circumstances the objector does not necessarily meet the “neighbourhood” requirement of the Act</w:t>
      </w:r>
      <w:r w:rsidR="00E9044D">
        <w:rPr>
          <w:rFonts w:cs="Arial"/>
        </w:rPr>
        <w:t xml:space="preserve"> and further consideration of this issue is required</w:t>
      </w:r>
      <w:r>
        <w:rPr>
          <w:rFonts w:cs="Arial"/>
        </w:rPr>
        <w:t>.</w:t>
      </w:r>
    </w:p>
    <w:p w:rsidR="00D009A8" w:rsidRDefault="004523E9" w:rsidP="00E9044D">
      <w:pPr>
        <w:numPr>
          <w:ilvl w:val="0"/>
          <w:numId w:val="1"/>
        </w:numPr>
        <w:tabs>
          <w:tab w:val="clear" w:pos="720"/>
        </w:tabs>
        <w:spacing w:after="120" w:line="240" w:lineRule="atLeast"/>
        <w:ind w:left="426" w:hanging="426"/>
        <w:jc w:val="both"/>
        <w:rPr>
          <w:rFonts w:cs="Arial"/>
        </w:rPr>
      </w:pPr>
      <w:r>
        <w:rPr>
          <w:rFonts w:cs="Arial"/>
        </w:rPr>
        <w:t>Pursuant to Section 47F(2) of the Act an objection must cite as grounds that the amenity of the neighbourhood and the health, education, public safety and social conditions will be adversely affected</w:t>
      </w:r>
      <w:r w:rsidR="00E9044D">
        <w:rPr>
          <w:rFonts w:cs="Arial"/>
        </w:rPr>
        <w:t xml:space="preserve"> if the application for licence substitution is granted</w:t>
      </w:r>
      <w:proofErr w:type="gramStart"/>
      <w:r>
        <w:rPr>
          <w:rFonts w:cs="Arial"/>
        </w:rPr>
        <w:t xml:space="preserve">.  </w:t>
      </w:r>
      <w:proofErr w:type="gramEnd"/>
      <w:r w:rsidR="00A93D78">
        <w:rPr>
          <w:rFonts w:cs="Arial"/>
        </w:rPr>
        <w:t>Mr S</w:t>
      </w:r>
      <w:r>
        <w:rPr>
          <w:rFonts w:cs="Arial"/>
        </w:rPr>
        <w:t>alter’s submission states:</w:t>
      </w:r>
    </w:p>
    <w:p w:rsidR="004523E9" w:rsidRDefault="004523E9" w:rsidP="00486CBC">
      <w:pPr>
        <w:spacing w:after="240" w:line="240" w:lineRule="atLeast"/>
        <w:ind w:left="851" w:right="565"/>
        <w:jc w:val="both"/>
        <w:rPr>
          <w:rFonts w:cs="Arial"/>
          <w:i/>
        </w:rPr>
      </w:pPr>
      <w:r w:rsidRPr="00E9044D">
        <w:rPr>
          <w:rFonts w:cs="Arial"/>
        </w:rPr>
        <w:t>“</w:t>
      </w:r>
      <w:r>
        <w:rPr>
          <w:rFonts w:cs="Arial"/>
          <w:i/>
        </w:rPr>
        <w:t>The proposed takeaway liquor outlet will be open until 10pm at night and will reduce the ‘quiet amenity’ of those living in this built up area.  Quiet amenity is a hallmark of living in the Litchfield Municipality (Rural area)</w:t>
      </w:r>
      <w:r w:rsidR="00E9044D">
        <w:rPr>
          <w:rFonts w:cs="Arial"/>
          <w:i/>
        </w:rPr>
        <w:t>.</w:t>
      </w:r>
      <w:r w:rsidRPr="00E9044D">
        <w:rPr>
          <w:rFonts w:cs="Arial"/>
        </w:rPr>
        <w:t>”</w:t>
      </w:r>
    </w:p>
    <w:p w:rsidR="004523E9" w:rsidRDefault="004523E9" w:rsidP="00150021">
      <w:pPr>
        <w:spacing w:after="120" w:line="240" w:lineRule="atLeast"/>
        <w:ind w:left="425"/>
        <w:jc w:val="both"/>
        <w:rPr>
          <w:rFonts w:cs="Arial"/>
        </w:rPr>
      </w:pPr>
      <w:r>
        <w:rPr>
          <w:rFonts w:cs="Arial"/>
        </w:rPr>
        <w:t>His submission further adds:</w:t>
      </w:r>
      <w:bookmarkStart w:id="3" w:name="_GoBack"/>
      <w:bookmarkEnd w:id="3"/>
    </w:p>
    <w:p w:rsidR="004523E9" w:rsidRPr="004523E9" w:rsidRDefault="004523E9" w:rsidP="00486CBC">
      <w:pPr>
        <w:spacing w:after="240" w:line="240" w:lineRule="atLeast"/>
        <w:ind w:left="851" w:right="565"/>
        <w:jc w:val="both"/>
        <w:rPr>
          <w:rFonts w:cs="Arial"/>
          <w:i/>
        </w:rPr>
      </w:pPr>
      <w:r w:rsidRPr="00E9044D">
        <w:rPr>
          <w:rFonts w:cs="Arial"/>
        </w:rPr>
        <w:t>“</w:t>
      </w:r>
      <w:r>
        <w:rPr>
          <w:rFonts w:cs="Arial"/>
          <w:i/>
        </w:rPr>
        <w:t>It is not the time to add a cheap takeaway liquor outlet into the mix as it will add further pressure on the ‘quiet enjoyment’ of residents in the development.</w:t>
      </w:r>
      <w:r w:rsidRPr="00E9044D">
        <w:rPr>
          <w:rFonts w:cs="Arial"/>
        </w:rPr>
        <w:t>”</w:t>
      </w:r>
    </w:p>
    <w:p w:rsidR="00D009A8" w:rsidRDefault="007900DD" w:rsidP="003B38E2">
      <w:pPr>
        <w:numPr>
          <w:ilvl w:val="0"/>
          <w:numId w:val="1"/>
        </w:numPr>
        <w:tabs>
          <w:tab w:val="clear" w:pos="720"/>
        </w:tabs>
        <w:spacing w:after="240" w:line="240" w:lineRule="atLeast"/>
        <w:ind w:left="426" w:hanging="426"/>
        <w:jc w:val="both"/>
        <w:rPr>
          <w:rFonts w:cs="Arial"/>
        </w:rPr>
      </w:pPr>
      <w:r>
        <w:rPr>
          <w:rFonts w:cs="Arial"/>
        </w:rPr>
        <w:t>In raising ‘quiet amenity’ and ‘quiet enjoyment’ of neighbourhood residents being impacted on</w:t>
      </w:r>
      <w:r w:rsidR="00E9044D">
        <w:rPr>
          <w:rFonts w:cs="Arial"/>
        </w:rPr>
        <w:t>,</w:t>
      </w:r>
      <w:r>
        <w:rPr>
          <w:rFonts w:cs="Arial"/>
        </w:rPr>
        <w:t xml:space="preserve"> the submission meets the requirements of the Act.  Additionally the objection posits that “vagrancy and lawless will creep into this area of Coolalinga if </w:t>
      </w:r>
      <w:r>
        <w:rPr>
          <w:rFonts w:cs="Arial"/>
        </w:rPr>
        <w:lastRenderedPageBreak/>
        <w:t>the application is granted and that itinerants purchasing alcohol could pose a danger when crossing the Stuart Highway at night”.</w:t>
      </w:r>
    </w:p>
    <w:p w:rsidR="005C2809" w:rsidRDefault="005C2809" w:rsidP="005C2809">
      <w:pPr>
        <w:pStyle w:val="Heading3"/>
      </w:pPr>
      <w:r>
        <w:t>Applicant’s Response to Objection</w:t>
      </w:r>
    </w:p>
    <w:p w:rsidR="007900DD" w:rsidRDefault="007900DD" w:rsidP="003B38E2">
      <w:pPr>
        <w:numPr>
          <w:ilvl w:val="0"/>
          <w:numId w:val="1"/>
        </w:numPr>
        <w:tabs>
          <w:tab w:val="clear" w:pos="720"/>
        </w:tabs>
        <w:spacing w:after="240" w:line="240" w:lineRule="atLeast"/>
        <w:ind w:left="426" w:hanging="426"/>
        <w:jc w:val="both"/>
        <w:rPr>
          <w:rFonts w:cs="Arial"/>
        </w:rPr>
      </w:pPr>
      <w:r>
        <w:rPr>
          <w:rFonts w:cs="Arial"/>
        </w:rPr>
        <w:t>As required under Section 47G of the Act the applicant</w:t>
      </w:r>
      <w:r w:rsidR="00380EC6">
        <w:rPr>
          <w:rFonts w:cs="Arial"/>
        </w:rPr>
        <w:t xml:space="preserve"> has been afforded an opportunity to respond to the objection lodged by </w:t>
      </w:r>
      <w:r w:rsidR="00A93D78">
        <w:rPr>
          <w:rFonts w:cs="Arial"/>
        </w:rPr>
        <w:t>Mr S</w:t>
      </w:r>
      <w:r w:rsidR="00380EC6">
        <w:rPr>
          <w:rFonts w:cs="Arial"/>
        </w:rPr>
        <w:t xml:space="preserve">alter.  In responding the applicant has not provided a specific response to all the issues </w:t>
      </w:r>
      <w:proofErr w:type="gramStart"/>
      <w:r w:rsidR="00380EC6">
        <w:rPr>
          <w:rFonts w:cs="Arial"/>
        </w:rPr>
        <w:t>raised</w:t>
      </w:r>
      <w:proofErr w:type="gramEnd"/>
      <w:r w:rsidR="00380EC6">
        <w:rPr>
          <w:rFonts w:cs="Arial"/>
        </w:rPr>
        <w:t xml:space="preserve"> in the objection but has drawn attention to information provided in addressing public interest criteria as required by Section 6(2) of the Act.</w:t>
      </w:r>
    </w:p>
    <w:p w:rsidR="000048F3" w:rsidRDefault="00D62DC9" w:rsidP="00CA53CE">
      <w:pPr>
        <w:pStyle w:val="Heading2"/>
      </w:pPr>
      <w:r>
        <w:t>Consideration of the Issues</w:t>
      </w:r>
    </w:p>
    <w:p w:rsidR="00A93D78" w:rsidRDefault="008F2FAD" w:rsidP="00BA470A">
      <w:pPr>
        <w:numPr>
          <w:ilvl w:val="0"/>
          <w:numId w:val="1"/>
        </w:numPr>
        <w:tabs>
          <w:tab w:val="clear" w:pos="720"/>
        </w:tabs>
        <w:spacing w:after="240" w:line="240" w:lineRule="atLeast"/>
        <w:ind w:left="426" w:hanging="426"/>
        <w:jc w:val="both"/>
        <w:rPr>
          <w:rFonts w:cs="Arial"/>
        </w:rPr>
      </w:pPr>
      <w:r>
        <w:rPr>
          <w:rFonts w:cs="Arial"/>
        </w:rPr>
        <w:t xml:space="preserve">While </w:t>
      </w:r>
      <w:r w:rsidR="00A93D78">
        <w:rPr>
          <w:rFonts w:cs="Arial"/>
        </w:rPr>
        <w:t>Mr S</w:t>
      </w:r>
      <w:r>
        <w:rPr>
          <w:rFonts w:cs="Arial"/>
        </w:rPr>
        <w:t>alter has provided valid grounds for objection in raising concerns over neighbourhood amenity and public safety</w:t>
      </w:r>
      <w:r w:rsidR="00E9044D">
        <w:rPr>
          <w:rFonts w:cs="Arial"/>
        </w:rPr>
        <w:t>,</w:t>
      </w:r>
      <w:r>
        <w:rPr>
          <w:rFonts w:cs="Arial"/>
        </w:rPr>
        <w:t xml:space="preserve"> the key issue in this matter is </w:t>
      </w:r>
      <w:r w:rsidR="00A93D78">
        <w:rPr>
          <w:rFonts w:cs="Arial"/>
        </w:rPr>
        <w:t>Mr S</w:t>
      </w:r>
      <w:r>
        <w:rPr>
          <w:rFonts w:cs="Arial"/>
        </w:rPr>
        <w:t xml:space="preserve">alter’s place of residence and whether it qualifies as being in the neighbourhood of the proposed substitution premises.  As outlined in paragraph 9) of this Decision, the objector resides some </w:t>
      </w:r>
      <w:r w:rsidR="00E9044D">
        <w:rPr>
          <w:rFonts w:cs="Arial"/>
        </w:rPr>
        <w:t>four (</w:t>
      </w:r>
      <w:r>
        <w:rPr>
          <w:rFonts w:cs="Arial"/>
        </w:rPr>
        <w:t>4</w:t>
      </w:r>
      <w:r w:rsidR="00E9044D">
        <w:rPr>
          <w:rFonts w:cs="Arial"/>
        </w:rPr>
        <w:t>)</w:t>
      </w:r>
      <w:r>
        <w:rPr>
          <w:rFonts w:cs="Arial"/>
        </w:rPr>
        <w:t xml:space="preserve"> kilometres </w:t>
      </w:r>
      <w:r w:rsidR="00E9044D">
        <w:rPr>
          <w:rFonts w:cs="Arial"/>
        </w:rPr>
        <w:t xml:space="preserve">in a direct line </w:t>
      </w:r>
      <w:r>
        <w:rPr>
          <w:rFonts w:cs="Arial"/>
        </w:rPr>
        <w:t xml:space="preserve">from the proposed </w:t>
      </w:r>
      <w:proofErr w:type="spellStart"/>
      <w:r>
        <w:rPr>
          <w:rFonts w:cs="Arial"/>
        </w:rPr>
        <w:t>Liquorland</w:t>
      </w:r>
      <w:proofErr w:type="spellEnd"/>
      <w:r>
        <w:rPr>
          <w:rFonts w:cs="Arial"/>
        </w:rPr>
        <w:t xml:space="preserve"> </w:t>
      </w:r>
      <w:proofErr w:type="spellStart"/>
      <w:r>
        <w:rPr>
          <w:rFonts w:cs="Arial"/>
        </w:rPr>
        <w:t>Coolalinga</w:t>
      </w:r>
      <w:proofErr w:type="spellEnd"/>
      <w:r>
        <w:rPr>
          <w:rFonts w:cs="Arial"/>
        </w:rPr>
        <w:t xml:space="preserve"> premises.  The distance for practical means of access by road is eve</w:t>
      </w:r>
      <w:r w:rsidR="00E9044D">
        <w:rPr>
          <w:rFonts w:cs="Arial"/>
        </w:rPr>
        <w:t>n</w:t>
      </w:r>
      <w:r>
        <w:rPr>
          <w:rFonts w:cs="Arial"/>
        </w:rPr>
        <w:t xml:space="preserve"> further.  It is arguable that in the “rural area”</w:t>
      </w:r>
      <w:r w:rsidR="00BA470A">
        <w:rPr>
          <w:rFonts w:cs="Arial"/>
        </w:rPr>
        <w:t xml:space="preserve"> </w:t>
      </w:r>
      <w:r w:rsidR="00E9044D">
        <w:rPr>
          <w:rFonts w:cs="Arial"/>
        </w:rPr>
        <w:t>the term “</w:t>
      </w:r>
      <w:r w:rsidR="00BA470A">
        <w:rPr>
          <w:rFonts w:cs="Arial"/>
        </w:rPr>
        <w:t>neighbourhood</w:t>
      </w:r>
      <w:r w:rsidR="00E9044D">
        <w:rPr>
          <w:rFonts w:cs="Arial"/>
        </w:rPr>
        <w:t>”</w:t>
      </w:r>
      <w:r w:rsidR="00BA470A">
        <w:rPr>
          <w:rFonts w:cs="Arial"/>
        </w:rPr>
        <w:t xml:space="preserve"> encompasses a greater area than it would in suburban Darwin.  However </w:t>
      </w:r>
      <w:r w:rsidR="00A93D78">
        <w:rPr>
          <w:rFonts w:cs="Arial"/>
        </w:rPr>
        <w:t>Mr S</w:t>
      </w:r>
      <w:r w:rsidR="00BA470A">
        <w:rPr>
          <w:rFonts w:cs="Arial"/>
        </w:rPr>
        <w:t>alter’s residence at 220 Madsen Road has as a neighbourhood the area around Howard Springs</w:t>
      </w:r>
      <w:r w:rsidR="00150021">
        <w:rPr>
          <w:rFonts w:cs="Arial"/>
        </w:rPr>
        <w:t xml:space="preserve"> Post Office</w:t>
      </w:r>
      <w:r w:rsidR="00BA470A">
        <w:rPr>
          <w:rFonts w:cs="Arial"/>
        </w:rPr>
        <w:t>, the Tavern, Supermarket and a range of shops</w:t>
      </w:r>
      <w:r w:rsidR="00E9044D">
        <w:rPr>
          <w:rFonts w:cs="Arial"/>
        </w:rPr>
        <w:t xml:space="preserve">.  This would give some meaning and logic to describe </w:t>
      </w:r>
      <w:r w:rsidR="00A93D78">
        <w:rPr>
          <w:rFonts w:cs="Arial"/>
        </w:rPr>
        <w:t>Mr S</w:t>
      </w:r>
      <w:r w:rsidR="00E9044D">
        <w:rPr>
          <w:rFonts w:cs="Arial"/>
        </w:rPr>
        <w:t xml:space="preserve">alter as living in the Howard Springs Neighbourhood.  Adding to geographic boundaries and furthering the “neighbourhood” to encompass </w:t>
      </w:r>
      <w:proofErr w:type="spellStart"/>
      <w:r w:rsidR="00E9044D">
        <w:rPr>
          <w:rFonts w:cs="Arial"/>
        </w:rPr>
        <w:t>Coolalinga</w:t>
      </w:r>
      <w:proofErr w:type="spellEnd"/>
      <w:r w:rsidR="00E9044D">
        <w:rPr>
          <w:rFonts w:cs="Arial"/>
        </w:rPr>
        <w:t xml:space="preserve"> is problematic and unlikely to be valid</w:t>
      </w:r>
      <w:r w:rsidR="00BA470A">
        <w:rPr>
          <w:rFonts w:cs="Arial"/>
        </w:rPr>
        <w:t xml:space="preserve">.  </w:t>
      </w:r>
    </w:p>
    <w:p w:rsidR="004405CB" w:rsidRPr="00BA470A" w:rsidRDefault="00BA470A" w:rsidP="00BA470A">
      <w:pPr>
        <w:numPr>
          <w:ilvl w:val="0"/>
          <w:numId w:val="1"/>
        </w:numPr>
        <w:tabs>
          <w:tab w:val="clear" w:pos="720"/>
        </w:tabs>
        <w:spacing w:after="240" w:line="240" w:lineRule="atLeast"/>
        <w:ind w:left="426" w:hanging="426"/>
        <w:jc w:val="both"/>
        <w:rPr>
          <w:rFonts w:cs="Arial"/>
        </w:rPr>
      </w:pPr>
      <w:r>
        <w:rPr>
          <w:rFonts w:cs="Arial"/>
        </w:rPr>
        <w:t xml:space="preserve">For this reason the Commission determines that </w:t>
      </w:r>
      <w:r w:rsidR="00A93D78">
        <w:rPr>
          <w:rFonts w:cs="Arial"/>
        </w:rPr>
        <w:t>Mr S</w:t>
      </w:r>
      <w:r>
        <w:rPr>
          <w:rFonts w:cs="Arial"/>
        </w:rPr>
        <w:t xml:space="preserve">alter does not meet the requirements pursuant to Section </w:t>
      </w:r>
      <w:proofErr w:type="gramStart"/>
      <w:r>
        <w:rPr>
          <w:rFonts w:cs="Arial"/>
        </w:rPr>
        <w:t>47F(</w:t>
      </w:r>
      <w:proofErr w:type="gramEnd"/>
      <w:r>
        <w:rPr>
          <w:rFonts w:cs="Arial"/>
        </w:rPr>
        <w:t>3)(a) as a person residing in the neighbourhood of the proposed premises under application.</w:t>
      </w:r>
    </w:p>
    <w:p w:rsidR="002C6BB7" w:rsidRPr="002C6BB7" w:rsidRDefault="00D62DC9" w:rsidP="00CA53CE">
      <w:pPr>
        <w:pStyle w:val="Heading2"/>
      </w:pPr>
      <w:r>
        <w:t>Decision</w:t>
      </w:r>
    </w:p>
    <w:p w:rsidR="004408CC" w:rsidRDefault="00BA470A" w:rsidP="00BA470A">
      <w:pPr>
        <w:numPr>
          <w:ilvl w:val="0"/>
          <w:numId w:val="1"/>
        </w:numPr>
        <w:tabs>
          <w:tab w:val="clear" w:pos="720"/>
        </w:tabs>
        <w:spacing w:after="240" w:line="240" w:lineRule="atLeast"/>
        <w:ind w:left="426" w:hanging="426"/>
        <w:jc w:val="both"/>
        <w:rPr>
          <w:rFonts w:cs="Arial"/>
        </w:rPr>
      </w:pPr>
      <w:r>
        <w:rPr>
          <w:rFonts w:cs="Arial"/>
        </w:rPr>
        <w:t xml:space="preserve">As </w:t>
      </w:r>
      <w:r w:rsidR="00A93D78">
        <w:rPr>
          <w:rFonts w:cs="Arial"/>
        </w:rPr>
        <w:t>Mr S</w:t>
      </w:r>
      <w:r>
        <w:rPr>
          <w:rFonts w:cs="Arial"/>
        </w:rPr>
        <w:t xml:space="preserve">alter has been determined as a person not residing in the neighbourhood of the proposed premises the objection is dismissed and the application for licence substitution by Liquorland to relocate the former Liquorland Casuarina Village to Coolalinga can be considered by the Commission without requirement to conduct a Hearing. </w:t>
      </w:r>
    </w:p>
    <w:p w:rsidR="00A93D78" w:rsidRDefault="00A93D78" w:rsidP="00BA470A">
      <w:pPr>
        <w:numPr>
          <w:ilvl w:val="0"/>
          <w:numId w:val="1"/>
        </w:numPr>
        <w:tabs>
          <w:tab w:val="clear" w:pos="720"/>
        </w:tabs>
        <w:spacing w:after="240" w:line="240" w:lineRule="atLeast"/>
        <w:ind w:left="426" w:hanging="426"/>
        <w:jc w:val="both"/>
        <w:rPr>
          <w:rFonts w:cs="Arial"/>
        </w:rPr>
      </w:pPr>
      <w:r>
        <w:rPr>
          <w:rFonts w:cs="Arial"/>
        </w:rPr>
        <w:t xml:space="preserve">Pursuant to Section </w:t>
      </w:r>
      <w:proofErr w:type="gramStart"/>
      <w:r>
        <w:rPr>
          <w:rFonts w:cs="Arial"/>
        </w:rPr>
        <w:t>47I(</w:t>
      </w:r>
      <w:proofErr w:type="gramEnd"/>
      <w:r>
        <w:rPr>
          <w:rFonts w:cs="Arial"/>
        </w:rPr>
        <w:t>4) of the Act</w:t>
      </w:r>
      <w:r w:rsidR="00CF2C95">
        <w:rPr>
          <w:rFonts w:cs="Arial"/>
        </w:rPr>
        <w:t>,</w:t>
      </w:r>
      <w:r>
        <w:rPr>
          <w:rFonts w:cs="Arial"/>
        </w:rPr>
        <w:t xml:space="preserve"> I direct the Director to inform Mr Salter that his objection has been dismissed.</w:t>
      </w:r>
    </w:p>
    <w:p w:rsidR="002C6BB7" w:rsidRDefault="002C6BB7" w:rsidP="00D62DC9">
      <w:pPr>
        <w:spacing w:before="1200" w:line="240" w:lineRule="atLeast"/>
        <w:ind w:left="426" w:hanging="426"/>
        <w:jc w:val="both"/>
        <w:rPr>
          <w:rFonts w:cs="Arial"/>
        </w:rPr>
      </w:pPr>
      <w:r>
        <w:rPr>
          <w:rFonts w:cs="Arial"/>
        </w:rPr>
        <w:t>Richard O’Sullivan</w:t>
      </w:r>
    </w:p>
    <w:p w:rsidR="002C6BB7" w:rsidRDefault="002C6BB7" w:rsidP="003B38E2">
      <w:pPr>
        <w:spacing w:after="240" w:line="240" w:lineRule="atLeast"/>
        <w:ind w:left="426" w:hanging="426"/>
        <w:jc w:val="both"/>
        <w:rPr>
          <w:rFonts w:cs="Arial"/>
        </w:rPr>
      </w:pPr>
      <w:r>
        <w:rPr>
          <w:rFonts w:cs="Arial"/>
        </w:rPr>
        <w:t>C</w:t>
      </w:r>
      <w:r w:rsidR="00D62DC9">
        <w:rPr>
          <w:rFonts w:cs="Arial"/>
        </w:rPr>
        <w:t>hairman</w:t>
      </w:r>
    </w:p>
    <w:p w:rsidR="008707D3" w:rsidRDefault="00150021" w:rsidP="00486CBC">
      <w:pPr>
        <w:spacing w:line="240" w:lineRule="atLeast"/>
        <w:ind w:left="426" w:hanging="426"/>
        <w:jc w:val="both"/>
        <w:rPr>
          <w:rFonts w:cs="Arial"/>
        </w:rPr>
      </w:pPr>
      <w:r>
        <w:rPr>
          <w:rFonts w:cs="Arial"/>
        </w:rPr>
        <w:t xml:space="preserve">3 September </w:t>
      </w:r>
      <w:r w:rsidR="00742D00">
        <w:rPr>
          <w:rFonts w:cs="Arial"/>
        </w:rPr>
        <w:t>2014</w:t>
      </w:r>
    </w:p>
    <w:sectPr w:rsidR="008707D3" w:rsidSect="003B38E2">
      <w:headerReference w:type="even" r:id="rId9"/>
      <w:headerReference w:type="default" r:id="rId10"/>
      <w:headerReference w:type="first" r:id="rId11"/>
      <w:pgSz w:w="11906" w:h="16838" w:code="9"/>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A7" w:rsidRDefault="00D923A7">
      <w:r>
        <w:separator/>
      </w:r>
    </w:p>
  </w:endnote>
  <w:endnote w:type="continuationSeparator" w:id="0">
    <w:p w:rsidR="00D923A7" w:rsidRDefault="00D9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A7" w:rsidRDefault="00D923A7">
      <w:r>
        <w:separator/>
      </w:r>
    </w:p>
  </w:footnote>
  <w:footnote w:type="continuationSeparator" w:id="0">
    <w:p w:rsidR="00D923A7" w:rsidRDefault="00D92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192110"/>
      <w:docPartObj>
        <w:docPartGallery w:val="Page Numbers (Top of Page)"/>
        <w:docPartUnique/>
      </w:docPartObj>
    </w:sdtPr>
    <w:sdtEndPr>
      <w:rPr>
        <w:noProof/>
      </w:rPr>
    </w:sdtEndPr>
    <w:sdtContent>
      <w:p w:rsidR="00C5025D" w:rsidRDefault="00521845" w:rsidP="00521845">
        <w:pPr>
          <w:pStyle w:val="Header"/>
          <w:jc w:val="right"/>
        </w:pPr>
        <w:r>
          <w:fldChar w:fldCharType="begin"/>
        </w:r>
        <w:r>
          <w:instrText xml:space="preserve"> PAGE   \* MERGEFORMAT </w:instrText>
        </w:r>
        <w:r>
          <w:fldChar w:fldCharType="separate"/>
        </w:r>
        <w:r w:rsidR="00D62DC9">
          <w:rPr>
            <w:noProof/>
          </w:rPr>
          <w:t>6</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521845" w:rsidP="003B38E2">
    <w:pPr>
      <w:jc w:val="center"/>
    </w:pPr>
    <w:r w:rsidRPr="00C26AA1">
      <w:rPr>
        <w:b/>
        <w:sz w:val="32"/>
      </w:rPr>
      <w:t xml:space="preserve">Northern Territory </w:t>
    </w:r>
    <w:r>
      <w:rPr>
        <w:b/>
        <w:sz w:val="32"/>
      </w:rPr>
      <w:t>Licensing</w:t>
    </w:r>
    <w:r w:rsidRPr="00C26AA1">
      <w:rPr>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13F4EEF"/>
    <w:multiLevelType w:val="hybridMultilevel"/>
    <w:tmpl w:val="FC2249B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17582DA2"/>
    <w:multiLevelType w:val="hybridMultilevel"/>
    <w:tmpl w:val="60EE19E4"/>
    <w:lvl w:ilvl="0" w:tplc="0C090001">
      <w:start w:val="1"/>
      <w:numFmt w:val="bullet"/>
      <w:lvlText w:val=""/>
      <w:lvlJc w:val="left"/>
      <w:pPr>
        <w:tabs>
          <w:tab w:val="num" w:pos="4452"/>
        </w:tabs>
        <w:ind w:left="4452" w:hanging="360"/>
      </w:pPr>
      <w:rPr>
        <w:rFonts w:ascii="Symbol" w:hAnsi="Symbol" w:hint="default"/>
      </w:rPr>
    </w:lvl>
    <w:lvl w:ilvl="1" w:tplc="0C090003">
      <w:start w:val="1"/>
      <w:numFmt w:val="bullet"/>
      <w:lvlText w:val="o"/>
      <w:lvlJc w:val="left"/>
      <w:pPr>
        <w:tabs>
          <w:tab w:val="num" w:pos="5172"/>
        </w:tabs>
        <w:ind w:left="5172" w:hanging="360"/>
      </w:pPr>
      <w:rPr>
        <w:rFonts w:ascii="Courier New" w:hAnsi="Courier New" w:cs="Courier New" w:hint="default"/>
      </w:rPr>
    </w:lvl>
    <w:lvl w:ilvl="2" w:tplc="0C090005">
      <w:start w:val="1"/>
      <w:numFmt w:val="bullet"/>
      <w:lvlText w:val=""/>
      <w:lvlJc w:val="left"/>
      <w:pPr>
        <w:tabs>
          <w:tab w:val="num" w:pos="5892"/>
        </w:tabs>
        <w:ind w:left="5892" w:hanging="360"/>
      </w:pPr>
      <w:rPr>
        <w:rFonts w:ascii="Wingdings" w:hAnsi="Wingdings" w:hint="default"/>
      </w:rPr>
    </w:lvl>
    <w:lvl w:ilvl="3" w:tplc="0C090001" w:tentative="1">
      <w:start w:val="1"/>
      <w:numFmt w:val="bullet"/>
      <w:lvlText w:val=""/>
      <w:lvlJc w:val="left"/>
      <w:pPr>
        <w:tabs>
          <w:tab w:val="num" w:pos="6612"/>
        </w:tabs>
        <w:ind w:left="6612" w:hanging="360"/>
      </w:pPr>
      <w:rPr>
        <w:rFonts w:ascii="Symbol" w:hAnsi="Symbol" w:hint="default"/>
      </w:rPr>
    </w:lvl>
    <w:lvl w:ilvl="4" w:tplc="0C090003" w:tentative="1">
      <w:start w:val="1"/>
      <w:numFmt w:val="bullet"/>
      <w:lvlText w:val="o"/>
      <w:lvlJc w:val="left"/>
      <w:pPr>
        <w:tabs>
          <w:tab w:val="num" w:pos="7332"/>
        </w:tabs>
        <w:ind w:left="7332" w:hanging="360"/>
      </w:pPr>
      <w:rPr>
        <w:rFonts w:ascii="Courier New" w:hAnsi="Courier New" w:cs="Courier New" w:hint="default"/>
      </w:rPr>
    </w:lvl>
    <w:lvl w:ilvl="5" w:tplc="0C090005" w:tentative="1">
      <w:start w:val="1"/>
      <w:numFmt w:val="bullet"/>
      <w:lvlText w:val=""/>
      <w:lvlJc w:val="left"/>
      <w:pPr>
        <w:tabs>
          <w:tab w:val="num" w:pos="8052"/>
        </w:tabs>
        <w:ind w:left="8052" w:hanging="360"/>
      </w:pPr>
      <w:rPr>
        <w:rFonts w:ascii="Wingdings" w:hAnsi="Wingdings" w:hint="default"/>
      </w:rPr>
    </w:lvl>
    <w:lvl w:ilvl="6" w:tplc="0C090001" w:tentative="1">
      <w:start w:val="1"/>
      <w:numFmt w:val="bullet"/>
      <w:lvlText w:val=""/>
      <w:lvlJc w:val="left"/>
      <w:pPr>
        <w:tabs>
          <w:tab w:val="num" w:pos="8772"/>
        </w:tabs>
        <w:ind w:left="8772" w:hanging="360"/>
      </w:pPr>
      <w:rPr>
        <w:rFonts w:ascii="Symbol" w:hAnsi="Symbol" w:hint="default"/>
      </w:rPr>
    </w:lvl>
    <w:lvl w:ilvl="7" w:tplc="0C090003" w:tentative="1">
      <w:start w:val="1"/>
      <w:numFmt w:val="bullet"/>
      <w:lvlText w:val="o"/>
      <w:lvlJc w:val="left"/>
      <w:pPr>
        <w:tabs>
          <w:tab w:val="num" w:pos="9492"/>
        </w:tabs>
        <w:ind w:left="9492" w:hanging="360"/>
      </w:pPr>
      <w:rPr>
        <w:rFonts w:ascii="Courier New" w:hAnsi="Courier New" w:cs="Courier New" w:hint="default"/>
      </w:rPr>
    </w:lvl>
    <w:lvl w:ilvl="8" w:tplc="0C090005" w:tentative="1">
      <w:start w:val="1"/>
      <w:numFmt w:val="bullet"/>
      <w:lvlText w:val=""/>
      <w:lvlJc w:val="left"/>
      <w:pPr>
        <w:tabs>
          <w:tab w:val="num" w:pos="10212"/>
        </w:tabs>
        <w:ind w:left="10212" w:hanging="360"/>
      </w:pPr>
      <w:rPr>
        <w:rFonts w:ascii="Wingdings" w:hAnsi="Wingdings" w:hint="default"/>
      </w:rPr>
    </w:lvl>
  </w:abstractNum>
  <w:abstractNum w:abstractNumId="7">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9">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10">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44301AAD"/>
    <w:multiLevelType w:val="hybridMultilevel"/>
    <w:tmpl w:val="4364AAF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6">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8C94EF6"/>
    <w:multiLevelType w:val="hybridMultilevel"/>
    <w:tmpl w:val="67C8D1B8"/>
    <w:lvl w:ilvl="0" w:tplc="9E1AF45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nsid w:val="58FA3439"/>
    <w:multiLevelType w:val="hybridMultilevel"/>
    <w:tmpl w:val="7DBC1C18"/>
    <w:lvl w:ilvl="0" w:tplc="139EF87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nsid w:val="5FB90505"/>
    <w:multiLevelType w:val="hybridMultilevel"/>
    <w:tmpl w:val="9ED0391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3">
    <w:nsid w:val="7D7A00E3"/>
    <w:multiLevelType w:val="hybridMultilevel"/>
    <w:tmpl w:val="73749AE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10"/>
  </w:num>
  <w:num w:numId="2">
    <w:abstractNumId w:val="9"/>
  </w:num>
  <w:num w:numId="3">
    <w:abstractNumId w:val="7"/>
  </w:num>
  <w:num w:numId="4">
    <w:abstractNumId w:val="5"/>
  </w:num>
  <w:num w:numId="5">
    <w:abstractNumId w:val="17"/>
  </w:num>
  <w:num w:numId="6">
    <w:abstractNumId w:val="21"/>
  </w:num>
  <w:num w:numId="7">
    <w:abstractNumId w:val="14"/>
  </w:num>
  <w:num w:numId="8">
    <w:abstractNumId w:val="0"/>
  </w:num>
  <w:num w:numId="9">
    <w:abstractNumId w:val="22"/>
  </w:num>
  <w:num w:numId="10">
    <w:abstractNumId w:val="13"/>
  </w:num>
  <w:num w:numId="11">
    <w:abstractNumId w:val="2"/>
  </w:num>
  <w:num w:numId="12">
    <w:abstractNumId w:val="3"/>
  </w:num>
  <w:num w:numId="13">
    <w:abstractNumId w:val="12"/>
  </w:num>
  <w:num w:numId="14">
    <w:abstractNumId w:val="16"/>
  </w:num>
  <w:num w:numId="15">
    <w:abstractNumId w:val="1"/>
  </w:num>
  <w:num w:numId="16">
    <w:abstractNumId w:val="4"/>
  </w:num>
  <w:num w:numId="17">
    <w:abstractNumId w:val="23"/>
  </w:num>
  <w:num w:numId="18">
    <w:abstractNumId w:val="11"/>
  </w:num>
  <w:num w:numId="19">
    <w:abstractNumId w:val="20"/>
  </w:num>
  <w:num w:numId="20">
    <w:abstractNumId w:val="8"/>
  </w:num>
  <w:num w:numId="2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A7"/>
    <w:rsid w:val="00000D37"/>
    <w:rsid w:val="000020F8"/>
    <w:rsid w:val="000048F3"/>
    <w:rsid w:val="00060698"/>
    <w:rsid w:val="0006656F"/>
    <w:rsid w:val="000808B9"/>
    <w:rsid w:val="00082CE5"/>
    <w:rsid w:val="00091732"/>
    <w:rsid w:val="000A71E5"/>
    <w:rsid w:val="000E1540"/>
    <w:rsid w:val="00102517"/>
    <w:rsid w:val="00106270"/>
    <w:rsid w:val="0010723F"/>
    <w:rsid w:val="00126EF4"/>
    <w:rsid w:val="0012714B"/>
    <w:rsid w:val="001304C4"/>
    <w:rsid w:val="00130E2B"/>
    <w:rsid w:val="00140933"/>
    <w:rsid w:val="001444A8"/>
    <w:rsid w:val="00150021"/>
    <w:rsid w:val="00180CE5"/>
    <w:rsid w:val="00184F2E"/>
    <w:rsid w:val="00186286"/>
    <w:rsid w:val="00192903"/>
    <w:rsid w:val="001C03C0"/>
    <w:rsid w:val="001D59D6"/>
    <w:rsid w:val="001D6307"/>
    <w:rsid w:val="001D6966"/>
    <w:rsid w:val="001F335D"/>
    <w:rsid w:val="00204481"/>
    <w:rsid w:val="00206E6E"/>
    <w:rsid w:val="00232C58"/>
    <w:rsid w:val="002339C1"/>
    <w:rsid w:val="00262155"/>
    <w:rsid w:val="00272238"/>
    <w:rsid w:val="002740A4"/>
    <w:rsid w:val="00274997"/>
    <w:rsid w:val="00277569"/>
    <w:rsid w:val="00277AE9"/>
    <w:rsid w:val="002A18C8"/>
    <w:rsid w:val="002A25AA"/>
    <w:rsid w:val="002B6BBF"/>
    <w:rsid w:val="002C0774"/>
    <w:rsid w:val="002C46C5"/>
    <w:rsid w:val="002C6BB7"/>
    <w:rsid w:val="002E6113"/>
    <w:rsid w:val="002F03D5"/>
    <w:rsid w:val="002F0E22"/>
    <w:rsid w:val="002F720B"/>
    <w:rsid w:val="00311798"/>
    <w:rsid w:val="00320DA3"/>
    <w:rsid w:val="00334303"/>
    <w:rsid w:val="00340E1B"/>
    <w:rsid w:val="00341AC5"/>
    <w:rsid w:val="003502BB"/>
    <w:rsid w:val="00352D6D"/>
    <w:rsid w:val="00357B7A"/>
    <w:rsid w:val="00380081"/>
    <w:rsid w:val="00380EC6"/>
    <w:rsid w:val="0039542A"/>
    <w:rsid w:val="003A37FE"/>
    <w:rsid w:val="003A3E83"/>
    <w:rsid w:val="003B38E2"/>
    <w:rsid w:val="003B3C8B"/>
    <w:rsid w:val="003C2416"/>
    <w:rsid w:val="003C4E27"/>
    <w:rsid w:val="003E507B"/>
    <w:rsid w:val="003F0044"/>
    <w:rsid w:val="003F10DF"/>
    <w:rsid w:val="003F35EB"/>
    <w:rsid w:val="003F7E8F"/>
    <w:rsid w:val="00403E6D"/>
    <w:rsid w:val="004124E8"/>
    <w:rsid w:val="00423AFA"/>
    <w:rsid w:val="0042631D"/>
    <w:rsid w:val="004405CB"/>
    <w:rsid w:val="004408CC"/>
    <w:rsid w:val="004523E9"/>
    <w:rsid w:val="00454068"/>
    <w:rsid w:val="004717FF"/>
    <w:rsid w:val="00480975"/>
    <w:rsid w:val="00486CBC"/>
    <w:rsid w:val="004B422E"/>
    <w:rsid w:val="004B4696"/>
    <w:rsid w:val="004D373A"/>
    <w:rsid w:val="004F33F5"/>
    <w:rsid w:val="00517D0F"/>
    <w:rsid w:val="00521845"/>
    <w:rsid w:val="005223B7"/>
    <w:rsid w:val="005231F4"/>
    <w:rsid w:val="00532A8E"/>
    <w:rsid w:val="0058569B"/>
    <w:rsid w:val="00587579"/>
    <w:rsid w:val="005A5E6A"/>
    <w:rsid w:val="005C2809"/>
    <w:rsid w:val="005C38DC"/>
    <w:rsid w:val="005C403D"/>
    <w:rsid w:val="005D116B"/>
    <w:rsid w:val="00612471"/>
    <w:rsid w:val="00615992"/>
    <w:rsid w:val="0063050D"/>
    <w:rsid w:val="00634062"/>
    <w:rsid w:val="006516BC"/>
    <w:rsid w:val="00682899"/>
    <w:rsid w:val="00682C3C"/>
    <w:rsid w:val="006A7AED"/>
    <w:rsid w:val="006D06D6"/>
    <w:rsid w:val="006F4F9B"/>
    <w:rsid w:val="007010AC"/>
    <w:rsid w:val="007046C6"/>
    <w:rsid w:val="00712274"/>
    <w:rsid w:val="00712415"/>
    <w:rsid w:val="00720AD8"/>
    <w:rsid w:val="00725F12"/>
    <w:rsid w:val="00735AB3"/>
    <w:rsid w:val="00741C28"/>
    <w:rsid w:val="00742D00"/>
    <w:rsid w:val="007635FA"/>
    <w:rsid w:val="00763830"/>
    <w:rsid w:val="00764464"/>
    <w:rsid w:val="007900DD"/>
    <w:rsid w:val="00792389"/>
    <w:rsid w:val="007A145D"/>
    <w:rsid w:val="007B0F27"/>
    <w:rsid w:val="007D15A0"/>
    <w:rsid w:val="007E7020"/>
    <w:rsid w:val="00807DCA"/>
    <w:rsid w:val="008132FB"/>
    <w:rsid w:val="00817FA8"/>
    <w:rsid w:val="00821B56"/>
    <w:rsid w:val="00824D04"/>
    <w:rsid w:val="00851D26"/>
    <w:rsid w:val="00861250"/>
    <w:rsid w:val="008707D3"/>
    <w:rsid w:val="00872C29"/>
    <w:rsid w:val="008968EA"/>
    <w:rsid w:val="008D2606"/>
    <w:rsid w:val="008D5E6F"/>
    <w:rsid w:val="008D711D"/>
    <w:rsid w:val="008E1DAA"/>
    <w:rsid w:val="008E4D7C"/>
    <w:rsid w:val="008F2FAD"/>
    <w:rsid w:val="00903E87"/>
    <w:rsid w:val="00933C41"/>
    <w:rsid w:val="00934988"/>
    <w:rsid w:val="00946930"/>
    <w:rsid w:val="00956916"/>
    <w:rsid w:val="00961A91"/>
    <w:rsid w:val="00974EEC"/>
    <w:rsid w:val="00990D5A"/>
    <w:rsid w:val="00992F18"/>
    <w:rsid w:val="00993B76"/>
    <w:rsid w:val="009A20E6"/>
    <w:rsid w:val="009A2184"/>
    <w:rsid w:val="009A6124"/>
    <w:rsid w:val="009E2C01"/>
    <w:rsid w:val="009E7B70"/>
    <w:rsid w:val="00A07D57"/>
    <w:rsid w:val="00A10C4F"/>
    <w:rsid w:val="00A179CF"/>
    <w:rsid w:val="00A300E9"/>
    <w:rsid w:val="00A37BA5"/>
    <w:rsid w:val="00A467CA"/>
    <w:rsid w:val="00A510F3"/>
    <w:rsid w:val="00A520B3"/>
    <w:rsid w:val="00A85362"/>
    <w:rsid w:val="00A93D78"/>
    <w:rsid w:val="00A94982"/>
    <w:rsid w:val="00AA1AD2"/>
    <w:rsid w:val="00AA4E9C"/>
    <w:rsid w:val="00AB4D34"/>
    <w:rsid w:val="00AC0965"/>
    <w:rsid w:val="00AD0566"/>
    <w:rsid w:val="00AD7B16"/>
    <w:rsid w:val="00AE3ED6"/>
    <w:rsid w:val="00AF4879"/>
    <w:rsid w:val="00B00073"/>
    <w:rsid w:val="00B50B06"/>
    <w:rsid w:val="00B60D8B"/>
    <w:rsid w:val="00B67201"/>
    <w:rsid w:val="00B67B31"/>
    <w:rsid w:val="00B74566"/>
    <w:rsid w:val="00B760BD"/>
    <w:rsid w:val="00B92758"/>
    <w:rsid w:val="00B9579E"/>
    <w:rsid w:val="00BA470A"/>
    <w:rsid w:val="00BC79A2"/>
    <w:rsid w:val="00BD3B4B"/>
    <w:rsid w:val="00BD67DF"/>
    <w:rsid w:val="00BE3A88"/>
    <w:rsid w:val="00C02779"/>
    <w:rsid w:val="00C32F2B"/>
    <w:rsid w:val="00C33964"/>
    <w:rsid w:val="00C40E25"/>
    <w:rsid w:val="00C5025D"/>
    <w:rsid w:val="00C5070C"/>
    <w:rsid w:val="00C735CA"/>
    <w:rsid w:val="00C817B3"/>
    <w:rsid w:val="00C921AB"/>
    <w:rsid w:val="00C958E9"/>
    <w:rsid w:val="00CA530C"/>
    <w:rsid w:val="00CA53CE"/>
    <w:rsid w:val="00CB49CF"/>
    <w:rsid w:val="00CC1E53"/>
    <w:rsid w:val="00CE6D02"/>
    <w:rsid w:val="00CF2AE7"/>
    <w:rsid w:val="00CF2C95"/>
    <w:rsid w:val="00CF3964"/>
    <w:rsid w:val="00D009A8"/>
    <w:rsid w:val="00D07B98"/>
    <w:rsid w:val="00D1617A"/>
    <w:rsid w:val="00D263A9"/>
    <w:rsid w:val="00D54C0A"/>
    <w:rsid w:val="00D62DC9"/>
    <w:rsid w:val="00D70DAC"/>
    <w:rsid w:val="00D76980"/>
    <w:rsid w:val="00D923A7"/>
    <w:rsid w:val="00DA37E9"/>
    <w:rsid w:val="00DB77E4"/>
    <w:rsid w:val="00DC6365"/>
    <w:rsid w:val="00DE0C6D"/>
    <w:rsid w:val="00E0130B"/>
    <w:rsid w:val="00E023C4"/>
    <w:rsid w:val="00E05D93"/>
    <w:rsid w:val="00E0603B"/>
    <w:rsid w:val="00E07BB5"/>
    <w:rsid w:val="00E30D0A"/>
    <w:rsid w:val="00E64F46"/>
    <w:rsid w:val="00E735FB"/>
    <w:rsid w:val="00E9044D"/>
    <w:rsid w:val="00E95BC9"/>
    <w:rsid w:val="00EA4C41"/>
    <w:rsid w:val="00EA65EF"/>
    <w:rsid w:val="00EB0E4C"/>
    <w:rsid w:val="00EF1E38"/>
    <w:rsid w:val="00EF3278"/>
    <w:rsid w:val="00EF52C1"/>
    <w:rsid w:val="00EF7574"/>
    <w:rsid w:val="00F0254E"/>
    <w:rsid w:val="00F06E17"/>
    <w:rsid w:val="00F11069"/>
    <w:rsid w:val="00F27918"/>
    <w:rsid w:val="00F61D36"/>
    <w:rsid w:val="00F74D1D"/>
    <w:rsid w:val="00F76C94"/>
    <w:rsid w:val="00F914E2"/>
    <w:rsid w:val="00F94C5D"/>
    <w:rsid w:val="00FA095C"/>
    <w:rsid w:val="00FA3B90"/>
    <w:rsid w:val="00FB7BF2"/>
    <w:rsid w:val="00FC22BE"/>
    <w:rsid w:val="00FC33D6"/>
    <w:rsid w:val="00FD1314"/>
    <w:rsid w:val="00FD5946"/>
    <w:rsid w:val="00FF75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845"/>
    <w:rPr>
      <w:rFonts w:ascii="Arial" w:hAnsi="Arial"/>
      <w:sz w:val="24"/>
      <w:szCs w:val="24"/>
    </w:rPr>
  </w:style>
  <w:style w:type="paragraph" w:styleId="Heading1">
    <w:name w:val="heading 1"/>
    <w:basedOn w:val="Normal"/>
    <w:next w:val="Normal"/>
    <w:link w:val="Heading1Char"/>
    <w:qFormat/>
    <w:rsid w:val="00521845"/>
    <w:pPr>
      <w:keepNext/>
      <w:pBdr>
        <w:bottom w:val="single" w:sz="12" w:space="6" w:color="auto"/>
      </w:pBdr>
      <w:spacing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link w:val="HeaderChar"/>
    <w:uiPriority w:val="99"/>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C958E9"/>
    <w:rPr>
      <w:rFonts w:ascii="Helvetica" w:hAnsi="Helvetica"/>
      <w:b/>
      <w:sz w:val="24"/>
      <w:szCs w:val="24"/>
    </w:rPr>
  </w:style>
  <w:style w:type="character" w:customStyle="1" w:styleId="ParagraphChar">
    <w:name w:val="Paragraph Char"/>
    <w:basedOn w:val="DefaultParagraphFont"/>
    <w:link w:val="Paragraph"/>
    <w:rsid w:val="00C958E9"/>
    <w:rPr>
      <w:rFonts w:ascii="Helvetica" w:hAnsi="Helvetica"/>
      <w:sz w:val="24"/>
      <w:szCs w:val="24"/>
    </w:rPr>
  </w:style>
  <w:style w:type="character" w:customStyle="1" w:styleId="SubsectionChar">
    <w:name w:val="Subsection Char"/>
    <w:basedOn w:val="DefaultParagraphFont"/>
    <w:link w:val="Subsection"/>
    <w:rsid w:val="00C958E9"/>
    <w:rPr>
      <w:rFonts w:ascii="Helvetica" w:hAnsi="Helvetica"/>
      <w:sz w:val="24"/>
      <w:szCs w:val="24"/>
    </w:rPr>
  </w:style>
  <w:style w:type="paragraph" w:customStyle="1" w:styleId="Subpara">
    <w:name w:val="Subpara"/>
    <w:basedOn w:val="Paragraph"/>
    <w:rsid w:val="00C958E9"/>
    <w:pPr>
      <w:ind w:left="2268"/>
    </w:pPr>
  </w:style>
  <w:style w:type="paragraph" w:customStyle="1" w:styleId="Sectiontext">
    <w:name w:val="Section text"/>
    <w:basedOn w:val="Normal"/>
    <w:rsid w:val="00C958E9"/>
    <w:pPr>
      <w:widowControl w:val="0"/>
      <w:spacing w:after="240"/>
      <w:ind w:left="1100"/>
      <w:jc w:val="both"/>
    </w:pPr>
    <w:rPr>
      <w:rFonts w:ascii="Helvetica" w:hAnsi="Helvetica"/>
    </w:rPr>
  </w:style>
  <w:style w:type="character" w:customStyle="1" w:styleId="HeaderChar">
    <w:name w:val="Header Char"/>
    <w:basedOn w:val="DefaultParagraphFont"/>
    <w:link w:val="Header"/>
    <w:uiPriority w:val="99"/>
    <w:rsid w:val="00521845"/>
    <w:rPr>
      <w:rFonts w:ascii="Arial" w:hAnsi="Arial"/>
      <w:sz w:val="24"/>
      <w:szCs w:val="24"/>
    </w:rPr>
  </w:style>
  <w:style w:type="character" w:customStyle="1" w:styleId="Heading1Char">
    <w:name w:val="Heading 1 Char"/>
    <w:basedOn w:val="DefaultParagraphFont"/>
    <w:link w:val="Heading1"/>
    <w:rsid w:val="00521845"/>
    <w:rPr>
      <w:rFonts w:ascii="Arial" w:hAnsi="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845"/>
    <w:rPr>
      <w:rFonts w:ascii="Arial" w:hAnsi="Arial"/>
      <w:sz w:val="24"/>
      <w:szCs w:val="24"/>
    </w:rPr>
  </w:style>
  <w:style w:type="paragraph" w:styleId="Heading1">
    <w:name w:val="heading 1"/>
    <w:basedOn w:val="Normal"/>
    <w:next w:val="Normal"/>
    <w:link w:val="Heading1Char"/>
    <w:qFormat/>
    <w:rsid w:val="00521845"/>
    <w:pPr>
      <w:keepNext/>
      <w:pBdr>
        <w:bottom w:val="single" w:sz="12" w:space="6" w:color="auto"/>
      </w:pBdr>
      <w:spacing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link w:val="HeaderChar"/>
    <w:uiPriority w:val="99"/>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C958E9"/>
    <w:rPr>
      <w:rFonts w:ascii="Helvetica" w:hAnsi="Helvetica"/>
      <w:b/>
      <w:sz w:val="24"/>
      <w:szCs w:val="24"/>
    </w:rPr>
  </w:style>
  <w:style w:type="character" w:customStyle="1" w:styleId="ParagraphChar">
    <w:name w:val="Paragraph Char"/>
    <w:basedOn w:val="DefaultParagraphFont"/>
    <w:link w:val="Paragraph"/>
    <w:rsid w:val="00C958E9"/>
    <w:rPr>
      <w:rFonts w:ascii="Helvetica" w:hAnsi="Helvetica"/>
      <w:sz w:val="24"/>
      <w:szCs w:val="24"/>
    </w:rPr>
  </w:style>
  <w:style w:type="character" w:customStyle="1" w:styleId="SubsectionChar">
    <w:name w:val="Subsection Char"/>
    <w:basedOn w:val="DefaultParagraphFont"/>
    <w:link w:val="Subsection"/>
    <w:rsid w:val="00C958E9"/>
    <w:rPr>
      <w:rFonts w:ascii="Helvetica" w:hAnsi="Helvetica"/>
      <w:sz w:val="24"/>
      <w:szCs w:val="24"/>
    </w:rPr>
  </w:style>
  <w:style w:type="paragraph" w:customStyle="1" w:styleId="Subpara">
    <w:name w:val="Subpara"/>
    <w:basedOn w:val="Paragraph"/>
    <w:rsid w:val="00C958E9"/>
    <w:pPr>
      <w:ind w:left="2268"/>
    </w:pPr>
  </w:style>
  <w:style w:type="paragraph" w:customStyle="1" w:styleId="Sectiontext">
    <w:name w:val="Section text"/>
    <w:basedOn w:val="Normal"/>
    <w:rsid w:val="00C958E9"/>
    <w:pPr>
      <w:widowControl w:val="0"/>
      <w:spacing w:after="240"/>
      <w:ind w:left="1100"/>
      <w:jc w:val="both"/>
    </w:pPr>
    <w:rPr>
      <w:rFonts w:ascii="Helvetica" w:hAnsi="Helvetica"/>
    </w:rPr>
  </w:style>
  <w:style w:type="character" w:customStyle="1" w:styleId="HeaderChar">
    <w:name w:val="Header Char"/>
    <w:basedOn w:val="DefaultParagraphFont"/>
    <w:link w:val="Header"/>
    <w:uiPriority w:val="99"/>
    <w:rsid w:val="00521845"/>
    <w:rPr>
      <w:rFonts w:ascii="Arial" w:hAnsi="Arial"/>
      <w:sz w:val="24"/>
      <w:szCs w:val="24"/>
    </w:rPr>
  </w:style>
  <w:style w:type="character" w:customStyle="1" w:styleId="Heading1Char">
    <w:name w:val="Heading 1 Char"/>
    <w:basedOn w:val="DefaultParagraphFont"/>
    <w:link w:val="Heading1"/>
    <w:rsid w:val="00521845"/>
    <w:rPr>
      <w:rFonts w:ascii="Arial" w:hAnsi="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2014-09-03T14:30:00+00:00</Hearing_x0020_Date>
    <Decision_x0020_Category xmlns="28e3188d-fccf-4e87-a6b6-2e446be4517c">Liquor</Decision_x0020_Category>
    <_dlc_DocId xmlns="28e3188d-fccf-4e87-a6b6-2e446be4517c">2AXQX2YYQNYC-455-1341</_dlc_DocId>
    <_dlc_DocIdUrl xmlns="28e3188d-fccf-4e87-a6b6-2e446be4517c">
      <Url>http://www.dob.nt.gov.au/gambling-licensing/decisions/hearings-decisions/_layouts/DocIdRedir.aspx?ID=2AXQX2YYQNYC-455-1341</Url>
      <Description>2AXQX2YYQNYC-455-1341</Description>
    </_dlc_DocIdUrl>
  </documentManagement>
</p:properties>
</file>

<file path=customXml/itemProps1.xml><?xml version="1.0" encoding="utf-8"?>
<ds:datastoreItem xmlns:ds="http://schemas.openxmlformats.org/officeDocument/2006/customXml" ds:itemID="{836F0957-3506-4C76-AA77-0D383CDA5D8C}"/>
</file>

<file path=customXml/itemProps2.xml><?xml version="1.0" encoding="utf-8"?>
<ds:datastoreItem xmlns:ds="http://schemas.openxmlformats.org/officeDocument/2006/customXml" ds:itemID="{18593057-1725-470C-BAF2-EA136D26B5A8}"/>
</file>

<file path=customXml/itemProps3.xml><?xml version="1.0" encoding="utf-8"?>
<ds:datastoreItem xmlns:ds="http://schemas.openxmlformats.org/officeDocument/2006/customXml" ds:itemID="{3D205C1D-2AEE-41E0-994B-F27BE41CF095}"/>
</file>

<file path=customXml/itemProps4.xml><?xml version="1.0" encoding="utf-8"?>
<ds:datastoreItem xmlns:ds="http://schemas.openxmlformats.org/officeDocument/2006/customXml" ds:itemID="{091EEFC3-9CAF-4947-BE18-ED2ED0821793}"/>
</file>

<file path=customXml/itemProps5.xml><?xml version="1.0" encoding="utf-8"?>
<ds:datastoreItem xmlns:ds="http://schemas.openxmlformats.org/officeDocument/2006/customXml" ds:itemID="{51719D04-3845-49CA-BB98-8C750B461D46}"/>
</file>

<file path=docProps/app.xml><?xml version="1.0" encoding="utf-8"?>
<Properties xmlns="http://schemas.openxmlformats.org/officeDocument/2006/extended-properties" xmlns:vt="http://schemas.openxmlformats.org/officeDocument/2006/docPropsVTypes">
  <Template>Normal.dotm</Template>
  <TotalTime>7</TotalTime>
  <Pages>6</Pages>
  <Words>2319</Words>
  <Characters>11890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Liquorland Casuarina 47F to 47I</dc:title>
  <dc:creator>Judith Boiteau</dc:creator>
  <cp:lastModifiedBy>Marlene Woods</cp:lastModifiedBy>
  <cp:revision>4</cp:revision>
  <cp:lastPrinted>2014-09-02T05:46:00Z</cp:lastPrinted>
  <dcterms:created xsi:type="dcterms:W3CDTF">2015-01-06T06:34:00Z</dcterms:created>
  <dcterms:modified xsi:type="dcterms:W3CDTF">2015-01-06T06:43:00Z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af766a15-5c4f-4426-9603-b2671e80e8e8</vt:lpwstr>
  </property>
</Properties>
</file>