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CF4A49" w:rsidRDefault="0039009B" w:rsidP="00CB3380">
      <w:pPr>
        <w:pStyle w:val="Tabformatting"/>
        <w:rPr>
          <w:b/>
        </w:rPr>
      </w:pPr>
      <w:r w:rsidRPr="00CF4A49">
        <w:rPr>
          <w:b/>
        </w:rPr>
        <w:t>Respondent</w:t>
      </w:r>
      <w:r w:rsidR="00CC3330" w:rsidRPr="00CF4A49">
        <w:rPr>
          <w:b/>
        </w:rPr>
        <w:t>:</w:t>
      </w:r>
      <w:r w:rsidR="00AB7AB3" w:rsidRPr="00CF4A49">
        <w:rPr>
          <w:b/>
        </w:rPr>
        <w:tab/>
      </w:r>
      <w:r w:rsidR="00905621" w:rsidRPr="00CF4A49">
        <w:rPr>
          <w:b/>
        </w:rPr>
        <w:t xml:space="preserve">Mr Vaclav </w:t>
      </w:r>
      <w:proofErr w:type="spellStart"/>
      <w:r w:rsidR="00905621" w:rsidRPr="00CF4A49">
        <w:rPr>
          <w:b/>
        </w:rPr>
        <w:t>Kessner</w:t>
      </w:r>
      <w:proofErr w:type="spellEnd"/>
    </w:p>
    <w:p w:rsidR="00CD5F41" w:rsidRPr="00CD5F41" w:rsidRDefault="00CD5F41" w:rsidP="00CD5F41">
      <w:pPr>
        <w:pStyle w:val="Tabformatting"/>
      </w:pPr>
      <w:r>
        <w:rPr>
          <w:b/>
        </w:rPr>
        <w:t>Licence Number</w:t>
      </w:r>
      <w:r w:rsidRPr="00CD5F41">
        <w:t>:</w:t>
      </w:r>
      <w:r w:rsidR="00905621">
        <w:tab/>
        <w:t>6886</w:t>
      </w:r>
    </w:p>
    <w:p w:rsidR="00CB3380" w:rsidRPr="00CD5F41" w:rsidRDefault="0039009B" w:rsidP="0039009B">
      <w:pPr>
        <w:pStyle w:val="Tabformatting"/>
        <w:rPr>
          <w:i/>
        </w:rPr>
      </w:pPr>
      <w:r w:rsidRPr="0039009B">
        <w:rPr>
          <w:b/>
        </w:rPr>
        <w:t>Proceedings</w:t>
      </w:r>
      <w:r w:rsidR="00CB3380" w:rsidRPr="00CB3380">
        <w:t>:</w:t>
      </w:r>
      <w:r w:rsidR="00CB3380">
        <w:tab/>
      </w:r>
      <w:r w:rsidR="00905621">
        <w:t>Application for Cancellation of Dual Licence under Section 27</w:t>
      </w:r>
      <w:r w:rsidR="00CD5F41">
        <w:t xml:space="preserve"> of the </w:t>
      </w:r>
      <w:r w:rsidR="00CD5F41">
        <w:rPr>
          <w:i/>
        </w:rPr>
        <w:t>Private Security Act</w:t>
      </w:r>
    </w:p>
    <w:p w:rsidR="0039009B" w:rsidRDefault="00905621" w:rsidP="001620E9">
      <w:pPr>
        <w:pStyle w:val="Tabformatting"/>
      </w:pPr>
      <w:r w:rsidRPr="00CF4A49">
        <w:rPr>
          <w:b/>
        </w:rPr>
        <w:t>Heard Before</w:t>
      </w:r>
      <w:r w:rsidR="00CF4A49" w:rsidRPr="00CF4A49">
        <w:rPr>
          <w:b/>
        </w:rPr>
        <w:t xml:space="preserve"> (on papers)</w:t>
      </w:r>
      <w:r w:rsidR="00CC3330" w:rsidRPr="00CF4A49">
        <w:t>:</w:t>
      </w:r>
      <w:r w:rsidR="00CC3330" w:rsidRPr="00CF4A49">
        <w:tab/>
      </w:r>
      <w:r w:rsidR="0039009B" w:rsidRPr="00CF4A49">
        <w:t xml:space="preserve">Mr </w:t>
      </w:r>
      <w:r w:rsidRPr="00CF4A49">
        <w:t xml:space="preserve">Philip </w:t>
      </w:r>
      <w:proofErr w:type="spellStart"/>
      <w:r w:rsidRPr="00CF4A49">
        <w:t>Timney</w:t>
      </w:r>
      <w:proofErr w:type="spellEnd"/>
      <w:r w:rsidR="0039009B" w:rsidRPr="00CF4A49">
        <w:t xml:space="preserve"> (</w:t>
      </w:r>
      <w:r w:rsidRPr="00CF4A49">
        <w:t>Presiding Member</w:t>
      </w:r>
      <w:proofErr w:type="gramStart"/>
      <w:r w:rsidR="0039009B" w:rsidRPr="00CF4A49">
        <w:t>)</w:t>
      </w:r>
      <w:proofErr w:type="gramEnd"/>
      <w:r w:rsidR="00CF4A49">
        <w:br/>
      </w:r>
      <w:r w:rsidRPr="00CF4A49">
        <w:t xml:space="preserve">Mr John </w:t>
      </w:r>
      <w:proofErr w:type="spellStart"/>
      <w:r w:rsidRPr="00CF4A49">
        <w:t>Brears</w:t>
      </w:r>
      <w:proofErr w:type="spellEnd"/>
      <w:r w:rsidR="00CF4A49">
        <w:br/>
      </w:r>
      <w:r>
        <w:t xml:space="preserve">Mr Wally </w:t>
      </w:r>
      <w:proofErr w:type="spellStart"/>
      <w:r>
        <w:t>Grimshaw</w:t>
      </w:r>
      <w:proofErr w:type="spellEnd"/>
    </w:p>
    <w:p w:rsidR="0039009B" w:rsidRPr="0039009B" w:rsidRDefault="0039009B" w:rsidP="001620E9">
      <w:pPr>
        <w:pStyle w:val="Tabformatting"/>
      </w:pPr>
      <w:r w:rsidRPr="0039009B">
        <w:rPr>
          <w:b/>
        </w:rPr>
        <w:t>Date of Hearing</w:t>
      </w:r>
      <w:r w:rsidR="00905621">
        <w:t>:</w:t>
      </w:r>
      <w:r w:rsidR="00905621">
        <w:tab/>
        <w:t>12 January</w:t>
      </w:r>
      <w:r w:rsidR="00CD5F41">
        <w:t xml:space="preserve"> 2011</w:t>
      </w:r>
    </w:p>
    <w:p w:rsidR="001620E9" w:rsidRDefault="001620E9" w:rsidP="001620E9">
      <w:pPr>
        <w:pStyle w:val="BottomLine"/>
      </w:pPr>
    </w:p>
    <w:p w:rsidR="000C2ED1" w:rsidRPr="003F2BE4" w:rsidRDefault="000C2ED1" w:rsidP="00CF4A49">
      <w:pPr>
        <w:pStyle w:val="Heading2"/>
      </w:pPr>
      <w:r>
        <w:t>Background</w:t>
      </w:r>
    </w:p>
    <w:p w:rsidR="000C2ED1" w:rsidRPr="000C2ED1" w:rsidRDefault="000C2ED1" w:rsidP="00CF4A49">
      <w:pPr>
        <w:pStyle w:val="ListParagraph"/>
        <w:numPr>
          <w:ilvl w:val="0"/>
          <w:numId w:val="8"/>
        </w:numPr>
      </w:pPr>
      <w:r w:rsidRPr="000C2ED1">
        <w:t xml:space="preserve">Mr </w:t>
      </w:r>
      <w:proofErr w:type="spellStart"/>
      <w:r w:rsidRPr="000C2ED1">
        <w:t>Kessner</w:t>
      </w:r>
      <w:proofErr w:type="spellEnd"/>
      <w:r w:rsidRPr="000C2ED1">
        <w:t xml:space="preserve"> holds a dual Crowd Controller and Security Officer </w:t>
      </w:r>
      <w:proofErr w:type="gramStart"/>
      <w:r w:rsidRPr="000C2ED1">
        <w:t>licences</w:t>
      </w:r>
      <w:proofErr w:type="gramEnd"/>
      <w:r w:rsidRPr="000C2ED1">
        <w:t>, licence number 6889. Those licences expire on 13 July 2013.</w:t>
      </w:r>
    </w:p>
    <w:p w:rsidR="000C2ED1" w:rsidRPr="000C2ED1" w:rsidRDefault="000C2ED1" w:rsidP="00CF4A49">
      <w:pPr>
        <w:pStyle w:val="ListParagraph"/>
        <w:numPr>
          <w:ilvl w:val="0"/>
          <w:numId w:val="8"/>
        </w:numPr>
      </w:pPr>
      <w:r w:rsidRPr="000C2ED1">
        <w:t xml:space="preserve">On 26 July 2011 Mr </w:t>
      </w:r>
      <w:proofErr w:type="spellStart"/>
      <w:r w:rsidRPr="000C2ED1">
        <w:t>Kessner</w:t>
      </w:r>
      <w:proofErr w:type="spellEnd"/>
      <w:r w:rsidRPr="000C2ED1">
        <w:t xml:space="preserve"> submitted a Statutory Declaration attesting that as of 14 July 2011 he had been declared bankrupt. An inspection of bankruptcy records confirmed that Mr </w:t>
      </w:r>
      <w:proofErr w:type="spellStart"/>
      <w:r w:rsidRPr="000C2ED1">
        <w:t>Kessner</w:t>
      </w:r>
      <w:proofErr w:type="spellEnd"/>
      <w:r w:rsidRPr="000C2ED1">
        <w:t xml:space="preserve"> was declared bankrupt on 1</w:t>
      </w:r>
      <w:bookmarkStart w:id="0" w:name="_GoBack"/>
      <w:bookmarkEnd w:id="0"/>
      <w:r w:rsidRPr="000C2ED1">
        <w:t>3 July 2011.</w:t>
      </w:r>
    </w:p>
    <w:p w:rsidR="000C2ED1" w:rsidRPr="000C2ED1" w:rsidRDefault="000C2ED1" w:rsidP="00CF4A49">
      <w:pPr>
        <w:pStyle w:val="ListParagraph"/>
        <w:numPr>
          <w:ilvl w:val="0"/>
          <w:numId w:val="8"/>
        </w:numPr>
      </w:pPr>
      <w:r w:rsidRPr="000C2ED1">
        <w:t xml:space="preserve">The report presented to the Commission on behalf of the Director of Licensing indicates that Mr </w:t>
      </w:r>
      <w:proofErr w:type="spellStart"/>
      <w:r w:rsidRPr="000C2ED1">
        <w:t>Kessner</w:t>
      </w:r>
      <w:proofErr w:type="spellEnd"/>
      <w:r w:rsidRPr="000C2ED1">
        <w:t xml:space="preserve"> does not rely on his Security Provider Licenses for </w:t>
      </w:r>
      <w:proofErr w:type="gramStart"/>
      <w:r w:rsidRPr="000C2ED1">
        <w:t>employment,</w:t>
      </w:r>
      <w:proofErr w:type="gramEnd"/>
      <w:r w:rsidRPr="000C2ED1">
        <w:t xml:space="preserve"> however he wishes to retain the dual licence to broaden his employability. For reasons not known to the Commission, on 22 June 2011 Mr </w:t>
      </w:r>
      <w:proofErr w:type="spellStart"/>
      <w:r w:rsidRPr="000C2ED1">
        <w:t>Kessner</w:t>
      </w:r>
      <w:proofErr w:type="spellEnd"/>
      <w:r w:rsidRPr="000C2ED1">
        <w:t xml:space="preserve"> resigned from the position he held as a kitchen hand for the past five years.</w:t>
      </w:r>
    </w:p>
    <w:p w:rsidR="000C2ED1" w:rsidRPr="000C2ED1" w:rsidRDefault="000C2ED1" w:rsidP="00CF4A49">
      <w:pPr>
        <w:pStyle w:val="ListParagraph"/>
        <w:numPr>
          <w:ilvl w:val="0"/>
          <w:numId w:val="8"/>
        </w:numPr>
      </w:pPr>
      <w:r w:rsidRPr="000C2ED1">
        <w:t xml:space="preserve">On 29 September 2011 the Director sent Mr </w:t>
      </w:r>
      <w:proofErr w:type="spellStart"/>
      <w:r w:rsidRPr="000C2ED1">
        <w:t>Kessner</w:t>
      </w:r>
      <w:proofErr w:type="spellEnd"/>
      <w:r w:rsidRPr="000C2ED1">
        <w:t xml:space="preserve"> a Notice inviting him to show cause as to why his dual licence should not be cancelled on the grounds he was no longer an appropriate person to hold the dual</w:t>
      </w:r>
      <w:r>
        <w:t xml:space="preserve"> licence due to his bankruptcy.</w:t>
      </w:r>
      <w:r w:rsidRPr="000C2ED1">
        <w:t xml:space="preserve"> Mr </w:t>
      </w:r>
      <w:proofErr w:type="spellStart"/>
      <w:r w:rsidRPr="000C2ED1">
        <w:t>Kessner</w:t>
      </w:r>
      <w:proofErr w:type="spellEnd"/>
      <w:r w:rsidRPr="000C2ED1">
        <w:t xml:space="preserve"> failed to respond to that letter.</w:t>
      </w:r>
    </w:p>
    <w:p w:rsidR="000C2ED1" w:rsidRPr="003F2BE4" w:rsidRDefault="000C2ED1" w:rsidP="000C2ED1">
      <w:pPr>
        <w:pStyle w:val="Heading2"/>
      </w:pPr>
      <w:r>
        <w:t>Consideration of the Issues</w:t>
      </w:r>
    </w:p>
    <w:p w:rsidR="000C2ED1" w:rsidRPr="000C2ED1" w:rsidRDefault="000C2ED1" w:rsidP="00CF4A49">
      <w:pPr>
        <w:pStyle w:val="ListParagraph"/>
        <w:numPr>
          <w:ilvl w:val="0"/>
          <w:numId w:val="8"/>
        </w:numPr>
      </w:pPr>
      <w:r w:rsidRPr="000C2ED1">
        <w:t>Section 26(1)(d) of the Private Security Act provides:</w:t>
      </w:r>
    </w:p>
    <w:p w:rsidR="000C2ED1" w:rsidRPr="00CF4A49" w:rsidRDefault="000C2ED1" w:rsidP="00CF4A49">
      <w:pPr>
        <w:ind w:left="1440"/>
        <w:rPr>
          <w:b/>
          <w:i/>
        </w:rPr>
      </w:pPr>
      <w:bookmarkStart w:id="1" w:name="_Hlk50368845"/>
      <w:bookmarkStart w:id="2" w:name="_Ref334257208"/>
      <w:bookmarkStart w:id="3" w:name="_Toc310498475"/>
      <w:r w:rsidRPr="00CF4A49">
        <w:rPr>
          <w:b/>
          <w:i/>
        </w:rPr>
        <w:t>26</w:t>
      </w:r>
      <w:bookmarkEnd w:id="1"/>
      <w:r w:rsidR="00CF4A49" w:rsidRPr="00CF4A49">
        <w:rPr>
          <w:b/>
          <w:i/>
        </w:rPr>
        <w:t xml:space="preserve"> </w:t>
      </w:r>
      <w:r w:rsidRPr="00CF4A49">
        <w:rPr>
          <w:b/>
          <w:i/>
        </w:rPr>
        <w:t>Grounds for suspension, cancellation or refusal to renew</w:t>
      </w:r>
      <w:bookmarkEnd w:id="2"/>
      <w:bookmarkEnd w:id="3"/>
    </w:p>
    <w:p w:rsidR="000C2ED1" w:rsidRPr="00CF4A49" w:rsidRDefault="000C2ED1" w:rsidP="00CF4A49">
      <w:pPr>
        <w:pStyle w:val="ListParagraph"/>
        <w:numPr>
          <w:ilvl w:val="0"/>
          <w:numId w:val="10"/>
        </w:numPr>
        <w:rPr>
          <w:i/>
        </w:rPr>
      </w:pPr>
      <w:r w:rsidRPr="00CF4A49">
        <w:rPr>
          <w:i/>
        </w:rPr>
        <w:t>Each of the following is a ground for the suspension or cancellation of a licence or the refusal to renew a licence:</w:t>
      </w:r>
    </w:p>
    <w:p w:rsidR="000C2ED1" w:rsidRPr="00CF4A49" w:rsidRDefault="000C2ED1" w:rsidP="00CF4A49">
      <w:pPr>
        <w:pStyle w:val="ListParagraph"/>
        <w:numPr>
          <w:ilvl w:val="1"/>
          <w:numId w:val="11"/>
        </w:numPr>
        <w:rPr>
          <w:i/>
        </w:rPr>
      </w:pPr>
      <w:proofErr w:type="gramStart"/>
      <w:r w:rsidRPr="00CF4A49">
        <w:rPr>
          <w:i/>
        </w:rPr>
        <w:t>the</w:t>
      </w:r>
      <w:proofErr w:type="gramEnd"/>
      <w:r w:rsidRPr="00CF4A49">
        <w:rPr>
          <w:i/>
        </w:rPr>
        <w:t xml:space="preserve"> licensee, or another person required to be an appropriate person for the grant of the licence, is not, or is no longer, an appropriate person.</w:t>
      </w:r>
    </w:p>
    <w:p w:rsidR="000C2ED1" w:rsidRPr="00CF4A49" w:rsidRDefault="000C2ED1" w:rsidP="00CF4A49">
      <w:pPr>
        <w:pStyle w:val="ListParagraph"/>
        <w:numPr>
          <w:ilvl w:val="0"/>
          <w:numId w:val="10"/>
        </w:numPr>
        <w:rPr>
          <w:i/>
        </w:rPr>
      </w:pPr>
      <w:r w:rsidRPr="00CF4A49">
        <w:rPr>
          <w:i/>
        </w:rPr>
        <w:t>The question whether a person is, or continues to be, an appropriate person is decided in the same way as the question whether the person would be an appropriate person for the grant of the licence.</w:t>
      </w:r>
    </w:p>
    <w:p w:rsidR="000C2ED1" w:rsidRPr="000C2ED1" w:rsidRDefault="000C2ED1" w:rsidP="00CF4A49">
      <w:pPr>
        <w:pStyle w:val="ListParagraph"/>
        <w:numPr>
          <w:ilvl w:val="0"/>
          <w:numId w:val="8"/>
        </w:numPr>
      </w:pPr>
      <w:r w:rsidRPr="000C2ED1">
        <w:t>Section 15 of the Act sets out the matter to be taken into account in determining whether an individual is an appropriate person to hold a Security Provider Licence, including:</w:t>
      </w:r>
    </w:p>
    <w:p w:rsidR="000C2ED1" w:rsidRPr="00CF4A49" w:rsidRDefault="000C2ED1" w:rsidP="00CF4A49">
      <w:pPr>
        <w:ind w:left="1440"/>
        <w:rPr>
          <w:b/>
          <w:i/>
        </w:rPr>
      </w:pPr>
      <w:bookmarkStart w:id="4" w:name="_Hlk50368762"/>
      <w:bookmarkStart w:id="5" w:name="_Ref334256770"/>
      <w:bookmarkStart w:id="6" w:name="_Toc310498462"/>
      <w:r w:rsidRPr="00CF4A49">
        <w:rPr>
          <w:b/>
          <w:i/>
        </w:rPr>
        <w:t>15</w:t>
      </w:r>
      <w:bookmarkEnd w:id="4"/>
      <w:r w:rsidR="00CF4A49">
        <w:rPr>
          <w:b/>
          <w:i/>
        </w:rPr>
        <w:t xml:space="preserve"> </w:t>
      </w:r>
      <w:r w:rsidRPr="00CF4A49">
        <w:rPr>
          <w:b/>
          <w:i/>
        </w:rPr>
        <w:t>Entitlement to licences – natural persons</w:t>
      </w:r>
      <w:bookmarkEnd w:id="5"/>
      <w:bookmarkEnd w:id="6"/>
    </w:p>
    <w:p w:rsidR="000C2ED1" w:rsidRPr="00CF4A49" w:rsidRDefault="000C2ED1" w:rsidP="00CF4A49">
      <w:pPr>
        <w:pStyle w:val="ListParagraph"/>
        <w:numPr>
          <w:ilvl w:val="0"/>
          <w:numId w:val="14"/>
        </w:numPr>
        <w:rPr>
          <w:i/>
        </w:rPr>
      </w:pPr>
      <w:r w:rsidRPr="00CF4A49">
        <w:rPr>
          <w:i/>
        </w:rPr>
        <w:lastRenderedPageBreak/>
        <w:t>In deciding whether a person is an appropriate person to hold a licence, the licensing authority may consider the following matters as indicating that the person may not be an appropriate person:</w:t>
      </w:r>
    </w:p>
    <w:p w:rsidR="000C2ED1" w:rsidRPr="00CF4A49" w:rsidRDefault="000C2ED1" w:rsidP="00CF4A49">
      <w:pPr>
        <w:pStyle w:val="ListParagraph"/>
        <w:numPr>
          <w:ilvl w:val="1"/>
          <w:numId w:val="15"/>
        </w:numPr>
        <w:ind w:left="2880"/>
        <w:rPr>
          <w:i/>
        </w:rPr>
      </w:pPr>
      <w:r w:rsidRPr="00CF4A49">
        <w:rPr>
          <w:i/>
        </w:rPr>
        <w:t xml:space="preserve">… … </w:t>
      </w:r>
    </w:p>
    <w:p w:rsidR="000C2ED1" w:rsidRPr="00CF4A49" w:rsidRDefault="000C2ED1" w:rsidP="00CF4A49">
      <w:pPr>
        <w:pStyle w:val="ListParagraph"/>
        <w:numPr>
          <w:ilvl w:val="1"/>
          <w:numId w:val="15"/>
        </w:numPr>
        <w:ind w:left="2880"/>
        <w:rPr>
          <w:i/>
        </w:rPr>
      </w:pPr>
      <w:r w:rsidRPr="00CF4A49">
        <w:rPr>
          <w:i/>
        </w:rPr>
        <w:t>that the person has taken advantage, as a debtor, of the laws of bankruptcy;</w:t>
      </w:r>
    </w:p>
    <w:p w:rsidR="000C2ED1" w:rsidRPr="000C2ED1" w:rsidRDefault="000C2ED1" w:rsidP="00CF4A49">
      <w:pPr>
        <w:pStyle w:val="ListParagraph"/>
        <w:numPr>
          <w:ilvl w:val="0"/>
          <w:numId w:val="8"/>
        </w:numPr>
      </w:pPr>
      <w:r w:rsidRPr="000C2ED1">
        <w:t xml:space="preserve">Mr </w:t>
      </w:r>
      <w:proofErr w:type="spellStart"/>
      <w:r w:rsidRPr="000C2ED1">
        <w:t>Kessner</w:t>
      </w:r>
      <w:proofErr w:type="spellEnd"/>
      <w:r w:rsidRPr="000C2ED1">
        <w:t xml:space="preserve"> has, on his own admiss</w:t>
      </w:r>
      <w:r>
        <w:t xml:space="preserve">ion, been declared a bankrupt. </w:t>
      </w:r>
      <w:r w:rsidRPr="000C2ED1">
        <w:t xml:space="preserve">Mr </w:t>
      </w:r>
      <w:proofErr w:type="spellStart"/>
      <w:r w:rsidRPr="000C2ED1">
        <w:t>Kessner</w:t>
      </w:r>
      <w:proofErr w:type="spellEnd"/>
      <w:r w:rsidRPr="000C2ED1">
        <w:t xml:space="preserve"> disclosed in a Statutory Declaration that he had entered into voluntary bankruptcy as he had accumulated a debt </w:t>
      </w:r>
      <w:r>
        <w:t xml:space="preserve">of $25,666.00 on credit cards. </w:t>
      </w:r>
      <w:r w:rsidRPr="000C2ED1">
        <w:t>He also advised that he had no repayment plan other than the fact he had been directed to pay a tax retur</w:t>
      </w:r>
      <w:r>
        <w:t>n of $500.00 towards the debt.</w:t>
      </w:r>
    </w:p>
    <w:p w:rsidR="000C2ED1" w:rsidRPr="000C2ED1" w:rsidRDefault="000C2ED1" w:rsidP="00CF4A49">
      <w:pPr>
        <w:pStyle w:val="ListParagraph"/>
        <w:numPr>
          <w:ilvl w:val="0"/>
          <w:numId w:val="8"/>
        </w:numPr>
      </w:pPr>
      <w:r w:rsidRPr="000C2ED1">
        <w:t>The starting point so far as the Commission’s deliberations are concerned is that he is no longer an appropriate person to hold a Security Provider Licence on the basis of Section 15(6)(c) of the Act</w:t>
      </w:r>
      <w:proofErr w:type="gramStart"/>
      <w:r w:rsidRPr="000C2ED1">
        <w:t xml:space="preserve">.  </w:t>
      </w:r>
      <w:proofErr w:type="gramEnd"/>
      <w:r w:rsidRPr="000C2ED1">
        <w:t xml:space="preserve">Mr </w:t>
      </w:r>
      <w:proofErr w:type="spellStart"/>
      <w:r w:rsidRPr="000C2ED1">
        <w:t>Kessner</w:t>
      </w:r>
      <w:proofErr w:type="spellEnd"/>
      <w:r w:rsidRPr="000C2ED1">
        <w:t xml:space="preserve"> was provided with an opportunity to inform the Director as to why his dual licence should not be cancelled as a result of the voluntary </w:t>
      </w:r>
      <w:r w:rsidR="00AF7475">
        <w:t xml:space="preserve">declaration of bankruptcy. </w:t>
      </w:r>
      <w:r w:rsidRPr="000C2ED1">
        <w:t xml:space="preserve">As noted above, Mr </w:t>
      </w:r>
      <w:proofErr w:type="spellStart"/>
      <w:r w:rsidRPr="000C2ED1">
        <w:t>Kessner</w:t>
      </w:r>
      <w:proofErr w:type="spellEnd"/>
      <w:r w:rsidRPr="000C2ED1">
        <w:t xml:space="preserve"> declined to take that opportunity or to make any submission at all in response to the Director’s Show Cause Notice.</w:t>
      </w:r>
    </w:p>
    <w:p w:rsidR="000C2ED1" w:rsidRPr="00CF4A49" w:rsidRDefault="000C2ED1" w:rsidP="00CF4A49">
      <w:pPr>
        <w:pStyle w:val="ListParagraph"/>
        <w:numPr>
          <w:ilvl w:val="0"/>
          <w:numId w:val="8"/>
        </w:numPr>
        <w:rPr>
          <w:lang w:val="en"/>
        </w:rPr>
      </w:pPr>
      <w:r w:rsidRPr="000C2ED1">
        <w:t>Mr Kessler, despite being afforded an opportunity to do so, presented no evidence to the Commission indicating that despite him being a bankrupt he remains an appropriate person to hol</w:t>
      </w:r>
      <w:r w:rsidR="00AF7475">
        <w:t xml:space="preserve">d a Security Provider Licence. </w:t>
      </w:r>
      <w:r w:rsidRPr="000C2ED1">
        <w:t>The Commission is also of the view Mr </w:t>
      </w:r>
      <w:proofErr w:type="spellStart"/>
      <w:r w:rsidRPr="000C2ED1">
        <w:t>Kessner</w:t>
      </w:r>
      <w:proofErr w:type="spellEnd"/>
      <w:r w:rsidRPr="000C2ED1">
        <w:t xml:space="preserve"> has demonstrated a somewhat cavalier approach to his financial situation by quitting his permanent job and in his failure to respond to the Show Cause Notice issued by the Director of Licensing.</w:t>
      </w:r>
      <w:r w:rsidR="00AF7475" w:rsidRPr="00CF4A49">
        <w:rPr>
          <w:lang w:val="en"/>
        </w:rPr>
        <w:t xml:space="preserve"> </w:t>
      </w:r>
      <w:r w:rsidRPr="000C2ED1">
        <w:t xml:space="preserve">As a result the Commission </w:t>
      </w:r>
      <w:r w:rsidR="00AF7475">
        <w:t xml:space="preserve">determines, pursuant to Section </w:t>
      </w:r>
      <w:r w:rsidRPr="000C2ED1">
        <w:t>26(1</w:t>
      </w:r>
      <w:proofErr w:type="gramStart"/>
      <w:r w:rsidRPr="000C2ED1">
        <w:t>)(</w:t>
      </w:r>
      <w:proofErr w:type="gramEnd"/>
      <w:r w:rsidRPr="000C2ED1">
        <w:t xml:space="preserve">d) of the Act, that Mr </w:t>
      </w:r>
      <w:proofErr w:type="spellStart"/>
      <w:r w:rsidRPr="000C2ED1">
        <w:t>Kessner</w:t>
      </w:r>
      <w:proofErr w:type="spellEnd"/>
      <w:r w:rsidRPr="000C2ED1">
        <w:t xml:space="preserve"> is no longer an appropriate person to hold a Security Provider Licence.</w:t>
      </w:r>
    </w:p>
    <w:p w:rsidR="000C2ED1" w:rsidRPr="003F2BE4" w:rsidRDefault="00AF7475" w:rsidP="00AF7475">
      <w:pPr>
        <w:pStyle w:val="Heading2"/>
        <w:rPr>
          <w:rFonts w:cs="Arial"/>
        </w:rPr>
      </w:pPr>
      <w:r>
        <w:rPr>
          <w:lang w:val="en"/>
        </w:rPr>
        <w:t>Decision</w:t>
      </w:r>
    </w:p>
    <w:p w:rsidR="000C2ED1" w:rsidRPr="00CF4A49" w:rsidRDefault="000C2ED1" w:rsidP="00CF4A49">
      <w:pPr>
        <w:pStyle w:val="ListParagraph"/>
        <w:numPr>
          <w:ilvl w:val="0"/>
          <w:numId w:val="8"/>
        </w:numPr>
        <w:rPr>
          <w:lang w:val="en"/>
        </w:rPr>
      </w:pPr>
      <w:r w:rsidRPr="00CF4A49">
        <w:rPr>
          <w:lang w:val="en"/>
        </w:rPr>
        <w:t>Pursuant to Section 26(1</w:t>
      </w:r>
      <w:proofErr w:type="gramStart"/>
      <w:r w:rsidRPr="00CF4A49">
        <w:rPr>
          <w:lang w:val="en"/>
        </w:rPr>
        <w:t>)(</w:t>
      </w:r>
      <w:proofErr w:type="gramEnd"/>
      <w:r w:rsidRPr="00CF4A49">
        <w:rPr>
          <w:lang w:val="en"/>
        </w:rPr>
        <w:t xml:space="preserve">d) of the Act, the Commission determines to cancel Dual Crowd Controller and Security Officer </w:t>
      </w:r>
      <w:proofErr w:type="spellStart"/>
      <w:r w:rsidRPr="00CF4A49">
        <w:rPr>
          <w:lang w:val="en"/>
        </w:rPr>
        <w:t>L</w:t>
      </w:r>
      <w:r w:rsidR="00AF7475" w:rsidRPr="00CF4A49">
        <w:rPr>
          <w:lang w:val="en"/>
        </w:rPr>
        <w:t>icence</w:t>
      </w:r>
      <w:proofErr w:type="spellEnd"/>
      <w:r w:rsidR="00AF7475" w:rsidRPr="00CF4A49">
        <w:rPr>
          <w:lang w:val="en"/>
        </w:rPr>
        <w:t xml:space="preserve"> number 6886 issued to </w:t>
      </w:r>
      <w:proofErr w:type="spellStart"/>
      <w:r w:rsidR="00AF7475" w:rsidRPr="00CF4A49">
        <w:rPr>
          <w:lang w:val="en"/>
        </w:rPr>
        <w:t>Mr</w:t>
      </w:r>
      <w:proofErr w:type="spellEnd"/>
      <w:r w:rsidR="00AF7475" w:rsidRPr="00CF4A49">
        <w:rPr>
          <w:lang w:val="en"/>
        </w:rPr>
        <w:t xml:space="preserve"> </w:t>
      </w:r>
      <w:r w:rsidRPr="00CF4A49">
        <w:rPr>
          <w:lang w:val="en"/>
        </w:rPr>
        <w:t xml:space="preserve">Vaclav </w:t>
      </w:r>
      <w:proofErr w:type="spellStart"/>
      <w:r w:rsidRPr="00CF4A49">
        <w:rPr>
          <w:lang w:val="en"/>
        </w:rPr>
        <w:t>Kessner</w:t>
      </w:r>
      <w:proofErr w:type="spellEnd"/>
      <w:r w:rsidRPr="00CF4A49">
        <w:rPr>
          <w:lang w:val="en"/>
        </w:rPr>
        <w:t xml:space="preserve"> on the grounds that he w</w:t>
      </w:r>
      <w:r w:rsidR="00AF7475" w:rsidRPr="00CF4A49">
        <w:rPr>
          <w:lang w:val="en"/>
        </w:rPr>
        <w:t xml:space="preserve">as declared bankrupt on 13 July </w:t>
      </w:r>
      <w:r w:rsidRPr="00CF4A49">
        <w:rPr>
          <w:lang w:val="en"/>
        </w:rPr>
        <w:t>2010 and, as a consequence, is no longer an appropriate per</w:t>
      </w:r>
      <w:r w:rsidR="00AF7475" w:rsidRPr="00CF4A49">
        <w:rPr>
          <w:lang w:val="en"/>
        </w:rPr>
        <w:t xml:space="preserve">son to hold that dual </w:t>
      </w:r>
      <w:proofErr w:type="spellStart"/>
      <w:r w:rsidR="00AF7475" w:rsidRPr="00CF4A49">
        <w:rPr>
          <w:lang w:val="en"/>
        </w:rPr>
        <w:t>licence</w:t>
      </w:r>
      <w:proofErr w:type="spellEnd"/>
      <w:r w:rsidR="00AF7475" w:rsidRPr="00CF4A49">
        <w:rPr>
          <w:lang w:val="en"/>
        </w:rPr>
        <w:t xml:space="preserve">. </w:t>
      </w:r>
      <w:r w:rsidRPr="00CF4A49">
        <w:rPr>
          <w:lang w:val="en"/>
        </w:rPr>
        <w:t xml:space="preserve">The cancellation is effective from the date of service of this decision on </w:t>
      </w:r>
      <w:proofErr w:type="spellStart"/>
      <w:r w:rsidRPr="00CF4A49">
        <w:rPr>
          <w:lang w:val="en"/>
        </w:rPr>
        <w:t>Mr</w:t>
      </w:r>
      <w:proofErr w:type="spellEnd"/>
      <w:r w:rsidRPr="00CF4A49">
        <w:rPr>
          <w:lang w:val="en"/>
        </w:rPr>
        <w:t xml:space="preserve"> </w:t>
      </w:r>
      <w:proofErr w:type="spellStart"/>
      <w:r w:rsidRPr="00CF4A49">
        <w:rPr>
          <w:lang w:val="en"/>
        </w:rPr>
        <w:t>Kessner</w:t>
      </w:r>
      <w:proofErr w:type="spellEnd"/>
      <w:r w:rsidRPr="00CF4A49">
        <w:rPr>
          <w:lang w:val="en"/>
        </w:rPr>
        <w:t>.</w:t>
      </w:r>
    </w:p>
    <w:p w:rsidR="000C2ED1" w:rsidRPr="00CF4A49" w:rsidRDefault="000C2ED1" w:rsidP="00CF4A49">
      <w:pPr>
        <w:pStyle w:val="ListParagraph"/>
        <w:numPr>
          <w:ilvl w:val="0"/>
          <w:numId w:val="8"/>
        </w:numPr>
        <w:rPr>
          <w:lang w:val="en"/>
        </w:rPr>
      </w:pPr>
      <w:proofErr w:type="spellStart"/>
      <w:r w:rsidRPr="00CF4A49">
        <w:rPr>
          <w:lang w:val="en"/>
        </w:rPr>
        <w:t>Mr</w:t>
      </w:r>
      <w:proofErr w:type="spellEnd"/>
      <w:r w:rsidRPr="00CF4A49">
        <w:rPr>
          <w:lang w:val="en"/>
        </w:rPr>
        <w:t xml:space="preserve"> </w:t>
      </w:r>
      <w:proofErr w:type="spellStart"/>
      <w:r w:rsidRPr="00CF4A49">
        <w:rPr>
          <w:lang w:val="en"/>
        </w:rPr>
        <w:t>Kessner</w:t>
      </w:r>
      <w:proofErr w:type="spellEnd"/>
      <w:r w:rsidRPr="00CF4A49">
        <w:rPr>
          <w:lang w:val="en"/>
        </w:rPr>
        <w:t xml:space="preserve"> is advised that Section 27(4</w:t>
      </w:r>
      <w:proofErr w:type="gramStart"/>
      <w:r w:rsidRPr="00CF4A49">
        <w:rPr>
          <w:lang w:val="en"/>
        </w:rPr>
        <w:t>)(</w:t>
      </w:r>
      <w:proofErr w:type="gramEnd"/>
      <w:r w:rsidRPr="00CF4A49">
        <w:rPr>
          <w:lang w:val="en"/>
        </w:rPr>
        <w:t>d) of the Act provides that he may, within twenty-eight days of being notified in respect of this decision, appeal against this decision to the Local Court.</w:t>
      </w:r>
    </w:p>
    <w:p w:rsidR="000C2ED1" w:rsidRPr="003F2BE4" w:rsidRDefault="000C2ED1" w:rsidP="00CF4A49">
      <w:pPr>
        <w:pStyle w:val="Signature"/>
      </w:pPr>
      <w:r w:rsidRPr="003F2BE4">
        <w:t xml:space="preserve">Philip </w:t>
      </w:r>
      <w:proofErr w:type="spellStart"/>
      <w:r w:rsidRPr="003F2BE4">
        <w:t>Timney</w:t>
      </w:r>
      <w:proofErr w:type="spellEnd"/>
      <w:r w:rsidR="00CF4A49">
        <w:br/>
        <w:t>P</w:t>
      </w:r>
      <w:r w:rsidR="00AF7475">
        <w:t>residing Member</w:t>
      </w:r>
    </w:p>
    <w:p w:rsidR="00BC1846" w:rsidRPr="000C2ED1" w:rsidRDefault="000C2ED1" w:rsidP="00CF4A49">
      <w:pPr>
        <w:pStyle w:val="Date"/>
      </w:pPr>
      <w:r>
        <w:t>24 January</w:t>
      </w:r>
      <w:r w:rsidRPr="003F2BE4">
        <w:t xml:space="preserve"> 2011</w:t>
      </w:r>
    </w:p>
    <w:sectPr w:rsidR="00BC1846" w:rsidRPr="000C2ED1"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CF4A49">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686"/>
    <w:multiLevelType w:val="hybridMultilevel"/>
    <w:tmpl w:val="532E88BE"/>
    <w:lvl w:ilvl="0" w:tplc="9260D580">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7231C3"/>
    <w:multiLevelType w:val="hybridMultilevel"/>
    <w:tmpl w:val="F1085558"/>
    <w:lvl w:ilvl="0" w:tplc="9260D580">
      <w:start w:val="1"/>
      <w:numFmt w:val="decimal"/>
      <w:lvlText w:val="(%1)"/>
      <w:lvlJc w:val="left"/>
      <w:pPr>
        <w:ind w:left="2160" w:hanging="360"/>
      </w:pPr>
      <w:rPr>
        <w:rFonts w:hint="default"/>
      </w:rPr>
    </w:lvl>
    <w:lvl w:ilvl="1" w:tplc="B3A8A366">
      <w:start w:val="4"/>
      <w:numFmt w:val="lowerLetter"/>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nsid w:val="26775AEC"/>
    <w:multiLevelType w:val="hybridMultilevel"/>
    <w:tmpl w:val="9B9AFBFC"/>
    <w:lvl w:ilvl="0" w:tplc="1E668978">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6EC6DEE"/>
    <w:multiLevelType w:val="hybridMultilevel"/>
    <w:tmpl w:val="185839A6"/>
    <w:lvl w:ilvl="0" w:tplc="CEAE604A">
      <w:start w:val="6"/>
      <w:numFmt w:val="decimal"/>
      <w:lvlText w:val="(%1)"/>
      <w:lvlJc w:val="left"/>
      <w:pPr>
        <w:ind w:left="21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A355C74"/>
    <w:multiLevelType w:val="hybridMultilevel"/>
    <w:tmpl w:val="C3CE28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B535C9B"/>
    <w:multiLevelType w:val="hybridMultilevel"/>
    <w:tmpl w:val="BF4EBB26"/>
    <w:lvl w:ilvl="0" w:tplc="8626DADA">
      <w:start w:val="3"/>
      <w:numFmt w:val="lowerLetter"/>
      <w:lvlText w:val="%1)"/>
      <w:lvlJc w:val="left"/>
      <w:pPr>
        <w:ind w:left="18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F2274E3"/>
    <w:multiLevelType w:val="hybridMultilevel"/>
    <w:tmpl w:val="02CCC422"/>
    <w:lvl w:ilvl="0" w:tplc="CEAE604A">
      <w:start w:val="6"/>
      <w:numFmt w:val="decimal"/>
      <w:lvlText w:val="(%1)"/>
      <w:lvlJc w:val="left"/>
      <w:pPr>
        <w:ind w:left="2160" w:hanging="360"/>
      </w:pPr>
      <w:rPr>
        <w:rFonts w:hint="default"/>
      </w:rPr>
    </w:lvl>
    <w:lvl w:ilvl="1" w:tplc="D3CE173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FC7290B"/>
    <w:multiLevelType w:val="hybridMultilevel"/>
    <w:tmpl w:val="8AFEB9A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48D309B"/>
    <w:multiLevelType w:val="hybridMultilevel"/>
    <w:tmpl w:val="E248844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92D02AF"/>
    <w:multiLevelType w:val="hybridMultilevel"/>
    <w:tmpl w:val="297608B2"/>
    <w:lvl w:ilvl="0" w:tplc="4E0479B4">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A5573D6"/>
    <w:multiLevelType w:val="hybridMultilevel"/>
    <w:tmpl w:val="750A724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EF606A5"/>
    <w:multiLevelType w:val="hybridMultilevel"/>
    <w:tmpl w:val="4C18B27A"/>
    <w:lvl w:ilvl="0" w:tplc="9260D580">
      <w:start w:val="1"/>
      <w:numFmt w:val="decimal"/>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nsid w:val="57D30786"/>
    <w:multiLevelType w:val="hybridMultilevel"/>
    <w:tmpl w:val="9F5643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0F730A8"/>
    <w:multiLevelType w:val="hybridMultilevel"/>
    <w:tmpl w:val="B03C7D24"/>
    <w:lvl w:ilvl="0" w:tplc="0C090017">
      <w:start w:val="1"/>
      <w:numFmt w:val="lowerLetter"/>
      <w:lvlText w:val="%1)"/>
      <w:lvlJc w:val="left"/>
      <w:pPr>
        <w:ind w:left="1820" w:hanging="360"/>
      </w:p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15">
    <w:nsid w:val="64C46CF7"/>
    <w:multiLevelType w:val="hybridMultilevel"/>
    <w:tmpl w:val="01E2A0D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F6B2260"/>
    <w:multiLevelType w:val="hybridMultilevel"/>
    <w:tmpl w:val="144A999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5"/>
  </w:num>
  <w:num w:numId="3">
    <w:abstractNumId w:val="16"/>
  </w:num>
  <w:num w:numId="4">
    <w:abstractNumId w:val="10"/>
  </w:num>
  <w:num w:numId="5">
    <w:abstractNumId w:val="3"/>
  </w:num>
  <w:num w:numId="6">
    <w:abstractNumId w:val="14"/>
  </w:num>
  <w:num w:numId="7">
    <w:abstractNumId w:val="6"/>
  </w:num>
  <w:num w:numId="8">
    <w:abstractNumId w:val="8"/>
  </w:num>
  <w:num w:numId="9">
    <w:abstractNumId w:val="9"/>
  </w:num>
  <w:num w:numId="10">
    <w:abstractNumId w:val="12"/>
  </w:num>
  <w:num w:numId="11">
    <w:abstractNumId w:val="2"/>
  </w:num>
  <w:num w:numId="12">
    <w:abstractNumId w:val="15"/>
  </w:num>
  <w:num w:numId="13">
    <w:abstractNumId w:val="0"/>
  </w:num>
  <w:num w:numId="14">
    <w:abstractNumId w:val="4"/>
  </w:num>
  <w:num w:numId="15">
    <w:abstractNumId w:val="7"/>
  </w:num>
  <w:num w:numId="16">
    <w:abstractNumId w:val="13"/>
  </w:num>
  <w:num w:numId="1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0C2ED1"/>
    <w:rsid w:val="00117743"/>
    <w:rsid w:val="00117F5B"/>
    <w:rsid w:val="001552A6"/>
    <w:rsid w:val="0015697D"/>
    <w:rsid w:val="001620E9"/>
    <w:rsid w:val="00194D7F"/>
    <w:rsid w:val="001A2B7F"/>
    <w:rsid w:val="001E0CED"/>
    <w:rsid w:val="00293A72"/>
    <w:rsid w:val="002A548A"/>
    <w:rsid w:val="002B0DEC"/>
    <w:rsid w:val="002C3419"/>
    <w:rsid w:val="002C3E6C"/>
    <w:rsid w:val="002F2885"/>
    <w:rsid w:val="00315827"/>
    <w:rsid w:val="00342283"/>
    <w:rsid w:val="00347B47"/>
    <w:rsid w:val="0038247A"/>
    <w:rsid w:val="0039009B"/>
    <w:rsid w:val="00394AAF"/>
    <w:rsid w:val="003A21D9"/>
    <w:rsid w:val="0040222A"/>
    <w:rsid w:val="004047BC"/>
    <w:rsid w:val="00421F0E"/>
    <w:rsid w:val="00426E25"/>
    <w:rsid w:val="004423E6"/>
    <w:rsid w:val="004E2627"/>
    <w:rsid w:val="005654B8"/>
    <w:rsid w:val="00591B49"/>
    <w:rsid w:val="005A6D6D"/>
    <w:rsid w:val="005B5AC2"/>
    <w:rsid w:val="00650F5B"/>
    <w:rsid w:val="006719EA"/>
    <w:rsid w:val="00722DDB"/>
    <w:rsid w:val="007408F5"/>
    <w:rsid w:val="00753CF3"/>
    <w:rsid w:val="008313C4"/>
    <w:rsid w:val="00861DC3"/>
    <w:rsid w:val="00905621"/>
    <w:rsid w:val="00930D60"/>
    <w:rsid w:val="00930E2A"/>
    <w:rsid w:val="00936A77"/>
    <w:rsid w:val="009616DF"/>
    <w:rsid w:val="00990386"/>
    <w:rsid w:val="009D65D7"/>
    <w:rsid w:val="00A37DDA"/>
    <w:rsid w:val="00AB7AB3"/>
    <w:rsid w:val="00AD06A3"/>
    <w:rsid w:val="00AF7475"/>
    <w:rsid w:val="00B61B26"/>
    <w:rsid w:val="00B8490F"/>
    <w:rsid w:val="00BB0A00"/>
    <w:rsid w:val="00BB2CD5"/>
    <w:rsid w:val="00BC1846"/>
    <w:rsid w:val="00BC4320"/>
    <w:rsid w:val="00C04D9C"/>
    <w:rsid w:val="00C1505C"/>
    <w:rsid w:val="00C62099"/>
    <w:rsid w:val="00C75E81"/>
    <w:rsid w:val="00C82D5A"/>
    <w:rsid w:val="00CB3380"/>
    <w:rsid w:val="00CC3330"/>
    <w:rsid w:val="00CD451C"/>
    <w:rsid w:val="00CD5F41"/>
    <w:rsid w:val="00CF4A49"/>
    <w:rsid w:val="00D044AA"/>
    <w:rsid w:val="00D93718"/>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A49"/>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CF4A49"/>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ection">
    <w:name w:val="Subsection"/>
    <w:basedOn w:val="Normal"/>
    <w:rsid w:val="000C2ED1"/>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0C2ED1"/>
    <w:pPr>
      <w:widowControl w:val="0"/>
      <w:spacing w:after="240"/>
      <w:ind w:left="1667" w:hanging="567"/>
    </w:pPr>
    <w:rPr>
      <w:rFonts w:ascii="Helvetica" w:hAnsi="Helvetica"/>
      <w:szCs w:val="24"/>
    </w:rPr>
  </w:style>
  <w:style w:type="paragraph" w:customStyle="1" w:styleId="NewSectionHeading">
    <w:name w:val="New Section Heading"/>
    <w:basedOn w:val="Normal"/>
    <w:next w:val="Normal"/>
    <w:rsid w:val="000C2ED1"/>
    <w:pPr>
      <w:keepNext/>
      <w:keepLines/>
      <w:widowControl w:val="0"/>
      <w:spacing w:after="240"/>
      <w:ind w:left="1100" w:hanging="1100"/>
      <w:jc w:val="left"/>
      <w:outlineLvl w:val="4"/>
    </w:pPr>
    <w:rPr>
      <w:rFonts w:ascii="Helvetica" w:hAnsi="Helvetica"/>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A49"/>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CF4A49"/>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section">
    <w:name w:val="Subsection"/>
    <w:basedOn w:val="Normal"/>
    <w:rsid w:val="000C2ED1"/>
    <w:pPr>
      <w:widowControl w:val="0"/>
      <w:tabs>
        <w:tab w:val="right" w:pos="902"/>
      </w:tabs>
      <w:spacing w:after="240"/>
      <w:ind w:left="1100" w:hanging="1100"/>
    </w:pPr>
    <w:rPr>
      <w:rFonts w:ascii="Helvetica" w:hAnsi="Helvetica"/>
      <w:szCs w:val="24"/>
    </w:rPr>
  </w:style>
  <w:style w:type="paragraph" w:customStyle="1" w:styleId="Paragraph">
    <w:name w:val="Paragraph"/>
    <w:basedOn w:val="Normal"/>
    <w:rsid w:val="000C2ED1"/>
    <w:pPr>
      <w:widowControl w:val="0"/>
      <w:spacing w:after="240"/>
      <w:ind w:left="1667" w:hanging="567"/>
    </w:pPr>
    <w:rPr>
      <w:rFonts w:ascii="Helvetica" w:hAnsi="Helvetica"/>
      <w:szCs w:val="24"/>
    </w:rPr>
  </w:style>
  <w:style w:type="paragraph" w:customStyle="1" w:styleId="NewSectionHeading">
    <w:name w:val="New Section Heading"/>
    <w:basedOn w:val="Normal"/>
    <w:next w:val="Normal"/>
    <w:rsid w:val="000C2ED1"/>
    <w:pPr>
      <w:keepNext/>
      <w:keepLines/>
      <w:widowControl w:val="0"/>
      <w:spacing w:after="240"/>
      <w:ind w:left="1100" w:hanging="1100"/>
      <w:jc w:val="left"/>
      <w:outlineLvl w:val="4"/>
    </w:pPr>
    <w:rPr>
      <w:rFonts w:ascii="Helvetica" w:hAnsi="Helvetica"/>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2012-01-26T14:30:00+00:00</Hearing_x0020_Date>
    <Decision_x0020_Category xmlns="28e3188d-fccf-4e87-a6b6-2e446be4517c">Private Security</Decision_x0020_Category>
    <_dlc_DocId xmlns="28e3188d-fccf-4e87-a6b6-2e446be4517c">2AXQX2YYQNYC-455-1240</_dlc_DocId>
    <_dlc_DocIdUrl xmlns="28e3188d-fccf-4e87-a6b6-2e446be4517c">
      <Url>http://www.dob.nt.gov.au/gambling-licensing/decisions/hearings-decisions/_layouts/DocIdRedir.aspx?ID=2AXQX2YYQNYC-455-1240</Url>
      <Description>2AXQX2YYQNYC-455-1240</Description>
    </_dlc_DocIdUrl>
  </documentManagement>
</p:properties>
</file>

<file path=customXml/itemProps1.xml><?xml version="1.0" encoding="utf-8"?>
<ds:datastoreItem xmlns:ds="http://schemas.openxmlformats.org/officeDocument/2006/customXml" ds:itemID="{25F34D21-1890-4979-AC16-DE0DD8216920}"/>
</file>

<file path=customXml/itemProps2.xml><?xml version="1.0" encoding="utf-8"?>
<ds:datastoreItem xmlns:ds="http://schemas.openxmlformats.org/officeDocument/2006/customXml" ds:itemID="{37DF9A73-E72B-452E-93FC-E2B99465D205}"/>
</file>

<file path=customXml/itemProps3.xml><?xml version="1.0" encoding="utf-8"?>
<ds:datastoreItem xmlns:ds="http://schemas.openxmlformats.org/officeDocument/2006/customXml" ds:itemID="{54FB3015-E4FA-499E-96D8-3A8CB2536DD0}"/>
</file>

<file path=customXml/itemProps4.xml><?xml version="1.0" encoding="utf-8"?>
<ds:datastoreItem xmlns:ds="http://schemas.openxmlformats.org/officeDocument/2006/customXml" ds:itemID="{132964A8-8658-41EC-9D94-8635D3BEDFB4}"/>
</file>

<file path=docProps/app.xml><?xml version="1.0" encoding="utf-8"?>
<Properties xmlns="http://schemas.openxmlformats.org/officeDocument/2006/extended-properties" xmlns:vt="http://schemas.openxmlformats.org/officeDocument/2006/docPropsVTypes">
  <Template>Decisions Template.dotx</Template>
  <TotalTime>17</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Kessner Vaclav 53A</dc:title>
  <dc:subject/>
  <dc:creator>lszcz</dc:creator>
  <cp:keywords/>
  <dc:description/>
  <cp:lastModifiedBy>Marlene Woods</cp:lastModifiedBy>
  <cp:revision>4</cp:revision>
  <dcterms:created xsi:type="dcterms:W3CDTF">2013-02-01T01:27:00Z</dcterms:created>
  <dcterms:modified xsi:type="dcterms:W3CDTF">2013-02-22T02:32:00Z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7c473e33-db57-4b86-830c-bf11acc4bab5</vt:lpwstr>
  </property>
</Properties>
</file>